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0C5" w:rsidRPr="00ED3950" w:rsidRDefault="00ED3950">
      <w:pPr>
        <w:pStyle w:val="Nadpis5"/>
        <w:rPr>
          <w:lang w:val="cs-CZ"/>
        </w:rPr>
      </w:pPr>
      <w:r w:rsidRPr="00ED3950">
        <w:rPr>
          <w:lang w:val="cs-CZ" w:eastAsia="cs-CZ"/>
        </w:rPr>
        <mc:AlternateContent>
          <mc:Choice Requires="wps">
            <w:drawing>
              <wp:anchor distT="0" distB="0" distL="114300" distR="114300" simplePos="0" relativeHeight="251658241" behindDoc="1" locked="0" layoutInCell="1" allowOverlap="1" wp14:anchorId="21246C0A" wp14:editId="0D51885D">
                <wp:simplePos x="0" y="0"/>
                <wp:positionH relativeFrom="margin">
                  <wp:align>center</wp:align>
                </wp:positionH>
                <wp:positionV relativeFrom="page">
                  <wp:posOffset>201930</wp:posOffset>
                </wp:positionV>
                <wp:extent cx="7200000" cy="7920000"/>
                <wp:effectExtent l="0" t="0" r="20320" b="2413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000" cy="7920000"/>
                        </a:xfrm>
                        <a:prstGeom prst="rect">
                          <a:avLst/>
                        </a:prstGeom>
                        <a:solidFill>
                          <a:srgbClr val="005962"/>
                        </a:solidFill>
                        <a:ln w="9525">
                          <a:solidFill>
                            <a:srgbClr val="4A7EBB"/>
                          </a:solid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rect id="Rectangle 1" style="position:absolute;margin-left:0;margin-top:15.9pt;width:566.95pt;height:623.6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spid="_x0000_s1026" fillcolor="#005962" strokecolor="#4a7e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" w14:anchorId="5F87EA73">
                <w10:wrap anchorx="margin" anchory="page"/>
              </v:rect>
            </w:pict>
          </mc:Fallback>
        </mc:AlternateContent>
      </w:r>
    </w:p>
    <w:p w:rsidR="005840C5" w:rsidRPr="00ED3950" w:rsidRDefault="00ED3950">
      <w:pPr>
        <w:rPr>
          <w:lang w:val="cs-CZ"/>
        </w:rPr>
      </w:pPr>
      <w:r w:rsidRPr="00ED3950">
        <w:rPr>
          <w:lang w:val="cs-CZ" w:eastAsia="cs-CZ"/>
        </w:rPr>
        <w:drawing>
          <wp:anchor distT="0" distB="0" distL="114300" distR="114300" simplePos="0" relativeHeight="251658250" behindDoc="1" locked="0" layoutInCell="1" allowOverlap="1" wp14:anchorId="0BE90B44" wp14:editId="0661DB04">
            <wp:simplePos x="0" y="0"/>
            <wp:positionH relativeFrom="margin">
              <wp:posOffset>2691130</wp:posOffset>
            </wp:positionH>
            <wp:positionV relativeFrom="paragraph">
              <wp:posOffset>5715</wp:posOffset>
            </wp:positionV>
            <wp:extent cx="768350" cy="768350"/>
            <wp:effectExtent l="0" t="0" r="0" b="0"/>
            <wp:wrapTight wrapText="bothSides">
              <wp:wrapPolygon edited="0">
                <wp:start x="6962" y="0"/>
                <wp:lineTo x="0" y="3213"/>
                <wp:lineTo x="0" y="13924"/>
                <wp:lineTo x="1071" y="17137"/>
                <wp:lineTo x="5355" y="20886"/>
                <wp:lineTo x="14995" y="20886"/>
                <wp:lineTo x="19815" y="17137"/>
                <wp:lineTo x="20886" y="12317"/>
                <wp:lineTo x="20886" y="6426"/>
                <wp:lineTo x="17137" y="1607"/>
                <wp:lineTo x="13388" y="0"/>
                <wp:lineTo x="6962" y="0"/>
              </wp:wrapPolygon>
            </wp:wrapTight>
            <wp:docPr id="20" name="Picture 20" descr="Macintosh HD:Users:fraukeeversmann:Dropbox:PROJEKTE:TRIPLE E:DELIVERABLES:ICONS:earth_whit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raukeeversmann:Dropbox:PROJEKTE:TRIPLE E:DELIVERABLES:ICONS:earth_white.e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00DC" w:rsidRPr="00ED3950" w:rsidRDefault="00D900DC" w:rsidP="008059BC">
      <w:pPr>
        <w:rPr>
          <w:lang w:val="cs-CZ"/>
        </w:rPr>
      </w:pPr>
    </w:p>
    <w:p w:rsidR="00235FB4" w:rsidRPr="00ED3950" w:rsidRDefault="00235FB4" w:rsidP="008059BC">
      <w:pPr>
        <w:rPr>
          <w:lang w:val="cs-CZ"/>
        </w:rPr>
      </w:pPr>
    </w:p>
    <w:p w:rsidR="00235FB4" w:rsidRPr="00ED3950" w:rsidRDefault="00235FB4" w:rsidP="008059BC">
      <w:pPr>
        <w:rPr>
          <w:lang w:val="cs-CZ"/>
        </w:rPr>
      </w:pPr>
    </w:p>
    <w:p w:rsidR="005840C5" w:rsidRPr="00ED3950" w:rsidRDefault="00ED3950">
      <w:pPr>
        <w:rPr>
          <w:lang w:val="cs-CZ"/>
        </w:rPr>
      </w:pPr>
      <w:r w:rsidRPr="00ED3950">
        <w:rPr>
          <w:lang w:val="cs-CZ" w:eastAsia="cs-CZ"/>
        </w:rPr>
        <mc:AlternateContent>
          <mc:Choice Requires="wps">
            <w:drawing>
              <wp:anchor distT="0" distB="0" distL="114300" distR="114300" simplePos="0" relativeHeight="251658244" behindDoc="0" locked="0" layoutInCell="1" allowOverlap="1" wp14:anchorId="731BDB7A" wp14:editId="0EBFCBE9">
                <wp:simplePos x="0" y="0"/>
                <wp:positionH relativeFrom="column">
                  <wp:posOffset>4536374</wp:posOffset>
                </wp:positionH>
                <wp:positionV relativeFrom="paragraph">
                  <wp:posOffset>13030</wp:posOffset>
                </wp:positionV>
                <wp:extent cx="1365662" cy="1403985"/>
                <wp:effectExtent l="0" t="0" r="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662" cy="1403985"/>
                        </a:xfrm>
                        <a:prstGeom prst="rect">
                          <a:avLst/>
                        </a:prstGeom>
                        <a:noFill/>
                        <a:ln w="9525">
                          <a:noFill/>
                          <a:miter lim="800000"/>
                          <a:headEnd/>
                          <a:tailEnd/>
                        </a:ln>
                      </wps:spPr>
                      <wps:txbx>
                        <w:txbxContent>
                          <w:p w:rsidR="00C54943" w:rsidRDefault="00C54943"/>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rto="http://schemas.microsoft.com/office/word/2006/arto" xmlns:a="http://schemas.openxmlformats.org/drawingml/2006/main">
            <w:pict>
              <v:shapetype id="_x0000_t202" coordsize="21600,21600" o:spt="202" path="m,l,21600r21600,l21600,xe" w14:anchorId="731BDB7A">
                <v:stroke joinstyle="miter"/>
                <v:path gradientshapeok="t" o:connecttype="rect"/>
              </v:shapetype>
              <v:shape id="Text Box 3" style="position:absolute;left:0;text-align:left;margin-left:357.2pt;margin-top:1.05pt;width:107.55pt;height:110.55pt;z-index:2516582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">
                <v:textbox style="mso-fit-shape-to-text:t">
                  <w:txbxContent>
                    <w:p w:rsidR="00C54943" w:rsidRDefault="00C54943" w14:paraId="6B8DB250" w14:textId="77777777"/>
                  </w:txbxContent>
                </v:textbox>
              </v:shape>
            </w:pict>
          </mc:Fallback>
        </mc:AlternateContent>
      </w:r>
    </w:p>
    <w:p w:rsidR="00007DF2" w:rsidRPr="00ED3950" w:rsidRDefault="00007DF2" w:rsidP="008059BC">
      <w:pPr>
        <w:rPr>
          <w:lang w:val="cs-CZ"/>
        </w:rPr>
      </w:pPr>
    </w:p>
    <w:p w:rsidR="00007DF2" w:rsidRPr="00ED3950" w:rsidRDefault="00007DF2" w:rsidP="008059BC">
      <w:pPr>
        <w:rPr>
          <w:lang w:val="cs-CZ"/>
        </w:rPr>
      </w:pPr>
    </w:p>
    <w:p w:rsidR="00833BB1" w:rsidRPr="00ED3950" w:rsidRDefault="00833BB1" w:rsidP="003367E5">
      <w:pPr>
        <w:pStyle w:val="Frontpagetitle"/>
        <w:rPr>
          <w:lang w:val="cs-CZ"/>
        </w:rPr>
      </w:pPr>
    </w:p>
    <w:p w:rsidR="005840C5" w:rsidRPr="00ED3950" w:rsidRDefault="00ED3950">
      <w:pPr>
        <w:pStyle w:val="Frontpagetitle"/>
        <w:rPr>
          <w:lang w:val="cs-CZ"/>
        </w:rPr>
      </w:pPr>
      <w:r w:rsidRPr="00ED3950">
        <w:rPr>
          <w:lang w:val="cs-CZ"/>
        </w:rPr>
        <w:t>Metodika uplatňování principu DNSH na národní úrovni v České republice</w:t>
      </w:r>
    </w:p>
    <w:p w:rsidR="00F33643" w:rsidRPr="00ED3950" w:rsidRDefault="00F33643" w:rsidP="003367E5">
      <w:pPr>
        <w:pStyle w:val="Frontpagetitle"/>
        <w:rPr>
          <w:lang w:val="cs-CZ"/>
        </w:rPr>
      </w:pPr>
    </w:p>
    <w:p w:rsidR="005840C5" w:rsidRPr="00ED3950" w:rsidRDefault="00ED3950">
      <w:pPr>
        <w:pStyle w:val="Frontpagetitle"/>
        <w:rPr>
          <w:sz w:val="48"/>
          <w:szCs w:val="48"/>
          <w:lang w:val="cs-CZ"/>
        </w:rPr>
      </w:pPr>
      <w:r w:rsidRPr="00ED3950">
        <w:rPr>
          <w:sz w:val="48"/>
          <w:szCs w:val="48"/>
          <w:lang w:val="cs-CZ"/>
        </w:rPr>
        <w:t>DLV3</w:t>
      </w:r>
      <w:r w:rsidR="00E0659E" w:rsidRPr="00ED3950">
        <w:rPr>
          <w:sz w:val="48"/>
          <w:szCs w:val="48"/>
          <w:lang w:val="cs-CZ"/>
        </w:rPr>
        <w:t>:</w:t>
      </w:r>
    </w:p>
    <w:p w:rsidR="005840C5" w:rsidRPr="00ED3950" w:rsidRDefault="00ED3950">
      <w:pPr>
        <w:pStyle w:val="Frontpagetitle"/>
        <w:rPr>
          <w:sz w:val="48"/>
          <w:szCs w:val="48"/>
          <w:lang w:val="cs-CZ"/>
        </w:rPr>
      </w:pPr>
      <w:r w:rsidRPr="00ED3950">
        <w:rPr>
          <w:sz w:val="48"/>
          <w:szCs w:val="48"/>
          <w:lang w:val="cs-CZ"/>
        </w:rPr>
        <w:t xml:space="preserve">Zpráva o stávající praxi - </w:t>
      </w:r>
      <w:r w:rsidR="00E0659E" w:rsidRPr="00ED3950">
        <w:rPr>
          <w:sz w:val="48"/>
          <w:szCs w:val="48"/>
          <w:lang w:val="cs-CZ"/>
        </w:rPr>
        <w:t xml:space="preserve">uplatňování zásady DNSH ve </w:t>
      </w:r>
      <w:r w:rsidR="003A7D40" w:rsidRPr="00ED3950">
        <w:rPr>
          <w:sz w:val="48"/>
          <w:szCs w:val="48"/>
          <w:lang w:val="cs-CZ"/>
        </w:rPr>
        <w:t xml:space="preserve">srovnatelných </w:t>
      </w:r>
      <w:r w:rsidR="00E0659E" w:rsidRPr="00ED3950">
        <w:rPr>
          <w:sz w:val="48"/>
          <w:szCs w:val="48"/>
          <w:lang w:val="cs-CZ"/>
        </w:rPr>
        <w:t xml:space="preserve">členských státech </w:t>
      </w:r>
      <w:r w:rsidRPr="00ED3950">
        <w:rPr>
          <w:sz w:val="48"/>
          <w:szCs w:val="48"/>
          <w:lang w:val="cs-CZ"/>
        </w:rPr>
        <w:t>EU</w:t>
      </w:r>
    </w:p>
    <w:p w:rsidR="00213E5B" w:rsidRPr="00ED3950" w:rsidRDefault="00213E5B" w:rsidP="003367E5">
      <w:pPr>
        <w:pStyle w:val="Frontpagetitle"/>
        <w:rPr>
          <w:lang w:val="cs-CZ"/>
        </w:rPr>
      </w:pPr>
    </w:p>
    <w:p w:rsidR="00213E5B" w:rsidRPr="00ED3950" w:rsidRDefault="00213E5B" w:rsidP="003367E5">
      <w:pPr>
        <w:pStyle w:val="Frontpagetitle"/>
        <w:rPr>
          <w:lang w:val="cs-CZ"/>
        </w:rPr>
      </w:pPr>
    </w:p>
    <w:p w:rsidR="00D900DC" w:rsidRPr="00ED3950" w:rsidRDefault="00D900DC" w:rsidP="008059BC">
      <w:pPr>
        <w:rPr>
          <w:lang w:val="cs-CZ"/>
        </w:rPr>
      </w:pPr>
    </w:p>
    <w:p w:rsidR="00D900DC" w:rsidRPr="00ED3950" w:rsidRDefault="00D900DC" w:rsidP="008059BC">
      <w:pPr>
        <w:rPr>
          <w:lang w:val="cs-CZ"/>
        </w:rPr>
      </w:pPr>
    </w:p>
    <w:p w:rsidR="00D900DC" w:rsidRPr="00ED3950" w:rsidRDefault="00D900DC" w:rsidP="008059BC">
      <w:pPr>
        <w:rPr>
          <w:lang w:val="cs-CZ"/>
        </w:rPr>
      </w:pPr>
    </w:p>
    <w:p w:rsidR="00D900DC" w:rsidRPr="00ED3950" w:rsidRDefault="00D900DC" w:rsidP="008059BC">
      <w:pPr>
        <w:rPr>
          <w:lang w:val="cs-CZ"/>
        </w:rPr>
        <w:sectPr w:rsidR="00D900DC" w:rsidRPr="00ED3950" w:rsidSect="003D10CE">
          <w:footerReference w:type="default" r:id="rId12"/>
          <w:pgSz w:w="11906" w:h="16838"/>
          <w:pgMar w:top="1440" w:right="1440" w:bottom="1440" w:left="1440" w:header="708" w:footer="1958" w:gutter="0"/>
          <w:cols w:space="708"/>
          <w:docGrid w:linePitch="360"/>
        </w:sectPr>
      </w:pPr>
    </w:p>
    <w:p w:rsidR="005840C5" w:rsidRPr="00ED3950" w:rsidRDefault="00ED3950">
      <w:pPr>
        <w:rPr>
          <w:lang w:val="cs-CZ"/>
        </w:rPr>
      </w:pPr>
      <w:r w:rsidRPr="00ED3950">
        <w:rPr>
          <w:lang w:val="cs-CZ" w:eastAsia="cs-CZ"/>
        </w:rPr>
        <w:lastRenderedPageBreak/>
        <mc:AlternateContent>
          <mc:Choice Requires="wps">
            <w:drawing>
              <wp:anchor distT="0" distB="0" distL="114300" distR="114300" simplePos="0" relativeHeight="251658240" behindDoc="1" locked="0" layoutInCell="1" allowOverlap="1" wp14:anchorId="6EFE7565" wp14:editId="0B31A4C4">
                <wp:simplePos x="0" y="0"/>
                <wp:positionH relativeFrom="margin">
                  <wp:posOffset>-706377</wp:posOffset>
                </wp:positionH>
                <wp:positionV relativeFrom="page">
                  <wp:posOffset>217805</wp:posOffset>
                </wp:positionV>
                <wp:extent cx="7077600" cy="10027104"/>
                <wp:effectExtent l="0" t="0" r="28575" b="12700"/>
                <wp:wrapNone/>
                <wp:docPr id="31" name="Rectangle 31"/>
                <wp:cNvGraphicFramePr/>
                <a:graphic xmlns:a="http://schemas.openxmlformats.org/drawingml/2006/main">
                  <a:graphicData uri="http://schemas.microsoft.com/office/word/2010/wordprocessingShape">
                    <wps:wsp>
                      <wps:cNvSpPr/>
                      <wps:spPr>
                        <a:xfrm>
                          <a:off x="0" y="0"/>
                          <a:ext cx="7077600" cy="10027104"/>
                        </a:xfrm>
                        <a:prstGeom prst="rect">
                          <a:avLst/>
                        </a:prstGeom>
                        <a:solidFill>
                          <a:srgbClr val="ECEBE1"/>
                        </a:solidFill>
                        <a:ln>
                          <a:solidFill>
                            <a:srgbClr val="ECEBE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rto="http://schemas.microsoft.com/office/word/2006/arto" xmlns:a="http://schemas.openxmlformats.org/drawingml/2006/main">
            <w:pict>
              <v:rect id="Rectangle 31" style="position:absolute;margin-left:-55.6pt;margin-top:17.15pt;width:557.3pt;height:789.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ecebe1" strokecolor="#ecebe1"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" w14:anchorId="16FF9C76">
                <w10:wrap anchorx="margin" anchory="page"/>
              </v:rect>
            </w:pict>
          </mc:Fallback>
        </mc:AlternateContent>
      </w:r>
    </w:p>
    <w:p w:rsidR="005840C5" w:rsidRPr="00ED3950" w:rsidRDefault="00BC3C79">
      <w:pPr>
        <w:pStyle w:val="Nadpis4"/>
        <w:ind w:firstLine="0"/>
        <w:rPr>
          <w:lang w:val="cs-CZ"/>
        </w:rPr>
      </w:pPr>
      <w:r w:rsidRPr="00ED3950">
        <w:rPr>
          <w:lang w:val="cs-CZ"/>
        </w:rPr>
        <w:t xml:space="preserve">Podrobnosti o </w:t>
      </w:r>
      <w:r w:rsidR="00ED3950" w:rsidRPr="00ED3950">
        <w:rPr>
          <w:lang w:val="cs-CZ"/>
        </w:rPr>
        <w:t>smlouvě</w:t>
      </w:r>
    </w:p>
    <w:p w:rsidR="005840C5" w:rsidRPr="00ED3950" w:rsidRDefault="00ED3950">
      <w:pPr>
        <w:ind w:left="0"/>
        <w:rPr>
          <w:lang w:val="cs-CZ"/>
        </w:rPr>
      </w:pPr>
      <w:r w:rsidRPr="00ED3950">
        <w:rPr>
          <w:lang w:val="cs-CZ"/>
        </w:rPr>
        <w:t>REFORM/SC2022/112 - Metodika pro uplatňování principu DNSH na národní úrovni v České republice</w:t>
      </w:r>
    </w:p>
    <w:p w:rsidR="00AC6062" w:rsidRPr="00ED3950" w:rsidRDefault="00AC6062" w:rsidP="008059BC">
      <w:pPr>
        <w:rPr>
          <w:lang w:val="cs-CZ"/>
        </w:rPr>
      </w:pPr>
    </w:p>
    <w:p w:rsidR="00FD55EA" w:rsidRPr="00ED3950" w:rsidRDefault="00FD55EA" w:rsidP="008059BC">
      <w:pPr>
        <w:rPr>
          <w:lang w:val="cs-CZ"/>
        </w:rPr>
      </w:pPr>
    </w:p>
    <w:p w:rsidR="005840C5" w:rsidRPr="00ED3950" w:rsidRDefault="00ED3950">
      <w:pPr>
        <w:pStyle w:val="Nadpis4"/>
        <w:ind w:firstLine="0"/>
        <w:rPr>
          <w:lang w:val="cs-CZ"/>
        </w:rPr>
      </w:pPr>
      <w:r w:rsidRPr="00ED3950">
        <w:rPr>
          <w:lang w:val="cs-CZ"/>
        </w:rPr>
        <w:t>Autoři</w:t>
      </w:r>
    </w:p>
    <w:p w:rsidR="005840C5" w:rsidRPr="00ED3950" w:rsidRDefault="00ED3950">
      <w:pPr>
        <w:ind w:left="0"/>
        <w:rPr>
          <w:lang w:val="cs-CZ"/>
        </w:rPr>
      </w:pPr>
      <w:proofErr w:type="spellStart"/>
      <w:r w:rsidRPr="00ED3950">
        <w:rPr>
          <w:lang w:val="cs-CZ"/>
        </w:rPr>
        <w:t>Jeroen</w:t>
      </w:r>
      <w:proofErr w:type="spellEnd"/>
      <w:r w:rsidRPr="00ED3950">
        <w:rPr>
          <w:lang w:val="cs-CZ"/>
        </w:rPr>
        <w:t xml:space="preserve"> van der </w:t>
      </w:r>
      <w:proofErr w:type="spellStart"/>
      <w:r w:rsidRPr="00ED3950">
        <w:rPr>
          <w:lang w:val="cs-CZ"/>
        </w:rPr>
        <w:t>Laan</w:t>
      </w:r>
      <w:proofErr w:type="spellEnd"/>
    </w:p>
    <w:p w:rsidR="005840C5" w:rsidRPr="00ED3950" w:rsidRDefault="00ED3950">
      <w:pPr>
        <w:ind w:left="0"/>
        <w:rPr>
          <w:lang w:val="cs-CZ"/>
        </w:rPr>
      </w:pPr>
      <w:r w:rsidRPr="00ED3950">
        <w:rPr>
          <w:lang w:val="cs-CZ"/>
        </w:rPr>
        <w:t xml:space="preserve">Rachel </w:t>
      </w:r>
      <w:proofErr w:type="spellStart"/>
      <w:r w:rsidRPr="00ED3950">
        <w:rPr>
          <w:lang w:val="cs-CZ"/>
        </w:rPr>
        <w:t>Lamothe</w:t>
      </w:r>
      <w:proofErr w:type="spellEnd"/>
    </w:p>
    <w:p w:rsidR="005840C5" w:rsidRPr="00ED3950" w:rsidRDefault="00ED3950">
      <w:pPr>
        <w:ind w:left="0"/>
        <w:rPr>
          <w:lang w:val="cs-CZ"/>
        </w:rPr>
      </w:pPr>
      <w:proofErr w:type="spellStart"/>
      <w:r w:rsidRPr="00ED3950">
        <w:rPr>
          <w:lang w:val="cs-CZ"/>
        </w:rPr>
        <w:t>Catarina</w:t>
      </w:r>
      <w:proofErr w:type="spellEnd"/>
      <w:r w:rsidRPr="00ED3950">
        <w:rPr>
          <w:lang w:val="cs-CZ"/>
        </w:rPr>
        <w:t xml:space="preserve"> </w:t>
      </w:r>
      <w:proofErr w:type="spellStart"/>
      <w:r w:rsidR="00EE3129" w:rsidRPr="00ED3950">
        <w:rPr>
          <w:lang w:val="cs-CZ"/>
        </w:rPr>
        <w:t>Alves</w:t>
      </w:r>
      <w:proofErr w:type="spellEnd"/>
    </w:p>
    <w:p w:rsidR="005840C5" w:rsidRPr="00ED3950" w:rsidRDefault="00ED3950">
      <w:pPr>
        <w:ind w:left="0"/>
        <w:rPr>
          <w:lang w:val="cs-CZ"/>
        </w:rPr>
      </w:pPr>
      <w:r w:rsidRPr="00ED3950">
        <w:rPr>
          <w:lang w:val="cs-CZ"/>
        </w:rPr>
        <w:t xml:space="preserve">Pavla </w:t>
      </w:r>
      <w:proofErr w:type="spellStart"/>
      <w:r w:rsidRPr="00ED3950">
        <w:rPr>
          <w:lang w:val="cs-CZ"/>
        </w:rPr>
        <w:t>Cihlarová</w:t>
      </w:r>
      <w:proofErr w:type="spellEnd"/>
    </w:p>
    <w:p w:rsidR="00D350A4" w:rsidRPr="00ED3950" w:rsidRDefault="00D350A4" w:rsidP="008059BC">
      <w:pPr>
        <w:rPr>
          <w:lang w:val="cs-CZ"/>
        </w:rPr>
      </w:pPr>
    </w:p>
    <w:p w:rsidR="00FD55EA" w:rsidRPr="00ED3950" w:rsidRDefault="00FD55EA" w:rsidP="008059BC">
      <w:pPr>
        <w:rPr>
          <w:lang w:val="cs-CZ"/>
        </w:rPr>
      </w:pPr>
    </w:p>
    <w:p w:rsidR="005840C5" w:rsidRPr="00ED3950" w:rsidRDefault="00ED3950">
      <w:pPr>
        <w:pStyle w:val="Nadpis4"/>
        <w:ind w:firstLine="0"/>
        <w:rPr>
          <w:lang w:val="cs-CZ"/>
        </w:rPr>
      </w:pPr>
      <w:r w:rsidRPr="00ED3950">
        <w:rPr>
          <w:lang w:val="cs-CZ"/>
        </w:rPr>
        <w:t>Představil</w:t>
      </w:r>
    </w:p>
    <w:p w:rsidR="005840C5" w:rsidRPr="00ED3950" w:rsidRDefault="00ED3950">
      <w:pPr>
        <w:ind w:left="0"/>
        <w:rPr>
          <w:lang w:val="cs-CZ"/>
        </w:rPr>
      </w:pPr>
      <w:proofErr w:type="spellStart"/>
      <w:proofErr w:type="gramStart"/>
      <w:r w:rsidRPr="00ED3950">
        <w:rPr>
          <w:lang w:val="cs-CZ"/>
        </w:rPr>
        <w:t>Trinomics</w:t>
      </w:r>
      <w:proofErr w:type="spellEnd"/>
      <w:r w:rsidRPr="00ED3950">
        <w:rPr>
          <w:lang w:val="cs-CZ"/>
        </w:rPr>
        <w:t xml:space="preserve"> </w:t>
      </w:r>
      <w:r w:rsidR="00235FB4" w:rsidRPr="00ED3950">
        <w:rPr>
          <w:lang w:val="cs-CZ"/>
        </w:rPr>
        <w:t>B.V.</w:t>
      </w:r>
      <w:proofErr w:type="gramEnd"/>
    </w:p>
    <w:p w:rsidR="005840C5" w:rsidRPr="00ED3950" w:rsidRDefault="00ED3950">
      <w:pPr>
        <w:ind w:left="0"/>
        <w:rPr>
          <w:lang w:val="cs-CZ"/>
        </w:rPr>
      </w:pPr>
      <w:proofErr w:type="spellStart"/>
      <w:r w:rsidRPr="00ED3950">
        <w:rPr>
          <w:lang w:val="cs-CZ"/>
        </w:rPr>
        <w:t>Westersingel</w:t>
      </w:r>
      <w:proofErr w:type="spellEnd"/>
      <w:r w:rsidRPr="00ED3950">
        <w:rPr>
          <w:lang w:val="cs-CZ"/>
        </w:rPr>
        <w:t xml:space="preserve"> </w:t>
      </w:r>
      <w:r w:rsidR="00317A82" w:rsidRPr="00ED3950">
        <w:rPr>
          <w:lang w:val="cs-CZ"/>
        </w:rPr>
        <w:t>34</w:t>
      </w:r>
    </w:p>
    <w:p w:rsidR="005840C5" w:rsidRPr="00ED3950" w:rsidRDefault="00ED3950">
      <w:pPr>
        <w:ind w:left="0"/>
        <w:rPr>
          <w:lang w:val="cs-CZ"/>
        </w:rPr>
      </w:pPr>
      <w:r w:rsidRPr="00ED3950">
        <w:rPr>
          <w:lang w:val="cs-CZ"/>
        </w:rPr>
        <w:t>3014 GS Rotterdam</w:t>
      </w:r>
    </w:p>
    <w:p w:rsidR="005840C5" w:rsidRPr="00ED3950" w:rsidRDefault="00235FB4">
      <w:pPr>
        <w:ind w:left="0"/>
        <w:rPr>
          <w:lang w:val="cs-CZ"/>
        </w:rPr>
      </w:pPr>
      <w:r w:rsidRPr="00ED3950">
        <w:rPr>
          <w:lang w:val="cs-CZ"/>
        </w:rPr>
        <w:t>Nizozemsko</w:t>
      </w:r>
    </w:p>
    <w:p w:rsidR="00235FB4" w:rsidRPr="00ED3950" w:rsidRDefault="00235FB4" w:rsidP="008059BC">
      <w:pPr>
        <w:rPr>
          <w:lang w:val="cs-CZ"/>
        </w:rPr>
      </w:pPr>
    </w:p>
    <w:p w:rsidR="00D350A4" w:rsidRPr="00ED3950" w:rsidRDefault="00D350A4" w:rsidP="008059BC">
      <w:pPr>
        <w:rPr>
          <w:lang w:val="cs-CZ"/>
        </w:rPr>
      </w:pPr>
    </w:p>
    <w:p w:rsidR="005840C5" w:rsidRPr="00ED3950" w:rsidRDefault="00ED3950">
      <w:pPr>
        <w:pStyle w:val="Nadpis4"/>
        <w:ind w:firstLine="0"/>
        <w:rPr>
          <w:lang w:val="cs-CZ"/>
        </w:rPr>
      </w:pPr>
      <w:r w:rsidRPr="00ED3950">
        <w:rPr>
          <w:lang w:val="cs-CZ"/>
        </w:rPr>
        <w:t xml:space="preserve">Kontaktní </w:t>
      </w:r>
      <w:r w:rsidR="009D3B6B" w:rsidRPr="00ED3950">
        <w:rPr>
          <w:lang w:val="cs-CZ"/>
        </w:rPr>
        <w:t>osoba</w:t>
      </w:r>
    </w:p>
    <w:p w:rsidR="005840C5" w:rsidRPr="00ED3950" w:rsidRDefault="00ED3950">
      <w:pPr>
        <w:ind w:left="0"/>
        <w:rPr>
          <w:lang w:val="cs-CZ"/>
        </w:rPr>
      </w:pPr>
      <w:r w:rsidRPr="00ED3950">
        <w:rPr>
          <w:lang w:val="cs-CZ"/>
        </w:rPr>
        <w:t xml:space="preserve">Peter Janoška </w:t>
      </w:r>
      <w:r w:rsidRPr="00ED3950">
        <w:rPr>
          <w:lang w:val="cs-CZ"/>
        </w:rPr>
        <w:t>(projektový manažer</w:t>
      </w:r>
      <w:r w:rsidRPr="00ED3950">
        <w:rPr>
          <w:lang w:val="cs-CZ"/>
        </w:rPr>
        <w:t xml:space="preserve">) </w:t>
      </w:r>
    </w:p>
    <w:p w:rsidR="005840C5" w:rsidRPr="00ED3950" w:rsidRDefault="00ED3950">
      <w:pPr>
        <w:ind w:left="0"/>
        <w:rPr>
          <w:rStyle w:val="Hypertextovodkaz"/>
          <w:lang w:val="cs-CZ"/>
        </w:rPr>
      </w:pPr>
      <w:r w:rsidRPr="00ED3950">
        <w:rPr>
          <w:lang w:val="cs-CZ"/>
        </w:rPr>
        <w:t xml:space="preserve">E: </w:t>
      </w:r>
      <w:hyperlink r:id="rId13" w:history="1">
        <w:r w:rsidRPr="00ED3950">
          <w:rPr>
            <w:rStyle w:val="Hypertextovodkaz"/>
            <w:lang w:val="cs-CZ"/>
          </w:rPr>
          <w:t>peter.janoska@trinomics.eu</w:t>
        </w:r>
      </w:hyperlink>
    </w:p>
    <w:p w:rsidR="001C5C7A" w:rsidRPr="00ED3950" w:rsidRDefault="001C5C7A" w:rsidP="001C5C7A">
      <w:pPr>
        <w:rPr>
          <w:lang w:val="cs-CZ"/>
        </w:rPr>
      </w:pPr>
    </w:p>
    <w:p w:rsidR="005840C5" w:rsidRPr="00ED3950" w:rsidRDefault="00ED3950">
      <w:pPr>
        <w:ind w:left="0"/>
        <w:rPr>
          <w:lang w:val="cs-CZ"/>
        </w:rPr>
      </w:pPr>
      <w:r w:rsidRPr="00ED3950">
        <w:rPr>
          <w:lang w:val="cs-CZ"/>
        </w:rPr>
        <w:t xml:space="preserve">Pavla </w:t>
      </w:r>
      <w:proofErr w:type="spellStart"/>
      <w:r w:rsidRPr="00ED3950">
        <w:rPr>
          <w:lang w:val="cs-CZ"/>
        </w:rPr>
        <w:t>Cihlarová</w:t>
      </w:r>
      <w:proofErr w:type="spellEnd"/>
      <w:r w:rsidRPr="00ED3950">
        <w:rPr>
          <w:lang w:val="cs-CZ"/>
        </w:rPr>
        <w:t xml:space="preserve"> </w:t>
      </w:r>
      <w:r w:rsidRPr="00ED3950">
        <w:rPr>
          <w:lang w:val="cs-CZ"/>
        </w:rPr>
        <w:t>(koordinátorka projektu)</w:t>
      </w:r>
    </w:p>
    <w:p w:rsidR="005840C5" w:rsidRPr="00ED3950" w:rsidRDefault="00ED3950">
      <w:pPr>
        <w:ind w:left="0"/>
        <w:rPr>
          <w:lang w:val="cs-CZ"/>
        </w:rPr>
      </w:pPr>
      <w:hyperlink r:id="rId14" w:history="1">
        <w:r w:rsidRPr="00ED3950">
          <w:rPr>
            <w:rStyle w:val="Hypertextovodkaz"/>
            <w:lang w:val="cs-CZ"/>
          </w:rPr>
          <w:t>E</w:t>
        </w:r>
      </w:hyperlink>
      <w:r w:rsidRPr="00ED3950">
        <w:rPr>
          <w:lang w:val="cs-CZ"/>
        </w:rPr>
        <w:t xml:space="preserve">: pavla.cihlarova@trinomics.eu  </w:t>
      </w:r>
    </w:p>
    <w:p w:rsidR="001C5C7A" w:rsidRPr="00ED3950" w:rsidRDefault="001C5C7A" w:rsidP="009D3B6B">
      <w:pPr>
        <w:rPr>
          <w:lang w:val="cs-CZ"/>
        </w:rPr>
      </w:pPr>
    </w:p>
    <w:p w:rsidR="005840C5" w:rsidRPr="00ED3950" w:rsidRDefault="00ED3950">
      <w:pPr>
        <w:ind w:left="0"/>
        <w:rPr>
          <w:lang w:val="cs-CZ"/>
        </w:rPr>
      </w:pPr>
      <w:proofErr w:type="spellStart"/>
      <w:r w:rsidRPr="00ED3950">
        <w:rPr>
          <w:lang w:val="cs-CZ"/>
        </w:rPr>
        <w:t>Jeroen</w:t>
      </w:r>
      <w:proofErr w:type="spellEnd"/>
      <w:r w:rsidRPr="00ED3950">
        <w:rPr>
          <w:lang w:val="cs-CZ"/>
        </w:rPr>
        <w:t xml:space="preserve"> van </w:t>
      </w:r>
      <w:r w:rsidRPr="00ED3950">
        <w:rPr>
          <w:lang w:val="cs-CZ"/>
        </w:rPr>
        <w:t xml:space="preserve">der </w:t>
      </w:r>
      <w:proofErr w:type="spellStart"/>
      <w:r w:rsidRPr="00ED3950">
        <w:rPr>
          <w:lang w:val="cs-CZ"/>
        </w:rPr>
        <w:t>Laan</w:t>
      </w:r>
      <w:proofErr w:type="spellEnd"/>
      <w:r w:rsidRPr="00ED3950">
        <w:rPr>
          <w:lang w:val="cs-CZ"/>
        </w:rPr>
        <w:t xml:space="preserve"> (</w:t>
      </w:r>
      <w:r w:rsidR="007E511F" w:rsidRPr="00ED3950">
        <w:rPr>
          <w:lang w:val="cs-CZ"/>
        </w:rPr>
        <w:t xml:space="preserve">technický </w:t>
      </w:r>
      <w:r w:rsidRPr="00ED3950">
        <w:rPr>
          <w:lang w:val="cs-CZ"/>
        </w:rPr>
        <w:t>vedoucí)</w:t>
      </w:r>
    </w:p>
    <w:p w:rsidR="005840C5" w:rsidRPr="00ED3950" w:rsidRDefault="00ED3950">
      <w:pPr>
        <w:ind w:left="0"/>
        <w:rPr>
          <w:lang w:val="cs-CZ"/>
        </w:rPr>
      </w:pPr>
      <w:hyperlink r:id="rId15" w:history="1">
        <w:r w:rsidRPr="00ED3950">
          <w:rPr>
            <w:rStyle w:val="Hypertextovodkaz"/>
            <w:lang w:val="cs-CZ"/>
          </w:rPr>
          <w:t>E</w:t>
        </w:r>
      </w:hyperlink>
      <w:r w:rsidRPr="00ED3950">
        <w:rPr>
          <w:lang w:val="cs-CZ"/>
        </w:rPr>
        <w:t xml:space="preserve">: jeroen.vanderlaan@trinomics.eu </w:t>
      </w:r>
    </w:p>
    <w:p w:rsidR="00D350A4" w:rsidRPr="00ED3950" w:rsidRDefault="00D350A4" w:rsidP="008059BC">
      <w:pPr>
        <w:rPr>
          <w:lang w:val="cs-CZ"/>
        </w:rPr>
      </w:pPr>
    </w:p>
    <w:p w:rsidR="001C5C7A" w:rsidRPr="00ED3950" w:rsidRDefault="001C5C7A" w:rsidP="008059BC">
      <w:pPr>
        <w:rPr>
          <w:lang w:val="cs-CZ"/>
        </w:rPr>
      </w:pPr>
    </w:p>
    <w:p w:rsidR="005840C5" w:rsidRPr="00ED3950" w:rsidRDefault="00ED3950">
      <w:pPr>
        <w:ind w:left="0"/>
        <w:rPr>
          <w:b/>
          <w:color w:val="F04E30"/>
          <w:lang w:val="cs-CZ"/>
        </w:rPr>
      </w:pPr>
      <w:r w:rsidRPr="00ED3950">
        <w:rPr>
          <w:b/>
          <w:color w:val="F04E30"/>
          <w:lang w:val="cs-CZ"/>
        </w:rPr>
        <w:t>Datum</w:t>
      </w:r>
    </w:p>
    <w:p w:rsidR="005840C5" w:rsidRPr="00ED3950" w:rsidRDefault="00ED3950">
      <w:pPr>
        <w:spacing w:line="276" w:lineRule="auto"/>
        <w:ind w:left="0"/>
        <w:rPr>
          <w:lang w:val="cs-CZ"/>
        </w:rPr>
      </w:pPr>
      <w:r w:rsidRPr="00ED3950">
        <w:rPr>
          <w:lang w:val="cs-CZ"/>
        </w:rPr>
        <w:t>Rotterdam</w:t>
      </w:r>
      <w:r w:rsidR="00AA0896" w:rsidRPr="00ED3950">
        <w:rPr>
          <w:lang w:val="cs-CZ"/>
        </w:rPr>
        <w:t xml:space="preserve">, </w:t>
      </w:r>
      <w:r w:rsidR="00E36C42" w:rsidRPr="00ED3950">
        <w:rPr>
          <w:lang w:val="cs-CZ"/>
        </w:rPr>
        <w:t xml:space="preserve">7. dubna </w:t>
      </w:r>
      <w:r w:rsidR="001C5C7A" w:rsidRPr="00ED3950">
        <w:rPr>
          <w:lang w:val="cs-CZ"/>
        </w:rPr>
        <w:t>2023</w:t>
      </w:r>
    </w:p>
    <w:p w:rsidR="00235FB4" w:rsidRPr="00ED3950" w:rsidRDefault="00235FB4" w:rsidP="008059BC">
      <w:pPr>
        <w:rPr>
          <w:lang w:val="cs-CZ"/>
        </w:rPr>
      </w:pPr>
    </w:p>
    <w:p w:rsidR="00EF30D1" w:rsidRPr="00ED3950" w:rsidRDefault="00EF30D1" w:rsidP="008059BC">
      <w:pPr>
        <w:rPr>
          <w:lang w:val="cs-CZ"/>
        </w:rPr>
      </w:pPr>
    </w:p>
    <w:p w:rsidR="00EF30D1" w:rsidRPr="00ED3950" w:rsidRDefault="00EF30D1" w:rsidP="008059BC">
      <w:pPr>
        <w:rPr>
          <w:lang w:val="cs-CZ"/>
        </w:rPr>
      </w:pPr>
    </w:p>
    <w:p w:rsidR="00EF30D1" w:rsidRPr="00ED3950" w:rsidRDefault="00EF30D1" w:rsidP="008059BC">
      <w:pPr>
        <w:rPr>
          <w:lang w:val="cs-CZ"/>
        </w:rPr>
      </w:pPr>
    </w:p>
    <w:p w:rsidR="00EF30D1" w:rsidRPr="00ED3950" w:rsidRDefault="00EF30D1" w:rsidP="008059BC">
      <w:pPr>
        <w:rPr>
          <w:lang w:val="cs-CZ"/>
        </w:rPr>
      </w:pPr>
    </w:p>
    <w:p w:rsidR="00EF30D1" w:rsidRPr="00ED3950" w:rsidRDefault="00EF30D1" w:rsidP="008059BC">
      <w:pPr>
        <w:rPr>
          <w:lang w:val="cs-CZ"/>
        </w:rPr>
      </w:pPr>
    </w:p>
    <w:p w:rsidR="00235FB4" w:rsidRPr="00ED3950" w:rsidRDefault="00235FB4" w:rsidP="008059BC">
      <w:pPr>
        <w:rPr>
          <w:lang w:val="cs-CZ"/>
        </w:rPr>
      </w:pPr>
    </w:p>
    <w:p w:rsidR="003D10CE" w:rsidRPr="00ED3950" w:rsidRDefault="003D10CE" w:rsidP="008059BC">
      <w:pPr>
        <w:rPr>
          <w:lang w:val="cs-CZ"/>
        </w:rPr>
      </w:pPr>
    </w:p>
    <w:p w:rsidR="00AC6062" w:rsidRPr="00ED3950" w:rsidRDefault="00AC6062" w:rsidP="008059BC">
      <w:pPr>
        <w:rPr>
          <w:lang w:val="cs-CZ"/>
        </w:rPr>
      </w:pPr>
    </w:p>
    <w:p w:rsidR="00AC6062" w:rsidRPr="00ED3950" w:rsidRDefault="00AC6062" w:rsidP="008059BC">
      <w:pPr>
        <w:rPr>
          <w:lang w:val="cs-CZ"/>
        </w:rPr>
      </w:pPr>
    </w:p>
    <w:p w:rsidR="003D10CE" w:rsidRPr="00ED3950" w:rsidRDefault="003D10CE" w:rsidP="008059BC">
      <w:pPr>
        <w:rPr>
          <w:lang w:val="cs-CZ"/>
        </w:rPr>
      </w:pPr>
    </w:p>
    <w:p w:rsidR="003D10CE" w:rsidRPr="00ED3950" w:rsidRDefault="003D10CE" w:rsidP="008059BC">
      <w:pPr>
        <w:rPr>
          <w:lang w:val="cs-CZ"/>
        </w:rPr>
        <w:sectPr w:rsidR="003D10CE" w:rsidRPr="00ED3950">
          <w:footerReference w:type="default" r:id="rId16"/>
          <w:pgSz w:w="11906" w:h="16838"/>
          <w:pgMar w:top="1440" w:right="1440" w:bottom="1440" w:left="1440" w:header="708" w:footer="708" w:gutter="0"/>
          <w:cols w:space="708"/>
          <w:docGrid w:linePitch="360"/>
        </w:sectPr>
      </w:pPr>
    </w:p>
    <w:p w:rsidR="00B539D4" w:rsidRPr="00ED3950" w:rsidRDefault="00B539D4" w:rsidP="008059BC">
      <w:pPr>
        <w:rPr>
          <w:lang w:val="cs-CZ"/>
        </w:rPr>
      </w:pPr>
    </w:p>
    <w:p w:rsidR="00CB7234" w:rsidRPr="00ED3950" w:rsidRDefault="00CB7234" w:rsidP="008059BC">
      <w:pPr>
        <w:rPr>
          <w:lang w:val="cs-CZ"/>
        </w:rPr>
      </w:pPr>
    </w:p>
    <w:p w:rsidR="00F4101B" w:rsidRPr="00ED3950" w:rsidRDefault="00F4101B" w:rsidP="008059BC">
      <w:pPr>
        <w:rPr>
          <w:lang w:val="cs-CZ"/>
        </w:rPr>
      </w:pPr>
    </w:p>
    <w:p w:rsidR="00CB7234" w:rsidRPr="00ED3950" w:rsidRDefault="00CB7234" w:rsidP="008059BC">
      <w:pPr>
        <w:rPr>
          <w:lang w:val="cs-CZ"/>
        </w:rPr>
      </w:pPr>
    </w:p>
    <w:p w:rsidR="00CB7234" w:rsidRPr="00ED3950" w:rsidRDefault="00CB7234" w:rsidP="008059BC">
      <w:pPr>
        <w:rPr>
          <w:lang w:val="cs-CZ"/>
        </w:rPr>
      </w:pPr>
    </w:p>
    <w:p w:rsidR="003D10CE" w:rsidRPr="00ED3950" w:rsidRDefault="003D10CE" w:rsidP="008059BC">
      <w:pPr>
        <w:rPr>
          <w:lang w:val="cs-CZ"/>
        </w:rPr>
      </w:pPr>
    </w:p>
    <w:p w:rsidR="003D10CE" w:rsidRPr="00ED3950" w:rsidRDefault="003D10CE" w:rsidP="008059BC">
      <w:pPr>
        <w:rPr>
          <w:lang w:val="cs-CZ"/>
        </w:rPr>
      </w:pPr>
    </w:p>
    <w:p w:rsidR="005840C5" w:rsidRPr="00ED3950" w:rsidRDefault="00ED3950">
      <w:pPr>
        <w:rPr>
          <w:lang w:val="cs-CZ"/>
        </w:rPr>
      </w:pPr>
      <w:r w:rsidRPr="00ED3950">
        <w:rPr>
          <w:lang w:val="cs-CZ" w:eastAsia="cs-CZ"/>
        </w:rPr>
        <w:drawing>
          <wp:anchor distT="0" distB="0" distL="114300" distR="114300" simplePos="0" relativeHeight="251658246" behindDoc="1" locked="0" layoutInCell="1" allowOverlap="1" wp14:anchorId="6C8A91F0" wp14:editId="1B0D86A5">
            <wp:simplePos x="0" y="0"/>
            <wp:positionH relativeFrom="margin">
              <wp:align>center</wp:align>
            </wp:positionH>
            <wp:positionV relativeFrom="paragraph">
              <wp:posOffset>-429260</wp:posOffset>
            </wp:positionV>
            <wp:extent cx="3718560" cy="13525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omics-logo.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718560" cy="1352550"/>
                    </a:xfrm>
                    <a:prstGeom prst="rect">
                      <a:avLst/>
                    </a:prstGeom>
                  </pic:spPr>
                </pic:pic>
              </a:graphicData>
            </a:graphic>
            <wp14:sizeRelH relativeFrom="page">
              <wp14:pctWidth>0</wp14:pctWidth>
            </wp14:sizeRelH>
            <wp14:sizeRelV relativeFrom="page">
              <wp14:pctHeight>0</wp14:pctHeight>
            </wp14:sizeRelV>
          </wp:anchor>
        </w:drawing>
      </w:r>
    </w:p>
    <w:p w:rsidR="003D10CE" w:rsidRPr="00ED3950" w:rsidRDefault="003D10CE" w:rsidP="008059BC">
      <w:pPr>
        <w:rPr>
          <w:lang w:val="cs-CZ"/>
        </w:rPr>
      </w:pPr>
    </w:p>
    <w:p w:rsidR="003D10CE" w:rsidRPr="00ED3950" w:rsidRDefault="003D10CE" w:rsidP="008059BC">
      <w:pPr>
        <w:rPr>
          <w:lang w:val="cs-CZ"/>
        </w:rPr>
      </w:pPr>
    </w:p>
    <w:p w:rsidR="003D10CE" w:rsidRPr="00ED3950" w:rsidRDefault="003D10CE" w:rsidP="008059BC">
      <w:pPr>
        <w:rPr>
          <w:lang w:val="cs-CZ"/>
        </w:rPr>
      </w:pPr>
    </w:p>
    <w:p w:rsidR="003D10CE" w:rsidRPr="00ED3950" w:rsidRDefault="003D10CE" w:rsidP="008059BC">
      <w:pPr>
        <w:rPr>
          <w:lang w:val="cs-CZ"/>
        </w:rPr>
      </w:pPr>
    </w:p>
    <w:p w:rsidR="00530049" w:rsidRPr="00ED3950" w:rsidRDefault="00530049" w:rsidP="008059BC">
      <w:pPr>
        <w:rPr>
          <w:lang w:val="cs-CZ"/>
        </w:rPr>
      </w:pPr>
    </w:p>
    <w:p w:rsidR="005840C5" w:rsidRPr="00ED3950" w:rsidRDefault="00ED3950">
      <w:pPr>
        <w:jc w:val="center"/>
        <w:rPr>
          <w:b/>
          <w:color w:val="F04E30"/>
          <w:sz w:val="24"/>
          <w:szCs w:val="24"/>
          <w:lang w:val="cs-CZ"/>
        </w:rPr>
      </w:pPr>
      <w:r w:rsidRPr="00ED3950">
        <w:rPr>
          <w:b/>
          <w:color w:val="F04E30"/>
          <w:sz w:val="24"/>
          <w:szCs w:val="24"/>
          <w:lang w:val="cs-CZ"/>
        </w:rPr>
        <w:t>Rotterdam</w:t>
      </w:r>
      <w:r w:rsidR="00AA0896" w:rsidRPr="00ED3950">
        <w:rPr>
          <w:b/>
          <w:color w:val="F04E30"/>
          <w:sz w:val="24"/>
          <w:szCs w:val="24"/>
          <w:lang w:val="cs-CZ"/>
        </w:rPr>
        <w:t xml:space="preserve">, </w:t>
      </w:r>
      <w:r w:rsidR="00DA5D7E" w:rsidRPr="00ED3950">
        <w:rPr>
          <w:b/>
          <w:color w:val="F04E30"/>
          <w:sz w:val="24"/>
          <w:szCs w:val="24"/>
          <w:lang w:val="cs-CZ"/>
        </w:rPr>
        <w:t xml:space="preserve">7. </w:t>
      </w:r>
      <w:r w:rsidR="00E36C42" w:rsidRPr="00ED3950">
        <w:rPr>
          <w:b/>
          <w:color w:val="F04E30"/>
          <w:sz w:val="24"/>
          <w:szCs w:val="24"/>
          <w:lang w:val="cs-CZ"/>
        </w:rPr>
        <w:t xml:space="preserve">dubna </w:t>
      </w:r>
      <w:r w:rsidR="003F7E40" w:rsidRPr="00ED3950">
        <w:rPr>
          <w:b/>
          <w:color w:val="F04E30"/>
          <w:sz w:val="24"/>
          <w:szCs w:val="24"/>
          <w:lang w:val="cs-CZ"/>
        </w:rPr>
        <w:t>2023</w:t>
      </w:r>
    </w:p>
    <w:p w:rsidR="00AC6062" w:rsidRPr="00ED3950" w:rsidRDefault="00AC6062" w:rsidP="00BC3C79">
      <w:pPr>
        <w:jc w:val="center"/>
        <w:rPr>
          <w:b/>
          <w:color w:val="F04E30"/>
          <w:sz w:val="24"/>
          <w:szCs w:val="24"/>
          <w:lang w:val="cs-CZ"/>
        </w:rPr>
      </w:pPr>
    </w:p>
    <w:p w:rsidR="005840C5" w:rsidRPr="00ED3950" w:rsidRDefault="00ED3950">
      <w:pPr>
        <w:jc w:val="center"/>
        <w:rPr>
          <w:b/>
          <w:color w:val="F04E30"/>
          <w:sz w:val="24"/>
          <w:szCs w:val="24"/>
          <w:lang w:val="cs-CZ"/>
        </w:rPr>
      </w:pPr>
      <w:r w:rsidRPr="00ED3950">
        <w:rPr>
          <w:b/>
          <w:color w:val="F04E30"/>
          <w:sz w:val="24"/>
          <w:szCs w:val="24"/>
          <w:lang w:val="cs-CZ"/>
        </w:rPr>
        <w:t xml:space="preserve">Klient: </w:t>
      </w:r>
      <w:r w:rsidR="00614FD8" w:rsidRPr="00ED3950">
        <w:rPr>
          <w:b/>
          <w:color w:val="F04E30"/>
          <w:sz w:val="24"/>
          <w:szCs w:val="24"/>
          <w:lang w:val="cs-CZ"/>
        </w:rPr>
        <w:t>Úřad vlády České republiky (ÚV ČR) a DG REFORM</w:t>
      </w:r>
    </w:p>
    <w:p w:rsidR="008D1E50" w:rsidRPr="00ED3950" w:rsidRDefault="008D1E50" w:rsidP="009D3B6B">
      <w:pPr>
        <w:jc w:val="center"/>
        <w:rPr>
          <w:b/>
          <w:color w:val="F04E30"/>
          <w:sz w:val="24"/>
          <w:szCs w:val="24"/>
          <w:lang w:val="cs-CZ"/>
        </w:rPr>
      </w:pPr>
    </w:p>
    <w:p w:rsidR="008D1E50" w:rsidRPr="00ED3950" w:rsidRDefault="008D1E50" w:rsidP="009D3B6B">
      <w:pPr>
        <w:jc w:val="center"/>
        <w:rPr>
          <w:b/>
          <w:color w:val="F04E30"/>
          <w:sz w:val="24"/>
          <w:szCs w:val="24"/>
          <w:lang w:val="cs-CZ"/>
        </w:rPr>
      </w:pPr>
    </w:p>
    <w:p w:rsidR="005840C5" w:rsidRPr="00ED3950" w:rsidRDefault="00ED3950">
      <w:pPr>
        <w:jc w:val="center"/>
        <w:rPr>
          <w:b/>
          <w:color w:val="F04E30"/>
          <w:sz w:val="24"/>
          <w:szCs w:val="24"/>
          <w:lang w:val="cs-CZ"/>
        </w:rPr>
      </w:pPr>
      <w:r w:rsidRPr="00ED3950">
        <w:rPr>
          <w:b/>
          <w:color w:val="F04E30"/>
          <w:sz w:val="24"/>
          <w:szCs w:val="24"/>
          <w:lang w:val="cs-CZ"/>
        </w:rPr>
        <w:t>Metodika uplatňování principu DNSH na národní úrovni v České republice</w:t>
      </w:r>
    </w:p>
    <w:p w:rsidR="008D1E50" w:rsidRPr="00ED3950" w:rsidRDefault="008D1E50" w:rsidP="009D3B6B">
      <w:pPr>
        <w:jc w:val="center"/>
        <w:rPr>
          <w:b/>
          <w:color w:val="F04E30"/>
          <w:sz w:val="24"/>
          <w:szCs w:val="24"/>
          <w:lang w:val="cs-CZ"/>
        </w:rPr>
      </w:pPr>
    </w:p>
    <w:p w:rsidR="00365CA7" w:rsidRPr="00ED3950" w:rsidRDefault="00365CA7" w:rsidP="008F78C8">
      <w:pPr>
        <w:jc w:val="center"/>
        <w:rPr>
          <w:b/>
          <w:color w:val="F04E30"/>
          <w:sz w:val="24"/>
          <w:szCs w:val="24"/>
          <w:lang w:val="cs-CZ"/>
        </w:rPr>
      </w:pPr>
    </w:p>
    <w:p w:rsidR="003D10CE" w:rsidRPr="00ED3950" w:rsidRDefault="003D10CE" w:rsidP="008059BC">
      <w:pPr>
        <w:rPr>
          <w:lang w:val="cs-CZ"/>
        </w:rPr>
      </w:pPr>
    </w:p>
    <w:p w:rsidR="005840C5" w:rsidRPr="00ED3950" w:rsidRDefault="00ED3950">
      <w:pPr>
        <w:jc w:val="center"/>
        <w:rPr>
          <w:b/>
          <w:color w:val="002C54"/>
          <w:sz w:val="24"/>
          <w:szCs w:val="24"/>
          <w:lang w:val="cs-CZ"/>
        </w:rPr>
      </w:pPr>
      <w:r w:rsidRPr="00ED3950">
        <w:rPr>
          <w:b/>
          <w:color w:val="002C54"/>
          <w:sz w:val="24"/>
          <w:szCs w:val="24"/>
          <w:lang w:val="cs-CZ"/>
        </w:rPr>
        <w:t>Ve spolupráci s:</w:t>
      </w:r>
    </w:p>
    <w:p w:rsidR="005840C5" w:rsidRPr="00ED3950" w:rsidRDefault="00ED3950">
      <w:pPr>
        <w:rPr>
          <w:lang w:val="cs-CZ"/>
        </w:rPr>
      </w:pPr>
      <w:r w:rsidRPr="00ED3950">
        <w:rPr>
          <w:lang w:val="cs-CZ" w:eastAsia="cs-CZ"/>
        </w:rPr>
        <w:drawing>
          <wp:anchor distT="0" distB="0" distL="114300" distR="114300" simplePos="0" relativeHeight="251658249" behindDoc="1" locked="0" layoutInCell="1" allowOverlap="1" wp14:anchorId="5105BD28" wp14:editId="7247CC4A">
            <wp:simplePos x="0" y="0"/>
            <wp:positionH relativeFrom="column">
              <wp:posOffset>2520152</wp:posOffset>
            </wp:positionH>
            <wp:positionV relativeFrom="paragraph">
              <wp:posOffset>181610</wp:posOffset>
            </wp:positionV>
            <wp:extent cx="1061085" cy="1061085"/>
            <wp:effectExtent l="0" t="0" r="5715" b="5715"/>
            <wp:wrapThrough wrapText="bothSides">
              <wp:wrapPolygon edited="0">
                <wp:start x="7368" y="0"/>
                <wp:lineTo x="5041" y="776"/>
                <wp:lineTo x="0" y="5041"/>
                <wp:lineTo x="0" y="13961"/>
                <wp:lineTo x="2327" y="18614"/>
                <wp:lineTo x="2327" y="19002"/>
                <wp:lineTo x="6980" y="21329"/>
                <wp:lineTo x="7368" y="21329"/>
                <wp:lineTo x="13961" y="21329"/>
                <wp:lineTo x="14736" y="21329"/>
                <wp:lineTo x="18614" y="19002"/>
                <wp:lineTo x="18614" y="18614"/>
                <wp:lineTo x="21329" y="14736"/>
                <wp:lineTo x="21329" y="5041"/>
                <wp:lineTo x="16675" y="1163"/>
                <wp:lineTo x="13961" y="0"/>
                <wp:lineTo x="7368" y="0"/>
              </wp:wrapPolygon>
            </wp:wrapThrough>
            <wp:docPr id="11" name="Picture 11" descr="ISFC - Leveraging finance for positive i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SFC - Leveraging finance for positive impa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61085" cy="1061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1452" w:rsidRPr="00ED3950" w:rsidRDefault="00381452" w:rsidP="008059BC">
      <w:pPr>
        <w:rPr>
          <w:lang w:val="cs-CZ"/>
        </w:rPr>
      </w:pPr>
    </w:p>
    <w:p w:rsidR="00381452" w:rsidRPr="00ED3950" w:rsidRDefault="00381452" w:rsidP="008059BC">
      <w:pPr>
        <w:rPr>
          <w:lang w:val="cs-CZ"/>
        </w:rPr>
      </w:pPr>
    </w:p>
    <w:p w:rsidR="00381452" w:rsidRPr="00ED3950" w:rsidRDefault="00381452" w:rsidP="008059BC">
      <w:pPr>
        <w:rPr>
          <w:lang w:val="cs-CZ"/>
        </w:rPr>
      </w:pPr>
    </w:p>
    <w:p w:rsidR="00381452" w:rsidRPr="00ED3950" w:rsidRDefault="00381452" w:rsidP="008059BC">
      <w:pPr>
        <w:rPr>
          <w:lang w:val="cs-CZ"/>
        </w:rPr>
      </w:pPr>
    </w:p>
    <w:p w:rsidR="00381452" w:rsidRPr="00ED3950" w:rsidRDefault="00381452" w:rsidP="008059BC">
      <w:pPr>
        <w:rPr>
          <w:lang w:val="cs-CZ"/>
        </w:rPr>
      </w:pPr>
    </w:p>
    <w:p w:rsidR="003D10CE" w:rsidRPr="00ED3950" w:rsidRDefault="003D10CE" w:rsidP="008059BC">
      <w:pPr>
        <w:rPr>
          <w:lang w:val="cs-CZ"/>
        </w:rPr>
      </w:pPr>
    </w:p>
    <w:p w:rsidR="008D1E50" w:rsidRPr="00ED3950" w:rsidRDefault="008D1E50" w:rsidP="008059BC">
      <w:pPr>
        <w:rPr>
          <w:lang w:val="cs-CZ"/>
        </w:rPr>
      </w:pPr>
    </w:p>
    <w:p w:rsidR="008D1E50" w:rsidRPr="00ED3950" w:rsidRDefault="008D1E50" w:rsidP="008059BC">
      <w:pPr>
        <w:rPr>
          <w:lang w:val="cs-CZ"/>
        </w:rPr>
      </w:pPr>
    </w:p>
    <w:p w:rsidR="008D1E50" w:rsidRPr="00ED3950" w:rsidRDefault="008D1E50" w:rsidP="008059BC">
      <w:pPr>
        <w:rPr>
          <w:lang w:val="cs-CZ"/>
        </w:rPr>
      </w:pPr>
    </w:p>
    <w:p w:rsidR="008D1E50" w:rsidRPr="00ED3950" w:rsidRDefault="008D1E50" w:rsidP="008059BC">
      <w:pPr>
        <w:rPr>
          <w:lang w:val="cs-CZ"/>
        </w:rPr>
      </w:pPr>
    </w:p>
    <w:p w:rsidR="008D1E50" w:rsidRPr="00ED3950" w:rsidRDefault="008D1E50" w:rsidP="008059BC">
      <w:pPr>
        <w:rPr>
          <w:lang w:val="cs-CZ"/>
        </w:rPr>
      </w:pPr>
    </w:p>
    <w:p w:rsidR="00381452" w:rsidRPr="00ED3950" w:rsidRDefault="00381452" w:rsidP="008059BC">
      <w:pPr>
        <w:rPr>
          <w:lang w:val="cs-CZ"/>
        </w:rPr>
      </w:pPr>
    </w:p>
    <w:p w:rsidR="005840C5" w:rsidRPr="00ED3950" w:rsidRDefault="00ED3950">
      <w:pPr>
        <w:rPr>
          <w:lang w:val="cs-CZ"/>
        </w:rPr>
      </w:pPr>
      <w:r w:rsidRPr="00ED3950">
        <w:rPr>
          <w:lang w:val="cs-CZ" w:eastAsia="cs-CZ"/>
        </w:rPr>
        <mc:AlternateContent>
          <mc:Choice Requires="wps">
            <w:drawing>
              <wp:anchor distT="0" distB="0" distL="114300" distR="114300" simplePos="0" relativeHeight="251658248" behindDoc="1" locked="0" layoutInCell="1" allowOverlap="1" wp14:anchorId="03994CC7" wp14:editId="354BE4B0">
                <wp:simplePos x="0" y="0"/>
                <wp:positionH relativeFrom="column">
                  <wp:posOffset>1695450</wp:posOffset>
                </wp:positionH>
                <wp:positionV relativeFrom="paragraph">
                  <wp:posOffset>806450</wp:posOffset>
                </wp:positionV>
                <wp:extent cx="3918585" cy="721360"/>
                <wp:effectExtent l="0" t="0" r="5715" b="2540"/>
                <wp:wrapTight wrapText="bothSides">
                  <wp:wrapPolygon edited="0">
                    <wp:start x="0" y="0"/>
                    <wp:lineTo x="0" y="21106"/>
                    <wp:lineTo x="21526" y="21106"/>
                    <wp:lineTo x="21526"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3918585" cy="7213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840C5" w:rsidRDefault="00ED3950">
                            <w:pPr>
                              <w:autoSpaceDE w:val="0"/>
                              <w:autoSpaceDN w:val="0"/>
                              <w:adjustRightInd w:val="0"/>
                              <w:spacing w:line="240" w:lineRule="auto"/>
                              <w:ind w:left="0"/>
                              <w:rPr>
                                <w:rFonts w:cs="ÍH_"/>
                                <w:szCs w:val="18"/>
                                <w:lang w:val="en-GB"/>
                              </w:rPr>
                            </w:pPr>
                            <w:proofErr w:type="spellStart"/>
                            <w:r w:rsidRPr="00F1519D">
                              <w:rPr>
                                <w:rFonts w:cs="ÍH_"/>
                                <w:szCs w:val="18"/>
                                <w:lang w:val="en-GB"/>
                              </w:rPr>
                              <w:t>Tento</w:t>
                            </w:r>
                            <w:proofErr w:type="spellEnd"/>
                            <w:r w:rsidRPr="00F1519D">
                              <w:rPr>
                                <w:rFonts w:cs="ÍH_"/>
                                <w:szCs w:val="18"/>
                                <w:lang w:val="en-GB"/>
                              </w:rPr>
                              <w:t xml:space="preserve"> </w:t>
                            </w:r>
                            <w:proofErr w:type="spellStart"/>
                            <w:r w:rsidRPr="00F1519D">
                              <w:rPr>
                                <w:rFonts w:cs="ÍH_"/>
                                <w:szCs w:val="18"/>
                                <w:lang w:val="en-GB"/>
                              </w:rPr>
                              <w:t>projekt</w:t>
                            </w:r>
                            <w:proofErr w:type="spellEnd"/>
                            <w:r w:rsidRPr="00F1519D">
                              <w:rPr>
                                <w:rFonts w:cs="ÍH_"/>
                                <w:szCs w:val="18"/>
                                <w:lang w:val="en-GB"/>
                              </w:rPr>
                              <w:t xml:space="preserve"> je </w:t>
                            </w:r>
                            <w:proofErr w:type="spellStart"/>
                            <w:r w:rsidRPr="00F1519D">
                              <w:rPr>
                                <w:rFonts w:cs="ÍH_"/>
                                <w:szCs w:val="18"/>
                                <w:lang w:val="en-GB"/>
                              </w:rPr>
                              <w:t>realizován</w:t>
                            </w:r>
                            <w:proofErr w:type="spellEnd"/>
                            <w:r w:rsidRPr="00F1519D">
                              <w:rPr>
                                <w:rFonts w:cs="ÍH_"/>
                                <w:szCs w:val="18"/>
                                <w:lang w:val="en-GB"/>
                              </w:rPr>
                              <w:t xml:space="preserve"> </w:t>
                            </w:r>
                            <w:proofErr w:type="spellStart"/>
                            <w:r w:rsidRPr="00F1519D">
                              <w:rPr>
                                <w:rFonts w:cs="ÍH_"/>
                                <w:szCs w:val="18"/>
                                <w:lang w:val="en-GB"/>
                              </w:rPr>
                              <w:t>za</w:t>
                            </w:r>
                            <w:proofErr w:type="spellEnd"/>
                            <w:r w:rsidRPr="00F1519D">
                              <w:rPr>
                                <w:rFonts w:cs="ÍH_"/>
                                <w:szCs w:val="18"/>
                                <w:lang w:val="en-GB"/>
                              </w:rPr>
                              <w:t xml:space="preserve"> </w:t>
                            </w:r>
                            <w:proofErr w:type="spellStart"/>
                            <w:r w:rsidRPr="00F1519D">
                              <w:rPr>
                                <w:rFonts w:cs="ÍH_"/>
                                <w:szCs w:val="18"/>
                                <w:lang w:val="en-GB"/>
                              </w:rPr>
                              <w:t>finanční</w:t>
                            </w:r>
                            <w:proofErr w:type="spellEnd"/>
                            <w:r w:rsidRPr="00F1519D">
                              <w:rPr>
                                <w:rFonts w:cs="ÍH_"/>
                                <w:szCs w:val="18"/>
                                <w:lang w:val="en-GB"/>
                              </w:rPr>
                              <w:t xml:space="preserve"> </w:t>
                            </w:r>
                            <w:proofErr w:type="spellStart"/>
                            <w:r w:rsidRPr="00F1519D">
                              <w:rPr>
                                <w:rFonts w:cs="ÍH_"/>
                                <w:szCs w:val="18"/>
                                <w:lang w:val="en-GB"/>
                              </w:rPr>
                              <w:t>podpory</w:t>
                            </w:r>
                            <w:proofErr w:type="spellEnd"/>
                            <w:r w:rsidRPr="00F1519D">
                              <w:rPr>
                                <w:rFonts w:cs="ÍH_"/>
                                <w:szCs w:val="18"/>
                                <w:lang w:val="en-GB"/>
                              </w:rPr>
                              <w:t xml:space="preserve"> </w:t>
                            </w:r>
                            <w:proofErr w:type="spellStart"/>
                            <w:r w:rsidRPr="00F1519D">
                              <w:rPr>
                                <w:rFonts w:cs="ÍH_"/>
                                <w:szCs w:val="18"/>
                                <w:lang w:val="en-GB"/>
                              </w:rPr>
                              <w:t>Evropské</w:t>
                            </w:r>
                            <w:proofErr w:type="spellEnd"/>
                            <w:r w:rsidRPr="00F1519D">
                              <w:rPr>
                                <w:rFonts w:cs="ÍH_"/>
                                <w:szCs w:val="18"/>
                                <w:lang w:val="en-GB"/>
                              </w:rPr>
                              <w:t xml:space="preserve"> </w:t>
                            </w:r>
                            <w:proofErr w:type="spellStart"/>
                            <w:r w:rsidRPr="00F1519D">
                              <w:rPr>
                                <w:rFonts w:cs="ÍH_"/>
                                <w:szCs w:val="18"/>
                                <w:lang w:val="en-GB"/>
                              </w:rPr>
                              <w:t>unie</w:t>
                            </w:r>
                            <w:proofErr w:type="spellEnd"/>
                            <w:r w:rsidRPr="00F1519D">
                              <w:rPr>
                                <w:rFonts w:cs="ÍH_"/>
                                <w:szCs w:val="18"/>
                                <w:lang w:val="en-GB"/>
                              </w:rPr>
                              <w:t xml:space="preserve"> </w:t>
                            </w:r>
                            <w:proofErr w:type="spellStart"/>
                            <w:r w:rsidRPr="00F1519D">
                              <w:rPr>
                                <w:rFonts w:cs="ÍH_"/>
                                <w:szCs w:val="18"/>
                                <w:lang w:val="en-GB"/>
                              </w:rPr>
                              <w:t>prostřednictvím</w:t>
                            </w:r>
                            <w:proofErr w:type="spellEnd"/>
                            <w:r w:rsidRPr="00F1519D">
                              <w:rPr>
                                <w:rFonts w:cs="ÍH_"/>
                                <w:szCs w:val="18"/>
                                <w:lang w:val="en-GB"/>
                              </w:rPr>
                              <w:t xml:space="preserve"> </w:t>
                            </w:r>
                            <w:proofErr w:type="spellStart"/>
                            <w:r>
                              <w:rPr>
                                <w:rFonts w:cs="ÍH_"/>
                                <w:szCs w:val="18"/>
                                <w:lang w:val="en-GB"/>
                              </w:rPr>
                              <w:t>nástroje</w:t>
                            </w:r>
                            <w:proofErr w:type="spellEnd"/>
                            <w:r>
                              <w:rPr>
                                <w:rFonts w:cs="ÍH_"/>
                                <w:szCs w:val="18"/>
                                <w:lang w:val="en-GB"/>
                              </w:rPr>
                              <w:t xml:space="preserve"> </w:t>
                            </w:r>
                            <w:proofErr w:type="spellStart"/>
                            <w:r>
                              <w:rPr>
                                <w:rFonts w:cs="ÍH_"/>
                                <w:szCs w:val="18"/>
                                <w:lang w:val="en-GB"/>
                              </w:rPr>
                              <w:t>technické</w:t>
                            </w:r>
                            <w:proofErr w:type="spellEnd"/>
                            <w:r>
                              <w:rPr>
                                <w:rFonts w:cs="ÍH_"/>
                                <w:szCs w:val="18"/>
                                <w:lang w:val="en-GB"/>
                              </w:rPr>
                              <w:t xml:space="preserve"> </w:t>
                            </w:r>
                            <w:proofErr w:type="spellStart"/>
                            <w:r>
                              <w:rPr>
                                <w:rFonts w:cs="ÍH_"/>
                                <w:szCs w:val="18"/>
                                <w:lang w:val="en-GB"/>
                              </w:rPr>
                              <w:t>podpory</w:t>
                            </w:r>
                            <w:proofErr w:type="spellEnd"/>
                            <w:r>
                              <w:rPr>
                                <w:rFonts w:cs="ÍH_"/>
                                <w:szCs w:val="18"/>
                                <w:lang w:val="en-GB"/>
                              </w:rPr>
                              <w:t xml:space="preserve"> </w:t>
                            </w:r>
                            <w:r w:rsidRPr="00F1519D">
                              <w:rPr>
                                <w:rFonts w:cs="ÍH_"/>
                                <w:szCs w:val="18"/>
                                <w:lang w:val="en-GB"/>
                              </w:rPr>
                              <w:t xml:space="preserve">a </w:t>
                            </w:r>
                            <w:proofErr w:type="spellStart"/>
                            <w:r w:rsidRPr="00F1519D">
                              <w:rPr>
                                <w:rFonts w:cs="ÍH_"/>
                                <w:szCs w:val="18"/>
                                <w:lang w:val="en-GB"/>
                              </w:rPr>
                              <w:t>ve</w:t>
                            </w:r>
                            <w:proofErr w:type="spellEnd"/>
                            <w:r w:rsidRPr="00F1519D">
                              <w:rPr>
                                <w:rFonts w:cs="ÍH_"/>
                                <w:szCs w:val="18"/>
                                <w:lang w:val="en-GB"/>
                              </w:rPr>
                              <w:t xml:space="preserve"> </w:t>
                            </w:r>
                            <w:proofErr w:type="spellStart"/>
                            <w:r w:rsidRPr="00F1519D">
                              <w:rPr>
                                <w:rFonts w:cs="ÍH_"/>
                                <w:szCs w:val="18"/>
                                <w:lang w:val="en-GB"/>
                              </w:rPr>
                              <w:t>spolupráci</w:t>
                            </w:r>
                            <w:proofErr w:type="spellEnd"/>
                            <w:r w:rsidRPr="00F1519D">
                              <w:rPr>
                                <w:rFonts w:cs="ÍH_"/>
                                <w:szCs w:val="18"/>
                                <w:lang w:val="en-GB"/>
                              </w:rPr>
                              <w:t xml:space="preserve"> s </w:t>
                            </w:r>
                            <w:proofErr w:type="spellStart"/>
                            <w:r w:rsidRPr="00F1519D">
                              <w:rPr>
                                <w:rFonts w:cs="ÍH_"/>
                                <w:szCs w:val="18"/>
                                <w:lang w:val="en-GB"/>
                              </w:rPr>
                              <w:t>Generálním</w:t>
                            </w:r>
                            <w:proofErr w:type="spellEnd"/>
                            <w:r w:rsidRPr="00F1519D">
                              <w:rPr>
                                <w:rFonts w:cs="ÍH_"/>
                                <w:szCs w:val="18"/>
                                <w:lang w:val="en-GB"/>
                              </w:rPr>
                              <w:t xml:space="preserve"> </w:t>
                            </w:r>
                            <w:proofErr w:type="spellStart"/>
                            <w:r w:rsidRPr="00F1519D">
                              <w:rPr>
                                <w:rFonts w:cs="ÍH_"/>
                                <w:szCs w:val="18"/>
                                <w:lang w:val="en-GB"/>
                              </w:rPr>
                              <w:t>ředitelstvím</w:t>
                            </w:r>
                            <w:proofErr w:type="spellEnd"/>
                            <w:r w:rsidRPr="00F1519D">
                              <w:rPr>
                                <w:rFonts w:cs="ÍH_"/>
                                <w:szCs w:val="18"/>
                                <w:lang w:val="en-GB"/>
                              </w:rPr>
                              <w:t xml:space="preserve"> </w:t>
                            </w:r>
                            <w:proofErr w:type="spellStart"/>
                            <w:r w:rsidRPr="00F1519D">
                              <w:rPr>
                                <w:rFonts w:cs="ÍH_"/>
                                <w:szCs w:val="18"/>
                                <w:lang w:val="en-GB"/>
                              </w:rPr>
                              <w:t>Evropské</w:t>
                            </w:r>
                            <w:proofErr w:type="spellEnd"/>
                            <w:r w:rsidRPr="00F1519D">
                              <w:rPr>
                                <w:rFonts w:cs="ÍH_"/>
                                <w:szCs w:val="18"/>
                                <w:lang w:val="en-GB"/>
                              </w:rPr>
                              <w:t xml:space="preserve"> </w:t>
                            </w:r>
                            <w:proofErr w:type="spellStart"/>
                            <w:r>
                              <w:rPr>
                                <w:rFonts w:cs="ÍH_"/>
                                <w:szCs w:val="18"/>
                                <w:lang w:val="en-GB"/>
                              </w:rPr>
                              <w:t>komise</w:t>
                            </w:r>
                            <w:proofErr w:type="spellEnd"/>
                            <w:r>
                              <w:rPr>
                                <w:rFonts w:cs="ÍH_"/>
                                <w:szCs w:val="18"/>
                                <w:lang w:val="en-GB"/>
                              </w:rPr>
                              <w:t xml:space="preserve"> pro </w:t>
                            </w:r>
                            <w:proofErr w:type="spellStart"/>
                            <w:r w:rsidRPr="00F1519D">
                              <w:rPr>
                                <w:rFonts w:cs="ÍH_"/>
                                <w:szCs w:val="18"/>
                                <w:lang w:val="en-GB"/>
                              </w:rPr>
                              <w:t>podporu</w:t>
                            </w:r>
                            <w:proofErr w:type="spellEnd"/>
                            <w:r w:rsidRPr="00F1519D">
                              <w:rPr>
                                <w:rFonts w:cs="ÍH_"/>
                                <w:szCs w:val="18"/>
                                <w:lang w:val="en-GB"/>
                              </w:rPr>
                              <w:t xml:space="preserve"> </w:t>
                            </w:r>
                            <w:proofErr w:type="spellStart"/>
                            <w:r w:rsidRPr="00F1519D">
                              <w:rPr>
                                <w:rFonts w:cs="ÍH_"/>
                                <w:szCs w:val="18"/>
                                <w:lang w:val="en-GB"/>
                              </w:rPr>
                              <w:t>strukturálních</w:t>
                            </w:r>
                            <w:proofErr w:type="spellEnd"/>
                            <w:r w:rsidRPr="00F1519D">
                              <w:rPr>
                                <w:rFonts w:cs="ÍH_"/>
                                <w:szCs w:val="18"/>
                                <w:lang w:val="en-GB"/>
                              </w:rPr>
                              <w:t xml:space="preserve"> </w:t>
                            </w:r>
                            <w:proofErr w:type="spellStart"/>
                            <w:r w:rsidRPr="00F1519D">
                              <w:rPr>
                                <w:rFonts w:cs="ÍH_"/>
                                <w:szCs w:val="18"/>
                                <w:lang w:val="en-GB"/>
                              </w:rPr>
                              <w:t>reforem</w:t>
                            </w:r>
                            <w:proofErr w:type="spellEnd"/>
                            <w:r w:rsidRPr="00F1519D">
                              <w:rPr>
                                <w:rFonts w:cs="ÍH_"/>
                                <w:szCs w:val="18"/>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rto="http://schemas.microsoft.com/office/word/2006/arto" xmlns:a="http://schemas.openxmlformats.org/drawingml/2006/main">
            <w:pict>
              <v:shape id="Text Box 8" style="position:absolute;left:0;text-align:left;margin-left:133.5pt;margin-top:63.5pt;width:308.55pt;height:56.8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" w14:anchorId="03994CC7">
                <v:textbox>
                  <w:txbxContent>
                    <w:p xmlns:w16du="http://schemas.microsoft.com/office/word/2023/wordml/word16du">
                      <w:pPr>
                        <w:autoSpaceDE w:val="0"/>
                        <w:autoSpaceDN w:val="0"/>
                        <w:adjustRightInd w:val="0"/>
                        <w:spacing w:line="240" w:lineRule="auto"/>
                        <w:ind w:start="0"/>
                        <w:rPr>
                          <w:rFonts w:cs="ÍH_"/>
                          <w:szCs w:val="18"/>
                          <w:lang w:val="en-GB"/>
                        </w:rPr>
                      </w:pPr>
                      <w:r w:rsidRPr="00F1519D">
                        <w:rPr>
                          <w:rFonts w:cs="ÍH_"/>
                          <w:szCs w:val="18"/>
                          <w:lang w:val="en-GB"/>
                        </w:rPr>
                        <w:t xml:space="preserve">Tento projekt je realizován za finanční podpory Evropské unie prostřednictvím </w:t>
                      </w:r>
                      <w:r>
                        <w:rPr>
                          <w:rFonts w:cs="ÍH_"/>
                          <w:szCs w:val="18"/>
                          <w:lang w:val="en-GB"/>
                        </w:rPr>
                        <w:t xml:space="preserve">nástroje technické podpory </w:t>
                      </w:r>
                      <w:r w:rsidRPr="00F1519D">
                        <w:rPr>
                          <w:rFonts w:cs="ÍH_"/>
                          <w:szCs w:val="18"/>
                          <w:lang w:val="en-GB"/>
                        </w:rPr>
                        <w:t xml:space="preserve">a ve spolupráci s Generálním ředitelstvím Evropské </w:t>
                      </w:r>
                      <w:r>
                        <w:rPr>
                          <w:rFonts w:cs="ÍH_"/>
                          <w:szCs w:val="18"/>
                          <w:lang w:val="en-GB"/>
                        </w:rPr>
                        <w:t xml:space="preserve">komise pro </w:t>
                      </w:r>
                      <w:r w:rsidRPr="00F1519D">
                        <w:rPr>
                          <w:rFonts w:cs="ÍH_"/>
                          <w:szCs w:val="18"/>
                          <w:lang w:val="en-GB"/>
                        </w:rPr>
                        <w:t xml:space="preserve">podporu strukturálních reforem. </w:t>
                      </w:r>
                    </w:p>
                  </w:txbxContent>
                </v:textbox>
                <w10:wrap type="tight"/>
              </v:shape>
            </w:pict>
          </mc:Fallback>
        </mc:AlternateContent>
      </w:r>
      <w:r w:rsidRPr="00ED3950">
        <w:rPr>
          <w:rFonts w:cs="ÍH_"/>
          <w:sz w:val="22"/>
          <w:szCs w:val="25"/>
          <w:lang w:val="cs-CZ" w:eastAsia="cs-CZ"/>
        </w:rPr>
        <w:drawing>
          <wp:anchor distT="0" distB="0" distL="114300" distR="114300" simplePos="0" relativeHeight="251658247" behindDoc="1" locked="0" layoutInCell="1" allowOverlap="1" wp14:anchorId="45200085" wp14:editId="4CE15022">
            <wp:simplePos x="0" y="0"/>
            <wp:positionH relativeFrom="column">
              <wp:posOffset>389890</wp:posOffset>
            </wp:positionH>
            <wp:positionV relativeFrom="paragraph">
              <wp:posOffset>748030</wp:posOffset>
            </wp:positionV>
            <wp:extent cx="1175385" cy="777875"/>
            <wp:effectExtent l="0" t="0" r="5715" b="3175"/>
            <wp:wrapThrough wrapText="bothSides">
              <wp:wrapPolygon edited="0">
                <wp:start x="0" y="0"/>
                <wp:lineTo x="0" y="21159"/>
                <wp:lineTo x="21355" y="21159"/>
                <wp:lineTo x="21355" y="0"/>
                <wp:lineTo x="0" y="0"/>
              </wp:wrapPolygon>
            </wp:wrapThrough>
            <wp:docPr id="4" name="Picture 4"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medium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75385" cy="77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6F3313" w:rsidRPr="00ED3950">
        <w:rPr>
          <w:lang w:val="cs-CZ"/>
        </w:rPr>
        <w:br w:type="page"/>
      </w:r>
    </w:p>
    <w:p w:rsidR="005840C5" w:rsidRPr="00ED3950" w:rsidRDefault="005B4132">
      <w:pPr>
        <w:pStyle w:val="Nadpis4"/>
        <w:ind w:firstLine="0"/>
        <w:rPr>
          <w:lang w:val="cs-CZ"/>
        </w:rPr>
      </w:pPr>
      <w:r w:rsidRPr="00ED3950">
        <w:rPr>
          <w:sz w:val="24"/>
          <w:szCs w:val="32"/>
          <w:lang w:val="cs-CZ"/>
        </w:rPr>
        <w:lastRenderedPageBreak/>
        <w:t>OBSAH</w:t>
      </w:r>
    </w:p>
    <w:p w:rsidR="003367E5" w:rsidRPr="00ED3950" w:rsidRDefault="003367E5" w:rsidP="00DB51A2">
      <w:pPr>
        <w:rPr>
          <w:lang w:val="cs-CZ"/>
        </w:rPr>
      </w:pPr>
    </w:p>
    <w:p w:rsidR="005840C5" w:rsidRPr="00ED3950" w:rsidRDefault="00DB51A2">
      <w:pPr>
        <w:pStyle w:val="Obsah1"/>
        <w:rPr>
          <w:rFonts w:eastAsiaTheme="minorEastAsia"/>
          <w:b w:val="0"/>
          <w:bCs w:val="0"/>
          <w:color w:val="auto"/>
          <w:sz w:val="24"/>
          <w:lang w:val="cs-CZ" w:eastAsia="en-GB"/>
        </w:rPr>
      </w:pPr>
      <w:r w:rsidRPr="00ED3950">
        <w:rPr>
          <w:sz w:val="28"/>
          <w:lang w:val="cs-CZ"/>
        </w:rPr>
        <w:fldChar w:fldCharType="begin"/>
      </w:r>
      <w:r w:rsidR="00ED3950" w:rsidRPr="00ED3950">
        <w:rPr>
          <w:sz w:val="28"/>
          <w:lang w:val="cs-CZ"/>
        </w:rPr>
        <w:instrText xml:space="preserve"> TOC \o "1-3" \h \z \u </w:instrText>
      </w:r>
      <w:r w:rsidRPr="00ED3950">
        <w:rPr>
          <w:sz w:val="28"/>
          <w:lang w:val="cs-CZ"/>
        </w:rPr>
        <w:fldChar w:fldCharType="separate"/>
      </w:r>
      <w:hyperlink w:anchor="_Toc131775823" w:history="1">
        <w:r w:rsidR="00DC58BE" w:rsidRPr="00ED3950">
          <w:rPr>
            <w:rStyle w:val="Hypertextovodkaz"/>
            <w:lang w:val="cs-CZ"/>
          </w:rPr>
          <w:t>Shrnutí</w:t>
        </w:r>
        <w:r w:rsidR="00DC58BE" w:rsidRPr="00ED3950">
          <w:rPr>
            <w:webHidden/>
            <w:lang w:val="cs-CZ"/>
          </w:rPr>
          <w:tab/>
        </w:r>
        <w:r w:rsidR="00DC58BE" w:rsidRPr="00ED3950">
          <w:rPr>
            <w:webHidden/>
            <w:lang w:val="cs-CZ"/>
          </w:rPr>
          <w:fldChar w:fldCharType="begin"/>
        </w:r>
        <w:r w:rsidR="00DC58BE" w:rsidRPr="00ED3950">
          <w:rPr>
            <w:webHidden/>
            <w:lang w:val="cs-CZ"/>
          </w:rPr>
          <w:instrText xml:space="preserve"> PAGEREF _Toc131775823 \h </w:instrText>
        </w:r>
        <w:r w:rsidR="00DC58BE" w:rsidRPr="00ED3950">
          <w:rPr>
            <w:webHidden/>
            <w:lang w:val="cs-CZ"/>
          </w:rPr>
        </w:r>
        <w:r w:rsidR="00DC58BE" w:rsidRPr="00ED3950">
          <w:rPr>
            <w:webHidden/>
            <w:lang w:val="cs-CZ"/>
          </w:rPr>
          <w:fldChar w:fldCharType="separate"/>
        </w:r>
        <w:r w:rsidR="00DC58BE" w:rsidRPr="00ED3950">
          <w:rPr>
            <w:webHidden/>
            <w:lang w:val="cs-CZ"/>
          </w:rPr>
          <w:t>1</w:t>
        </w:r>
        <w:r w:rsidR="00DC58BE" w:rsidRPr="00ED3950">
          <w:rPr>
            <w:webHidden/>
            <w:lang w:val="cs-CZ"/>
          </w:rPr>
          <w:fldChar w:fldCharType="end"/>
        </w:r>
      </w:hyperlink>
    </w:p>
    <w:p w:rsidR="005840C5" w:rsidRPr="00ED3950" w:rsidRDefault="00ED3950">
      <w:pPr>
        <w:pStyle w:val="Obsah1"/>
        <w:rPr>
          <w:rFonts w:eastAsiaTheme="minorEastAsia"/>
          <w:b w:val="0"/>
          <w:bCs w:val="0"/>
          <w:color w:val="auto"/>
          <w:sz w:val="24"/>
          <w:lang w:val="cs-CZ" w:eastAsia="en-GB"/>
        </w:rPr>
      </w:pPr>
      <w:hyperlink w:anchor="_Toc131775824" w:history="1">
        <w:r w:rsidR="00DC58BE" w:rsidRPr="00ED3950">
          <w:rPr>
            <w:rStyle w:val="Hypertextovodkaz"/>
            <w:lang w:val="cs-CZ"/>
          </w:rPr>
          <w:t>1</w:t>
        </w:r>
        <w:r w:rsidR="00DC58BE" w:rsidRPr="00ED3950">
          <w:rPr>
            <w:rFonts w:eastAsiaTheme="minorEastAsia"/>
            <w:b w:val="0"/>
            <w:bCs w:val="0"/>
            <w:color w:val="auto"/>
            <w:sz w:val="24"/>
            <w:lang w:val="cs-CZ" w:eastAsia="en-GB"/>
          </w:rPr>
          <w:tab/>
        </w:r>
        <w:r w:rsidR="00DC58BE" w:rsidRPr="00ED3950">
          <w:rPr>
            <w:rStyle w:val="Hypertextovodkaz"/>
            <w:lang w:val="cs-CZ"/>
          </w:rPr>
          <w:t>Úvod</w:t>
        </w:r>
        <w:r w:rsidR="00DC58BE" w:rsidRPr="00ED3950">
          <w:rPr>
            <w:webHidden/>
            <w:lang w:val="cs-CZ"/>
          </w:rPr>
          <w:tab/>
        </w:r>
        <w:r w:rsidR="00DC58BE" w:rsidRPr="00ED3950">
          <w:rPr>
            <w:webHidden/>
            <w:lang w:val="cs-CZ"/>
          </w:rPr>
          <w:fldChar w:fldCharType="begin"/>
        </w:r>
        <w:r w:rsidR="00DC58BE" w:rsidRPr="00ED3950">
          <w:rPr>
            <w:webHidden/>
            <w:lang w:val="cs-CZ"/>
          </w:rPr>
          <w:instrText xml:space="preserve"> PAGEREF _Toc131775824 \h </w:instrText>
        </w:r>
        <w:r w:rsidR="00DC58BE" w:rsidRPr="00ED3950">
          <w:rPr>
            <w:webHidden/>
            <w:lang w:val="cs-CZ"/>
          </w:rPr>
        </w:r>
        <w:r w:rsidR="00DC58BE" w:rsidRPr="00ED3950">
          <w:rPr>
            <w:webHidden/>
            <w:lang w:val="cs-CZ"/>
          </w:rPr>
          <w:fldChar w:fldCharType="separate"/>
        </w:r>
        <w:r w:rsidR="00DC58BE" w:rsidRPr="00ED3950">
          <w:rPr>
            <w:webHidden/>
            <w:lang w:val="cs-CZ"/>
          </w:rPr>
          <w:t>4</w:t>
        </w:r>
        <w:r w:rsidR="00DC58BE" w:rsidRPr="00ED3950">
          <w:rPr>
            <w:webHidden/>
            <w:lang w:val="cs-CZ"/>
          </w:rPr>
          <w:fldChar w:fldCharType="end"/>
        </w:r>
      </w:hyperlink>
    </w:p>
    <w:p w:rsidR="005840C5" w:rsidRPr="00ED3950" w:rsidRDefault="00ED3950">
      <w:pPr>
        <w:pStyle w:val="Obsah2"/>
        <w:rPr>
          <w:rFonts w:eastAsiaTheme="minorEastAsia" w:cstheme="minorBidi"/>
          <w:b w:val="0"/>
          <w:bCs w:val="0"/>
          <w:color w:val="auto"/>
          <w:sz w:val="24"/>
          <w:szCs w:val="24"/>
          <w:lang w:val="cs-CZ" w:eastAsia="en-GB"/>
        </w:rPr>
      </w:pPr>
      <w:hyperlink w:anchor="_Toc131775825" w:history="1">
        <w:r w:rsidRPr="00ED3950">
          <w:rPr>
            <w:rStyle w:val="Hypertextovodkaz"/>
            <w:lang w:val="cs-CZ"/>
          </w:rPr>
          <w:t>1.1</w:t>
        </w:r>
        <w:r w:rsidRPr="00ED3950">
          <w:rPr>
            <w:rFonts w:eastAsiaTheme="minorEastAsia" w:cstheme="minorBidi"/>
            <w:b w:val="0"/>
            <w:bCs w:val="0"/>
            <w:color w:val="auto"/>
            <w:sz w:val="24"/>
            <w:szCs w:val="24"/>
            <w:lang w:val="cs-CZ" w:eastAsia="en-GB"/>
          </w:rPr>
          <w:tab/>
        </w:r>
        <w:r w:rsidRPr="00ED3950">
          <w:rPr>
            <w:rStyle w:val="Hypertextovodkaz"/>
            <w:lang w:val="cs-CZ"/>
          </w:rPr>
          <w:t>Vývoj směrnic DNSH v České republice</w:t>
        </w:r>
        <w:r w:rsidRPr="00ED3950">
          <w:rPr>
            <w:webHidden/>
            <w:lang w:val="cs-CZ"/>
          </w:rPr>
          <w:tab/>
        </w:r>
        <w:r w:rsidRPr="00ED3950">
          <w:rPr>
            <w:webHidden/>
            <w:lang w:val="cs-CZ"/>
          </w:rPr>
          <w:fldChar w:fldCharType="begin"/>
        </w:r>
        <w:r w:rsidRPr="00ED3950">
          <w:rPr>
            <w:webHidden/>
            <w:lang w:val="cs-CZ"/>
          </w:rPr>
          <w:instrText xml:space="preserve"> PAGEREF _Toc131775825 \h </w:instrText>
        </w:r>
        <w:r w:rsidRPr="00ED3950">
          <w:rPr>
            <w:webHidden/>
            <w:lang w:val="cs-CZ"/>
          </w:rPr>
        </w:r>
        <w:r w:rsidRPr="00ED3950">
          <w:rPr>
            <w:webHidden/>
            <w:lang w:val="cs-CZ"/>
          </w:rPr>
          <w:fldChar w:fldCharType="separate"/>
        </w:r>
        <w:r w:rsidRPr="00ED3950">
          <w:rPr>
            <w:webHidden/>
            <w:lang w:val="cs-CZ"/>
          </w:rPr>
          <w:t>4</w:t>
        </w:r>
        <w:r w:rsidRPr="00ED3950">
          <w:rPr>
            <w:webHidden/>
            <w:lang w:val="cs-CZ"/>
          </w:rPr>
          <w:fldChar w:fldCharType="end"/>
        </w:r>
      </w:hyperlink>
    </w:p>
    <w:p w:rsidR="005840C5" w:rsidRPr="00ED3950" w:rsidRDefault="00ED3950">
      <w:pPr>
        <w:pStyle w:val="Obsah2"/>
        <w:rPr>
          <w:rFonts w:eastAsiaTheme="minorEastAsia" w:cstheme="minorBidi"/>
          <w:b w:val="0"/>
          <w:bCs w:val="0"/>
          <w:color w:val="auto"/>
          <w:sz w:val="24"/>
          <w:szCs w:val="24"/>
          <w:lang w:val="cs-CZ" w:eastAsia="en-GB"/>
        </w:rPr>
      </w:pPr>
      <w:hyperlink w:anchor="_Toc131775826" w:history="1">
        <w:r w:rsidR="00DC58BE" w:rsidRPr="00ED3950">
          <w:rPr>
            <w:rStyle w:val="Hypertextovodkaz"/>
            <w:lang w:val="cs-CZ"/>
          </w:rPr>
          <w:t>1.2</w:t>
        </w:r>
        <w:r w:rsidR="00DC58BE" w:rsidRPr="00ED3950">
          <w:rPr>
            <w:rFonts w:eastAsiaTheme="minorEastAsia" w:cstheme="minorBidi"/>
            <w:b w:val="0"/>
            <w:bCs w:val="0"/>
            <w:color w:val="auto"/>
            <w:sz w:val="24"/>
            <w:szCs w:val="24"/>
            <w:lang w:val="cs-CZ" w:eastAsia="en-GB"/>
          </w:rPr>
          <w:tab/>
        </w:r>
        <w:r w:rsidR="00DC58BE" w:rsidRPr="00ED3950">
          <w:rPr>
            <w:rStyle w:val="Hypertextovodkaz"/>
            <w:lang w:val="cs-CZ"/>
          </w:rPr>
          <w:t>Cíle a struktura této zprávy</w:t>
        </w:r>
        <w:r w:rsidR="00DC58BE" w:rsidRPr="00ED3950">
          <w:rPr>
            <w:webHidden/>
            <w:lang w:val="cs-CZ"/>
          </w:rPr>
          <w:tab/>
        </w:r>
        <w:r w:rsidR="00DC58BE" w:rsidRPr="00ED3950">
          <w:rPr>
            <w:webHidden/>
            <w:lang w:val="cs-CZ"/>
          </w:rPr>
          <w:fldChar w:fldCharType="begin"/>
        </w:r>
        <w:r w:rsidR="00DC58BE" w:rsidRPr="00ED3950">
          <w:rPr>
            <w:webHidden/>
            <w:lang w:val="cs-CZ"/>
          </w:rPr>
          <w:instrText xml:space="preserve"> PAGEREF _Toc131775826 \h </w:instrText>
        </w:r>
        <w:r w:rsidR="00DC58BE" w:rsidRPr="00ED3950">
          <w:rPr>
            <w:webHidden/>
            <w:lang w:val="cs-CZ"/>
          </w:rPr>
        </w:r>
        <w:r w:rsidR="00DC58BE" w:rsidRPr="00ED3950">
          <w:rPr>
            <w:webHidden/>
            <w:lang w:val="cs-CZ"/>
          </w:rPr>
          <w:fldChar w:fldCharType="separate"/>
        </w:r>
        <w:r w:rsidR="00DC58BE" w:rsidRPr="00ED3950">
          <w:rPr>
            <w:webHidden/>
            <w:lang w:val="cs-CZ"/>
          </w:rPr>
          <w:t>5</w:t>
        </w:r>
        <w:r w:rsidR="00DC58BE" w:rsidRPr="00ED3950">
          <w:rPr>
            <w:webHidden/>
            <w:lang w:val="cs-CZ"/>
          </w:rPr>
          <w:fldChar w:fldCharType="end"/>
        </w:r>
      </w:hyperlink>
    </w:p>
    <w:p w:rsidR="005840C5" w:rsidRPr="00ED3950" w:rsidRDefault="00ED3950">
      <w:pPr>
        <w:pStyle w:val="Obsah1"/>
        <w:rPr>
          <w:rFonts w:eastAsiaTheme="minorEastAsia"/>
          <w:b w:val="0"/>
          <w:bCs w:val="0"/>
          <w:color w:val="auto"/>
          <w:sz w:val="24"/>
          <w:lang w:val="cs-CZ" w:eastAsia="en-GB"/>
        </w:rPr>
      </w:pPr>
      <w:hyperlink w:anchor="_Toc131775827" w:history="1">
        <w:r w:rsidR="00DC58BE" w:rsidRPr="00ED3950">
          <w:rPr>
            <w:rStyle w:val="Hypertextovodkaz"/>
            <w:lang w:val="cs-CZ"/>
          </w:rPr>
          <w:t>2</w:t>
        </w:r>
        <w:r w:rsidR="00DC58BE" w:rsidRPr="00ED3950">
          <w:rPr>
            <w:rFonts w:eastAsiaTheme="minorEastAsia"/>
            <w:b w:val="0"/>
            <w:bCs w:val="0"/>
            <w:color w:val="auto"/>
            <w:sz w:val="24"/>
            <w:lang w:val="cs-CZ" w:eastAsia="en-GB"/>
          </w:rPr>
          <w:tab/>
        </w:r>
        <w:r w:rsidR="00DC58BE" w:rsidRPr="00ED3950">
          <w:rPr>
            <w:rStyle w:val="Hypertextovodkaz"/>
            <w:lang w:val="cs-CZ"/>
          </w:rPr>
          <w:t>Identifikace osvědčených postupů a získaných zkušeností</w:t>
        </w:r>
        <w:r w:rsidR="00DC58BE" w:rsidRPr="00ED3950">
          <w:rPr>
            <w:webHidden/>
            <w:lang w:val="cs-CZ"/>
          </w:rPr>
          <w:tab/>
        </w:r>
        <w:r w:rsidR="00DC58BE" w:rsidRPr="00ED3950">
          <w:rPr>
            <w:webHidden/>
            <w:lang w:val="cs-CZ"/>
          </w:rPr>
          <w:fldChar w:fldCharType="begin"/>
        </w:r>
        <w:r w:rsidR="00DC58BE" w:rsidRPr="00ED3950">
          <w:rPr>
            <w:webHidden/>
            <w:lang w:val="cs-CZ"/>
          </w:rPr>
          <w:instrText xml:space="preserve"> PAGEREF _Toc131775827 \h </w:instrText>
        </w:r>
        <w:r w:rsidR="00DC58BE" w:rsidRPr="00ED3950">
          <w:rPr>
            <w:webHidden/>
            <w:lang w:val="cs-CZ"/>
          </w:rPr>
        </w:r>
        <w:r w:rsidR="00DC58BE" w:rsidRPr="00ED3950">
          <w:rPr>
            <w:webHidden/>
            <w:lang w:val="cs-CZ"/>
          </w:rPr>
          <w:fldChar w:fldCharType="separate"/>
        </w:r>
        <w:r w:rsidR="00DC58BE" w:rsidRPr="00ED3950">
          <w:rPr>
            <w:webHidden/>
            <w:lang w:val="cs-CZ"/>
          </w:rPr>
          <w:t>6</w:t>
        </w:r>
        <w:r w:rsidR="00DC58BE" w:rsidRPr="00ED3950">
          <w:rPr>
            <w:webHidden/>
            <w:lang w:val="cs-CZ"/>
          </w:rPr>
          <w:fldChar w:fldCharType="end"/>
        </w:r>
      </w:hyperlink>
    </w:p>
    <w:p w:rsidR="005840C5" w:rsidRPr="00ED3950" w:rsidRDefault="00ED3950">
      <w:pPr>
        <w:pStyle w:val="Obsah2"/>
        <w:rPr>
          <w:rFonts w:eastAsiaTheme="minorEastAsia" w:cstheme="minorBidi"/>
          <w:b w:val="0"/>
          <w:bCs w:val="0"/>
          <w:color w:val="auto"/>
          <w:sz w:val="24"/>
          <w:szCs w:val="24"/>
          <w:lang w:val="cs-CZ" w:eastAsia="en-GB"/>
        </w:rPr>
      </w:pPr>
      <w:hyperlink w:anchor="_Toc131775828" w:history="1">
        <w:r w:rsidR="00DC58BE" w:rsidRPr="00ED3950">
          <w:rPr>
            <w:rStyle w:val="Hypertextovodkaz"/>
            <w:lang w:val="cs-CZ"/>
          </w:rPr>
          <w:t>2.1</w:t>
        </w:r>
        <w:r w:rsidR="00DC58BE" w:rsidRPr="00ED3950">
          <w:rPr>
            <w:rFonts w:eastAsiaTheme="minorEastAsia" w:cstheme="minorBidi"/>
            <w:b w:val="0"/>
            <w:bCs w:val="0"/>
            <w:color w:val="auto"/>
            <w:sz w:val="24"/>
            <w:szCs w:val="24"/>
            <w:lang w:val="cs-CZ" w:eastAsia="en-GB"/>
          </w:rPr>
          <w:tab/>
        </w:r>
        <w:r w:rsidR="00DC58BE" w:rsidRPr="00ED3950">
          <w:rPr>
            <w:rStyle w:val="Hypertextovodkaz"/>
            <w:lang w:val="cs-CZ"/>
          </w:rPr>
          <w:t>Přístup</w:t>
        </w:r>
        <w:r w:rsidR="00DC58BE" w:rsidRPr="00ED3950">
          <w:rPr>
            <w:webHidden/>
            <w:lang w:val="cs-CZ"/>
          </w:rPr>
          <w:tab/>
        </w:r>
        <w:r w:rsidR="00DC58BE" w:rsidRPr="00ED3950">
          <w:rPr>
            <w:webHidden/>
            <w:lang w:val="cs-CZ"/>
          </w:rPr>
          <w:fldChar w:fldCharType="begin"/>
        </w:r>
        <w:r w:rsidR="00DC58BE" w:rsidRPr="00ED3950">
          <w:rPr>
            <w:webHidden/>
            <w:lang w:val="cs-CZ"/>
          </w:rPr>
          <w:instrText xml:space="preserve"> PAGEREF _Toc131775828 \h </w:instrText>
        </w:r>
        <w:r w:rsidR="00DC58BE" w:rsidRPr="00ED3950">
          <w:rPr>
            <w:webHidden/>
            <w:lang w:val="cs-CZ"/>
          </w:rPr>
        </w:r>
        <w:r w:rsidR="00DC58BE" w:rsidRPr="00ED3950">
          <w:rPr>
            <w:webHidden/>
            <w:lang w:val="cs-CZ"/>
          </w:rPr>
          <w:fldChar w:fldCharType="separate"/>
        </w:r>
        <w:r w:rsidR="00DC58BE" w:rsidRPr="00ED3950">
          <w:rPr>
            <w:webHidden/>
            <w:lang w:val="cs-CZ"/>
          </w:rPr>
          <w:t>6</w:t>
        </w:r>
        <w:r w:rsidR="00DC58BE" w:rsidRPr="00ED3950">
          <w:rPr>
            <w:webHidden/>
            <w:lang w:val="cs-CZ"/>
          </w:rPr>
          <w:fldChar w:fldCharType="end"/>
        </w:r>
      </w:hyperlink>
    </w:p>
    <w:p w:rsidR="005840C5" w:rsidRPr="00ED3950" w:rsidRDefault="00ED3950">
      <w:pPr>
        <w:pStyle w:val="Obsah2"/>
        <w:rPr>
          <w:rFonts w:eastAsiaTheme="minorEastAsia" w:cstheme="minorBidi"/>
          <w:b w:val="0"/>
          <w:bCs w:val="0"/>
          <w:color w:val="auto"/>
          <w:sz w:val="24"/>
          <w:szCs w:val="24"/>
          <w:lang w:val="cs-CZ" w:eastAsia="en-GB"/>
        </w:rPr>
      </w:pPr>
      <w:hyperlink w:anchor="_Toc131775829" w:history="1">
        <w:r w:rsidR="00DC58BE" w:rsidRPr="00ED3950">
          <w:rPr>
            <w:rStyle w:val="Hypertextovodkaz"/>
            <w:lang w:val="cs-CZ"/>
          </w:rPr>
          <w:t>2.2</w:t>
        </w:r>
        <w:r w:rsidR="00DC58BE" w:rsidRPr="00ED3950">
          <w:rPr>
            <w:rFonts w:eastAsiaTheme="minorEastAsia" w:cstheme="minorBidi"/>
            <w:b w:val="0"/>
            <w:bCs w:val="0"/>
            <w:color w:val="auto"/>
            <w:sz w:val="24"/>
            <w:szCs w:val="24"/>
            <w:lang w:val="cs-CZ" w:eastAsia="en-GB"/>
          </w:rPr>
          <w:tab/>
        </w:r>
        <w:r w:rsidR="00DC58BE" w:rsidRPr="00ED3950">
          <w:rPr>
            <w:rStyle w:val="Hypertextovodkaz"/>
            <w:lang w:val="cs-CZ"/>
          </w:rPr>
          <w:t>Konsolidovaná matice výběrových kritérií</w:t>
        </w:r>
        <w:r w:rsidR="00DC58BE" w:rsidRPr="00ED3950">
          <w:rPr>
            <w:webHidden/>
            <w:lang w:val="cs-CZ"/>
          </w:rPr>
          <w:tab/>
        </w:r>
        <w:r w:rsidR="00DC58BE" w:rsidRPr="00ED3950">
          <w:rPr>
            <w:webHidden/>
            <w:lang w:val="cs-CZ"/>
          </w:rPr>
          <w:fldChar w:fldCharType="begin"/>
        </w:r>
        <w:r w:rsidR="00DC58BE" w:rsidRPr="00ED3950">
          <w:rPr>
            <w:webHidden/>
            <w:lang w:val="cs-CZ"/>
          </w:rPr>
          <w:instrText xml:space="preserve"> PAGEREF _Toc131775829 \h </w:instrText>
        </w:r>
        <w:r w:rsidR="00DC58BE" w:rsidRPr="00ED3950">
          <w:rPr>
            <w:webHidden/>
            <w:lang w:val="cs-CZ"/>
          </w:rPr>
        </w:r>
        <w:r w:rsidR="00DC58BE" w:rsidRPr="00ED3950">
          <w:rPr>
            <w:webHidden/>
            <w:lang w:val="cs-CZ"/>
          </w:rPr>
          <w:fldChar w:fldCharType="separate"/>
        </w:r>
        <w:r w:rsidR="00DC58BE" w:rsidRPr="00ED3950">
          <w:rPr>
            <w:webHidden/>
            <w:lang w:val="cs-CZ"/>
          </w:rPr>
          <w:t>7</w:t>
        </w:r>
        <w:r w:rsidR="00DC58BE" w:rsidRPr="00ED3950">
          <w:rPr>
            <w:webHidden/>
            <w:lang w:val="cs-CZ"/>
          </w:rPr>
          <w:fldChar w:fldCharType="end"/>
        </w:r>
      </w:hyperlink>
    </w:p>
    <w:p w:rsidR="005840C5" w:rsidRPr="00ED3950" w:rsidRDefault="00ED3950">
      <w:pPr>
        <w:pStyle w:val="Obsah2"/>
        <w:rPr>
          <w:rFonts w:eastAsiaTheme="minorEastAsia" w:cstheme="minorBidi"/>
          <w:b w:val="0"/>
          <w:bCs w:val="0"/>
          <w:color w:val="auto"/>
          <w:sz w:val="24"/>
          <w:szCs w:val="24"/>
          <w:lang w:val="cs-CZ" w:eastAsia="en-GB"/>
        </w:rPr>
      </w:pPr>
      <w:hyperlink w:anchor="_Toc131775830" w:history="1">
        <w:r w:rsidR="00DC58BE" w:rsidRPr="00ED3950">
          <w:rPr>
            <w:rStyle w:val="Hypertextovodkaz"/>
            <w:lang w:val="cs-CZ"/>
          </w:rPr>
          <w:t>2.3</w:t>
        </w:r>
        <w:r w:rsidR="00DC58BE" w:rsidRPr="00ED3950">
          <w:rPr>
            <w:rFonts w:eastAsiaTheme="minorEastAsia" w:cstheme="minorBidi"/>
            <w:b w:val="0"/>
            <w:bCs w:val="0"/>
            <w:color w:val="auto"/>
            <w:sz w:val="24"/>
            <w:szCs w:val="24"/>
            <w:lang w:val="cs-CZ" w:eastAsia="en-GB"/>
          </w:rPr>
          <w:tab/>
        </w:r>
        <w:r w:rsidR="00DC58BE" w:rsidRPr="00ED3950">
          <w:rPr>
            <w:rStyle w:val="Hypertextovodkaz"/>
            <w:lang w:val="cs-CZ"/>
          </w:rPr>
          <w:t>Výběr postupů DNSH a srovnatelných členských států EU</w:t>
        </w:r>
        <w:r w:rsidR="00DC58BE" w:rsidRPr="00ED3950">
          <w:rPr>
            <w:webHidden/>
            <w:lang w:val="cs-CZ"/>
          </w:rPr>
          <w:tab/>
        </w:r>
        <w:r w:rsidR="00DC58BE" w:rsidRPr="00ED3950">
          <w:rPr>
            <w:webHidden/>
            <w:lang w:val="cs-CZ"/>
          </w:rPr>
          <w:fldChar w:fldCharType="begin"/>
        </w:r>
        <w:r w:rsidR="00DC58BE" w:rsidRPr="00ED3950">
          <w:rPr>
            <w:webHidden/>
            <w:lang w:val="cs-CZ"/>
          </w:rPr>
          <w:instrText xml:space="preserve"> PAGEREF _Toc131775830 \h </w:instrText>
        </w:r>
        <w:r w:rsidR="00DC58BE" w:rsidRPr="00ED3950">
          <w:rPr>
            <w:webHidden/>
            <w:lang w:val="cs-CZ"/>
          </w:rPr>
        </w:r>
        <w:r w:rsidR="00DC58BE" w:rsidRPr="00ED3950">
          <w:rPr>
            <w:webHidden/>
            <w:lang w:val="cs-CZ"/>
          </w:rPr>
          <w:fldChar w:fldCharType="separate"/>
        </w:r>
        <w:r w:rsidR="00DC58BE" w:rsidRPr="00ED3950">
          <w:rPr>
            <w:webHidden/>
            <w:lang w:val="cs-CZ"/>
          </w:rPr>
          <w:t>8</w:t>
        </w:r>
        <w:r w:rsidR="00DC58BE" w:rsidRPr="00ED3950">
          <w:rPr>
            <w:webHidden/>
            <w:lang w:val="cs-CZ"/>
          </w:rPr>
          <w:fldChar w:fldCharType="end"/>
        </w:r>
      </w:hyperlink>
    </w:p>
    <w:p w:rsidR="005840C5" w:rsidRPr="00ED3950" w:rsidRDefault="00ED3950">
      <w:pPr>
        <w:pStyle w:val="Obsah1"/>
        <w:rPr>
          <w:rFonts w:eastAsiaTheme="minorEastAsia"/>
          <w:b w:val="0"/>
          <w:bCs w:val="0"/>
          <w:color w:val="auto"/>
          <w:sz w:val="24"/>
          <w:lang w:val="cs-CZ" w:eastAsia="en-GB"/>
        </w:rPr>
      </w:pPr>
      <w:hyperlink w:anchor="_Toc131775831" w:history="1">
        <w:r w:rsidR="00DC58BE" w:rsidRPr="00ED3950">
          <w:rPr>
            <w:rStyle w:val="Hypertextovodkaz"/>
            <w:lang w:val="cs-CZ"/>
          </w:rPr>
          <w:t>3</w:t>
        </w:r>
        <w:r w:rsidR="00DC58BE" w:rsidRPr="00ED3950">
          <w:rPr>
            <w:rFonts w:eastAsiaTheme="minorEastAsia"/>
            <w:b w:val="0"/>
            <w:bCs w:val="0"/>
            <w:color w:val="auto"/>
            <w:sz w:val="24"/>
            <w:lang w:val="cs-CZ" w:eastAsia="en-GB"/>
          </w:rPr>
          <w:tab/>
        </w:r>
        <w:r w:rsidR="00DC58BE" w:rsidRPr="00ED3950">
          <w:rPr>
            <w:rStyle w:val="Hypertextovodkaz"/>
            <w:lang w:val="cs-CZ"/>
          </w:rPr>
          <w:t>Analýza osvědčených postupů a získaných zkušeností</w:t>
        </w:r>
        <w:r w:rsidR="00DC58BE" w:rsidRPr="00ED3950">
          <w:rPr>
            <w:webHidden/>
            <w:lang w:val="cs-CZ"/>
          </w:rPr>
          <w:tab/>
        </w:r>
        <w:r w:rsidR="00DC58BE" w:rsidRPr="00ED3950">
          <w:rPr>
            <w:webHidden/>
            <w:lang w:val="cs-CZ"/>
          </w:rPr>
          <w:fldChar w:fldCharType="begin"/>
        </w:r>
        <w:r w:rsidR="00DC58BE" w:rsidRPr="00ED3950">
          <w:rPr>
            <w:webHidden/>
            <w:lang w:val="cs-CZ"/>
          </w:rPr>
          <w:instrText xml:space="preserve"> PAGEREF _Toc131775831 \h </w:instrText>
        </w:r>
        <w:r w:rsidR="00DC58BE" w:rsidRPr="00ED3950">
          <w:rPr>
            <w:webHidden/>
            <w:lang w:val="cs-CZ"/>
          </w:rPr>
        </w:r>
        <w:r w:rsidR="00DC58BE" w:rsidRPr="00ED3950">
          <w:rPr>
            <w:webHidden/>
            <w:lang w:val="cs-CZ"/>
          </w:rPr>
          <w:fldChar w:fldCharType="separate"/>
        </w:r>
        <w:r w:rsidR="00DC58BE" w:rsidRPr="00ED3950">
          <w:rPr>
            <w:webHidden/>
            <w:lang w:val="cs-CZ"/>
          </w:rPr>
          <w:t>10</w:t>
        </w:r>
        <w:r w:rsidR="00DC58BE" w:rsidRPr="00ED3950">
          <w:rPr>
            <w:webHidden/>
            <w:lang w:val="cs-CZ"/>
          </w:rPr>
          <w:fldChar w:fldCharType="end"/>
        </w:r>
      </w:hyperlink>
    </w:p>
    <w:p w:rsidR="005840C5" w:rsidRPr="00ED3950" w:rsidRDefault="00ED3950">
      <w:pPr>
        <w:pStyle w:val="Obsah2"/>
        <w:rPr>
          <w:rFonts w:eastAsiaTheme="minorEastAsia" w:cstheme="minorBidi"/>
          <w:b w:val="0"/>
          <w:bCs w:val="0"/>
          <w:color w:val="auto"/>
          <w:sz w:val="24"/>
          <w:szCs w:val="24"/>
          <w:lang w:val="cs-CZ" w:eastAsia="en-GB"/>
        </w:rPr>
      </w:pPr>
      <w:hyperlink w:anchor="_Toc131775832" w:history="1">
        <w:r w:rsidR="00DC58BE" w:rsidRPr="00ED3950">
          <w:rPr>
            <w:rStyle w:val="Hypertextovodkaz"/>
            <w:lang w:val="cs-CZ"/>
          </w:rPr>
          <w:t>3.1</w:t>
        </w:r>
        <w:r w:rsidR="00DC58BE" w:rsidRPr="00ED3950">
          <w:rPr>
            <w:rFonts w:eastAsiaTheme="minorEastAsia" w:cstheme="minorBidi"/>
            <w:b w:val="0"/>
            <w:bCs w:val="0"/>
            <w:color w:val="auto"/>
            <w:sz w:val="24"/>
            <w:szCs w:val="24"/>
            <w:lang w:val="cs-CZ" w:eastAsia="en-GB"/>
          </w:rPr>
          <w:tab/>
        </w:r>
        <w:r w:rsidR="00DC58BE" w:rsidRPr="00ED3950">
          <w:rPr>
            <w:rStyle w:val="Hypertextovodkaz"/>
            <w:lang w:val="cs-CZ"/>
          </w:rPr>
          <w:t>Řídicí procesy uplatňování zásady DNSH</w:t>
        </w:r>
        <w:r w:rsidR="00DC58BE" w:rsidRPr="00ED3950">
          <w:rPr>
            <w:webHidden/>
            <w:lang w:val="cs-CZ"/>
          </w:rPr>
          <w:tab/>
        </w:r>
        <w:r w:rsidR="00DC58BE" w:rsidRPr="00ED3950">
          <w:rPr>
            <w:webHidden/>
            <w:lang w:val="cs-CZ"/>
          </w:rPr>
          <w:fldChar w:fldCharType="begin"/>
        </w:r>
        <w:r w:rsidR="00DC58BE" w:rsidRPr="00ED3950">
          <w:rPr>
            <w:webHidden/>
            <w:lang w:val="cs-CZ"/>
          </w:rPr>
          <w:instrText xml:space="preserve"> PAGEREF _Toc131775832 \h </w:instrText>
        </w:r>
        <w:r w:rsidR="00DC58BE" w:rsidRPr="00ED3950">
          <w:rPr>
            <w:webHidden/>
            <w:lang w:val="cs-CZ"/>
          </w:rPr>
        </w:r>
        <w:r w:rsidR="00DC58BE" w:rsidRPr="00ED3950">
          <w:rPr>
            <w:webHidden/>
            <w:lang w:val="cs-CZ"/>
          </w:rPr>
          <w:fldChar w:fldCharType="separate"/>
        </w:r>
        <w:r w:rsidR="00DC58BE" w:rsidRPr="00ED3950">
          <w:rPr>
            <w:webHidden/>
            <w:lang w:val="cs-CZ"/>
          </w:rPr>
          <w:t>10</w:t>
        </w:r>
        <w:r w:rsidR="00DC58BE" w:rsidRPr="00ED3950">
          <w:rPr>
            <w:webHidden/>
            <w:lang w:val="cs-CZ"/>
          </w:rPr>
          <w:fldChar w:fldCharType="end"/>
        </w:r>
      </w:hyperlink>
    </w:p>
    <w:p w:rsidR="005840C5" w:rsidRPr="00ED3950" w:rsidRDefault="00ED3950">
      <w:pPr>
        <w:pStyle w:val="Obsah3"/>
        <w:tabs>
          <w:tab w:val="left" w:pos="1506"/>
          <w:tab w:val="right" w:leader="dot" w:pos="9016"/>
        </w:tabs>
        <w:rPr>
          <w:rFonts w:eastAsiaTheme="minorEastAsia" w:cstheme="minorBidi"/>
          <w:color w:val="auto"/>
          <w:sz w:val="24"/>
          <w:szCs w:val="24"/>
          <w:lang w:val="cs-CZ" w:eastAsia="en-GB"/>
        </w:rPr>
      </w:pPr>
      <w:hyperlink w:anchor="_Toc131775833" w:history="1">
        <w:r w:rsidR="00DC58BE" w:rsidRPr="00ED3950">
          <w:rPr>
            <w:rStyle w:val="Hypertextovodkaz"/>
            <w:lang w:val="cs-CZ"/>
          </w:rPr>
          <w:t>3.1.1</w:t>
        </w:r>
        <w:r w:rsidR="00DC58BE" w:rsidRPr="00ED3950">
          <w:rPr>
            <w:rFonts w:eastAsiaTheme="minorEastAsia" w:cstheme="minorBidi"/>
            <w:color w:val="auto"/>
            <w:sz w:val="24"/>
            <w:szCs w:val="24"/>
            <w:lang w:val="cs-CZ" w:eastAsia="en-GB"/>
          </w:rPr>
          <w:tab/>
        </w:r>
        <w:r w:rsidR="00DC58BE" w:rsidRPr="00ED3950">
          <w:rPr>
            <w:rStyle w:val="Hypertextovodkaz"/>
            <w:lang w:val="cs-CZ"/>
          </w:rPr>
          <w:t>Kontext výzvy</w:t>
        </w:r>
        <w:r w:rsidR="00DC58BE" w:rsidRPr="00ED3950">
          <w:rPr>
            <w:webHidden/>
            <w:lang w:val="cs-CZ"/>
          </w:rPr>
          <w:tab/>
        </w:r>
        <w:r w:rsidR="00DC58BE" w:rsidRPr="00ED3950">
          <w:rPr>
            <w:webHidden/>
            <w:lang w:val="cs-CZ"/>
          </w:rPr>
          <w:fldChar w:fldCharType="begin"/>
        </w:r>
        <w:r w:rsidR="00DC58BE" w:rsidRPr="00ED3950">
          <w:rPr>
            <w:webHidden/>
            <w:lang w:val="cs-CZ"/>
          </w:rPr>
          <w:instrText xml:space="preserve"> PAGEREF _Toc131775833 \h </w:instrText>
        </w:r>
        <w:r w:rsidR="00DC58BE" w:rsidRPr="00ED3950">
          <w:rPr>
            <w:webHidden/>
            <w:lang w:val="cs-CZ"/>
          </w:rPr>
        </w:r>
        <w:r w:rsidR="00DC58BE" w:rsidRPr="00ED3950">
          <w:rPr>
            <w:webHidden/>
            <w:lang w:val="cs-CZ"/>
          </w:rPr>
          <w:fldChar w:fldCharType="separate"/>
        </w:r>
        <w:r w:rsidR="00DC58BE" w:rsidRPr="00ED3950">
          <w:rPr>
            <w:webHidden/>
            <w:lang w:val="cs-CZ"/>
          </w:rPr>
          <w:t>10</w:t>
        </w:r>
        <w:r w:rsidR="00DC58BE" w:rsidRPr="00ED3950">
          <w:rPr>
            <w:webHidden/>
            <w:lang w:val="cs-CZ"/>
          </w:rPr>
          <w:fldChar w:fldCharType="end"/>
        </w:r>
      </w:hyperlink>
    </w:p>
    <w:p w:rsidR="005840C5" w:rsidRPr="00ED3950" w:rsidRDefault="00ED3950">
      <w:pPr>
        <w:pStyle w:val="Obsah3"/>
        <w:tabs>
          <w:tab w:val="left" w:pos="1506"/>
          <w:tab w:val="right" w:leader="dot" w:pos="9016"/>
        </w:tabs>
        <w:rPr>
          <w:rFonts w:eastAsiaTheme="minorEastAsia" w:cstheme="minorBidi"/>
          <w:color w:val="auto"/>
          <w:sz w:val="24"/>
          <w:szCs w:val="24"/>
          <w:lang w:val="cs-CZ" w:eastAsia="en-GB"/>
        </w:rPr>
      </w:pPr>
      <w:hyperlink w:anchor="_Toc131775834" w:history="1">
        <w:r w:rsidR="00DC58BE" w:rsidRPr="00ED3950">
          <w:rPr>
            <w:rStyle w:val="Hypertextovodkaz"/>
            <w:lang w:val="cs-CZ"/>
          </w:rPr>
          <w:t>3.1.2</w:t>
        </w:r>
        <w:r w:rsidR="00DC58BE" w:rsidRPr="00ED3950">
          <w:rPr>
            <w:rFonts w:eastAsiaTheme="minorEastAsia" w:cstheme="minorBidi"/>
            <w:color w:val="auto"/>
            <w:sz w:val="24"/>
            <w:szCs w:val="24"/>
            <w:lang w:val="cs-CZ" w:eastAsia="en-GB"/>
          </w:rPr>
          <w:tab/>
        </w:r>
        <w:r w:rsidR="00DC58BE" w:rsidRPr="00ED3950">
          <w:rPr>
            <w:rStyle w:val="Hypertextovodkaz"/>
            <w:lang w:val="cs-CZ"/>
          </w:rPr>
          <w:t>Představení hlavních případů pro webinář</w:t>
        </w:r>
        <w:r w:rsidR="00DC58BE" w:rsidRPr="00ED3950">
          <w:rPr>
            <w:webHidden/>
            <w:lang w:val="cs-CZ"/>
          </w:rPr>
          <w:tab/>
        </w:r>
        <w:r w:rsidR="00DC58BE" w:rsidRPr="00ED3950">
          <w:rPr>
            <w:webHidden/>
            <w:lang w:val="cs-CZ"/>
          </w:rPr>
          <w:fldChar w:fldCharType="begin"/>
        </w:r>
        <w:r w:rsidR="00DC58BE" w:rsidRPr="00ED3950">
          <w:rPr>
            <w:webHidden/>
            <w:lang w:val="cs-CZ"/>
          </w:rPr>
          <w:instrText xml:space="preserve"> PAGEREF _Toc131775834 \h </w:instrText>
        </w:r>
        <w:r w:rsidR="00DC58BE" w:rsidRPr="00ED3950">
          <w:rPr>
            <w:webHidden/>
            <w:lang w:val="cs-CZ"/>
          </w:rPr>
        </w:r>
        <w:r w:rsidR="00DC58BE" w:rsidRPr="00ED3950">
          <w:rPr>
            <w:webHidden/>
            <w:lang w:val="cs-CZ"/>
          </w:rPr>
          <w:fldChar w:fldCharType="separate"/>
        </w:r>
        <w:r w:rsidR="00DC58BE" w:rsidRPr="00ED3950">
          <w:rPr>
            <w:webHidden/>
            <w:lang w:val="cs-CZ"/>
          </w:rPr>
          <w:t>10</w:t>
        </w:r>
        <w:r w:rsidR="00DC58BE" w:rsidRPr="00ED3950">
          <w:rPr>
            <w:webHidden/>
            <w:lang w:val="cs-CZ"/>
          </w:rPr>
          <w:fldChar w:fldCharType="end"/>
        </w:r>
      </w:hyperlink>
    </w:p>
    <w:p w:rsidR="005840C5" w:rsidRPr="00ED3950" w:rsidRDefault="00ED3950">
      <w:pPr>
        <w:pStyle w:val="Obsah3"/>
        <w:tabs>
          <w:tab w:val="left" w:pos="1506"/>
          <w:tab w:val="right" w:leader="dot" w:pos="9016"/>
        </w:tabs>
        <w:rPr>
          <w:rFonts w:eastAsiaTheme="minorEastAsia" w:cstheme="minorBidi"/>
          <w:color w:val="auto"/>
          <w:sz w:val="24"/>
          <w:szCs w:val="24"/>
          <w:lang w:val="cs-CZ" w:eastAsia="en-GB"/>
        </w:rPr>
      </w:pPr>
      <w:hyperlink w:anchor="_Toc131775835" w:history="1">
        <w:r w:rsidR="00DC58BE" w:rsidRPr="00ED3950">
          <w:rPr>
            <w:rStyle w:val="Hypertextovodkaz"/>
            <w:lang w:val="cs-CZ"/>
          </w:rPr>
          <w:t>3.1.3</w:t>
        </w:r>
        <w:r w:rsidR="00DC58BE" w:rsidRPr="00ED3950">
          <w:rPr>
            <w:rFonts w:eastAsiaTheme="minorEastAsia" w:cstheme="minorBidi"/>
            <w:color w:val="auto"/>
            <w:sz w:val="24"/>
            <w:szCs w:val="24"/>
            <w:lang w:val="cs-CZ" w:eastAsia="en-GB"/>
          </w:rPr>
          <w:tab/>
        </w:r>
        <w:r w:rsidR="00DC58BE" w:rsidRPr="00ED3950">
          <w:rPr>
            <w:rStyle w:val="Hypertextovodkaz"/>
            <w:lang w:val="cs-CZ"/>
          </w:rPr>
          <w:t>Replikovatelnost do českého prostředí</w:t>
        </w:r>
        <w:r w:rsidR="00DC58BE" w:rsidRPr="00ED3950">
          <w:rPr>
            <w:webHidden/>
            <w:lang w:val="cs-CZ"/>
          </w:rPr>
          <w:tab/>
        </w:r>
        <w:r w:rsidR="00DC58BE" w:rsidRPr="00ED3950">
          <w:rPr>
            <w:webHidden/>
            <w:lang w:val="cs-CZ"/>
          </w:rPr>
          <w:fldChar w:fldCharType="begin"/>
        </w:r>
        <w:r w:rsidR="00DC58BE" w:rsidRPr="00ED3950">
          <w:rPr>
            <w:webHidden/>
            <w:lang w:val="cs-CZ"/>
          </w:rPr>
          <w:instrText xml:space="preserve"> PAGEREF _Toc131775835 \h </w:instrText>
        </w:r>
        <w:r w:rsidR="00DC58BE" w:rsidRPr="00ED3950">
          <w:rPr>
            <w:webHidden/>
            <w:lang w:val="cs-CZ"/>
          </w:rPr>
        </w:r>
        <w:r w:rsidR="00DC58BE" w:rsidRPr="00ED3950">
          <w:rPr>
            <w:webHidden/>
            <w:lang w:val="cs-CZ"/>
          </w:rPr>
          <w:fldChar w:fldCharType="separate"/>
        </w:r>
        <w:r w:rsidR="00DC58BE" w:rsidRPr="00ED3950">
          <w:rPr>
            <w:webHidden/>
            <w:lang w:val="cs-CZ"/>
          </w:rPr>
          <w:t>13</w:t>
        </w:r>
        <w:r w:rsidR="00DC58BE" w:rsidRPr="00ED3950">
          <w:rPr>
            <w:webHidden/>
            <w:lang w:val="cs-CZ"/>
          </w:rPr>
          <w:fldChar w:fldCharType="end"/>
        </w:r>
      </w:hyperlink>
    </w:p>
    <w:p w:rsidR="005840C5" w:rsidRPr="00ED3950" w:rsidRDefault="00ED3950">
      <w:pPr>
        <w:pStyle w:val="Obsah2"/>
        <w:rPr>
          <w:rFonts w:eastAsiaTheme="minorEastAsia" w:cstheme="minorBidi"/>
          <w:b w:val="0"/>
          <w:bCs w:val="0"/>
          <w:color w:val="auto"/>
          <w:sz w:val="24"/>
          <w:szCs w:val="24"/>
          <w:lang w:val="cs-CZ" w:eastAsia="en-GB"/>
        </w:rPr>
      </w:pPr>
      <w:hyperlink w:anchor="_Toc131775836" w:history="1">
        <w:r w:rsidR="00DC58BE" w:rsidRPr="00ED3950">
          <w:rPr>
            <w:rStyle w:val="Hypertextovodkaz"/>
            <w:lang w:val="cs-CZ"/>
          </w:rPr>
          <w:t>3.2</w:t>
        </w:r>
        <w:r w:rsidR="00DC58BE" w:rsidRPr="00ED3950">
          <w:rPr>
            <w:rFonts w:eastAsiaTheme="minorEastAsia" w:cstheme="minorBidi"/>
            <w:b w:val="0"/>
            <w:bCs w:val="0"/>
            <w:color w:val="auto"/>
            <w:sz w:val="24"/>
            <w:szCs w:val="24"/>
            <w:lang w:val="cs-CZ" w:eastAsia="en-GB"/>
          </w:rPr>
          <w:tab/>
        </w:r>
        <w:r w:rsidR="00DC58BE" w:rsidRPr="00ED3950">
          <w:rPr>
            <w:rStyle w:val="Hypertextovodkaz"/>
            <w:lang w:val="cs-CZ"/>
          </w:rPr>
          <w:t>Provádění zjednodušeného a podrobného hodnocení DNSH</w:t>
        </w:r>
        <w:r w:rsidR="00DC58BE" w:rsidRPr="00ED3950">
          <w:rPr>
            <w:webHidden/>
            <w:lang w:val="cs-CZ"/>
          </w:rPr>
          <w:tab/>
        </w:r>
        <w:r w:rsidR="00DC58BE" w:rsidRPr="00ED3950">
          <w:rPr>
            <w:webHidden/>
            <w:lang w:val="cs-CZ"/>
          </w:rPr>
          <w:fldChar w:fldCharType="begin"/>
        </w:r>
        <w:r w:rsidR="00DC58BE" w:rsidRPr="00ED3950">
          <w:rPr>
            <w:webHidden/>
            <w:lang w:val="cs-CZ"/>
          </w:rPr>
          <w:instrText xml:space="preserve"> PAGEREF _Toc131775836 \h </w:instrText>
        </w:r>
        <w:r w:rsidR="00DC58BE" w:rsidRPr="00ED3950">
          <w:rPr>
            <w:webHidden/>
            <w:lang w:val="cs-CZ"/>
          </w:rPr>
        </w:r>
        <w:r w:rsidR="00DC58BE" w:rsidRPr="00ED3950">
          <w:rPr>
            <w:webHidden/>
            <w:lang w:val="cs-CZ"/>
          </w:rPr>
          <w:fldChar w:fldCharType="separate"/>
        </w:r>
        <w:r w:rsidR="00DC58BE" w:rsidRPr="00ED3950">
          <w:rPr>
            <w:webHidden/>
            <w:lang w:val="cs-CZ"/>
          </w:rPr>
          <w:t>14</w:t>
        </w:r>
        <w:r w:rsidR="00DC58BE" w:rsidRPr="00ED3950">
          <w:rPr>
            <w:webHidden/>
            <w:lang w:val="cs-CZ"/>
          </w:rPr>
          <w:fldChar w:fldCharType="end"/>
        </w:r>
      </w:hyperlink>
    </w:p>
    <w:p w:rsidR="005840C5" w:rsidRPr="00ED3950" w:rsidRDefault="00ED3950">
      <w:pPr>
        <w:pStyle w:val="Obsah3"/>
        <w:tabs>
          <w:tab w:val="left" w:pos="1506"/>
          <w:tab w:val="right" w:leader="dot" w:pos="9016"/>
        </w:tabs>
        <w:rPr>
          <w:rFonts w:eastAsiaTheme="minorEastAsia" w:cstheme="minorBidi"/>
          <w:color w:val="auto"/>
          <w:sz w:val="24"/>
          <w:szCs w:val="24"/>
          <w:lang w:val="cs-CZ" w:eastAsia="en-GB"/>
        </w:rPr>
      </w:pPr>
      <w:hyperlink w:anchor="_Toc131775837" w:history="1">
        <w:r w:rsidR="00DC58BE" w:rsidRPr="00ED3950">
          <w:rPr>
            <w:rStyle w:val="Hypertextovodkaz"/>
            <w:lang w:val="cs-CZ"/>
          </w:rPr>
          <w:t>3.2.1</w:t>
        </w:r>
        <w:r w:rsidR="00DC58BE" w:rsidRPr="00ED3950">
          <w:rPr>
            <w:rFonts w:eastAsiaTheme="minorEastAsia" w:cstheme="minorBidi"/>
            <w:color w:val="auto"/>
            <w:sz w:val="24"/>
            <w:szCs w:val="24"/>
            <w:lang w:val="cs-CZ" w:eastAsia="en-GB"/>
          </w:rPr>
          <w:tab/>
        </w:r>
        <w:r w:rsidR="00DC58BE" w:rsidRPr="00ED3950">
          <w:rPr>
            <w:rStyle w:val="Hypertextovodkaz"/>
            <w:lang w:val="cs-CZ"/>
          </w:rPr>
          <w:t>Kontext výzvy</w:t>
        </w:r>
        <w:r w:rsidR="00DC58BE" w:rsidRPr="00ED3950">
          <w:rPr>
            <w:webHidden/>
            <w:lang w:val="cs-CZ"/>
          </w:rPr>
          <w:tab/>
        </w:r>
        <w:r w:rsidR="00DC58BE" w:rsidRPr="00ED3950">
          <w:rPr>
            <w:webHidden/>
            <w:lang w:val="cs-CZ"/>
          </w:rPr>
          <w:fldChar w:fldCharType="begin"/>
        </w:r>
        <w:r w:rsidR="00DC58BE" w:rsidRPr="00ED3950">
          <w:rPr>
            <w:webHidden/>
            <w:lang w:val="cs-CZ"/>
          </w:rPr>
          <w:instrText xml:space="preserve"> PAGEREF _Toc131775837 \h </w:instrText>
        </w:r>
        <w:r w:rsidR="00DC58BE" w:rsidRPr="00ED3950">
          <w:rPr>
            <w:webHidden/>
            <w:lang w:val="cs-CZ"/>
          </w:rPr>
        </w:r>
        <w:r w:rsidR="00DC58BE" w:rsidRPr="00ED3950">
          <w:rPr>
            <w:webHidden/>
            <w:lang w:val="cs-CZ"/>
          </w:rPr>
          <w:fldChar w:fldCharType="separate"/>
        </w:r>
        <w:r w:rsidR="00DC58BE" w:rsidRPr="00ED3950">
          <w:rPr>
            <w:webHidden/>
            <w:lang w:val="cs-CZ"/>
          </w:rPr>
          <w:t>14</w:t>
        </w:r>
        <w:r w:rsidR="00DC58BE" w:rsidRPr="00ED3950">
          <w:rPr>
            <w:webHidden/>
            <w:lang w:val="cs-CZ"/>
          </w:rPr>
          <w:fldChar w:fldCharType="end"/>
        </w:r>
      </w:hyperlink>
    </w:p>
    <w:p w:rsidR="005840C5" w:rsidRPr="00ED3950" w:rsidRDefault="00ED3950">
      <w:pPr>
        <w:pStyle w:val="Obsah3"/>
        <w:tabs>
          <w:tab w:val="left" w:pos="1506"/>
          <w:tab w:val="right" w:leader="dot" w:pos="9016"/>
        </w:tabs>
        <w:rPr>
          <w:rFonts w:eastAsiaTheme="minorEastAsia" w:cstheme="minorBidi"/>
          <w:color w:val="auto"/>
          <w:sz w:val="24"/>
          <w:szCs w:val="24"/>
          <w:lang w:val="cs-CZ" w:eastAsia="en-GB"/>
        </w:rPr>
      </w:pPr>
      <w:hyperlink w:anchor="_Toc131775838" w:history="1">
        <w:r w:rsidR="00DC58BE" w:rsidRPr="00ED3950">
          <w:rPr>
            <w:rStyle w:val="Hypertextovodkaz"/>
            <w:lang w:val="cs-CZ"/>
          </w:rPr>
          <w:t>3.2.2</w:t>
        </w:r>
        <w:r w:rsidR="00DC58BE" w:rsidRPr="00ED3950">
          <w:rPr>
            <w:rFonts w:eastAsiaTheme="minorEastAsia" w:cstheme="minorBidi"/>
            <w:color w:val="auto"/>
            <w:sz w:val="24"/>
            <w:szCs w:val="24"/>
            <w:lang w:val="cs-CZ" w:eastAsia="en-GB"/>
          </w:rPr>
          <w:tab/>
        </w:r>
        <w:r w:rsidR="00DC58BE" w:rsidRPr="00ED3950">
          <w:rPr>
            <w:rStyle w:val="Hypertextovodkaz"/>
            <w:lang w:val="cs-CZ"/>
          </w:rPr>
          <w:t>Představení případů, na které se zaměřujeme</w:t>
        </w:r>
        <w:r w:rsidR="00DC58BE" w:rsidRPr="00ED3950">
          <w:rPr>
            <w:webHidden/>
            <w:lang w:val="cs-CZ"/>
          </w:rPr>
          <w:tab/>
        </w:r>
        <w:r w:rsidR="00DC58BE" w:rsidRPr="00ED3950">
          <w:rPr>
            <w:webHidden/>
            <w:lang w:val="cs-CZ"/>
          </w:rPr>
          <w:fldChar w:fldCharType="begin"/>
        </w:r>
        <w:r w:rsidR="00DC58BE" w:rsidRPr="00ED3950">
          <w:rPr>
            <w:webHidden/>
            <w:lang w:val="cs-CZ"/>
          </w:rPr>
          <w:instrText xml:space="preserve"> PAGEREF _Toc131775838 \h </w:instrText>
        </w:r>
        <w:r w:rsidR="00DC58BE" w:rsidRPr="00ED3950">
          <w:rPr>
            <w:webHidden/>
            <w:lang w:val="cs-CZ"/>
          </w:rPr>
        </w:r>
        <w:r w:rsidR="00DC58BE" w:rsidRPr="00ED3950">
          <w:rPr>
            <w:webHidden/>
            <w:lang w:val="cs-CZ"/>
          </w:rPr>
          <w:fldChar w:fldCharType="separate"/>
        </w:r>
        <w:r w:rsidR="00DC58BE" w:rsidRPr="00ED3950">
          <w:rPr>
            <w:webHidden/>
            <w:lang w:val="cs-CZ"/>
          </w:rPr>
          <w:t>15</w:t>
        </w:r>
        <w:r w:rsidR="00DC58BE" w:rsidRPr="00ED3950">
          <w:rPr>
            <w:webHidden/>
            <w:lang w:val="cs-CZ"/>
          </w:rPr>
          <w:fldChar w:fldCharType="end"/>
        </w:r>
      </w:hyperlink>
    </w:p>
    <w:p w:rsidR="005840C5" w:rsidRPr="00ED3950" w:rsidRDefault="00ED3950">
      <w:pPr>
        <w:pStyle w:val="Obsah3"/>
        <w:tabs>
          <w:tab w:val="left" w:pos="1506"/>
          <w:tab w:val="right" w:leader="dot" w:pos="9016"/>
        </w:tabs>
        <w:rPr>
          <w:rFonts w:eastAsiaTheme="minorEastAsia" w:cstheme="minorBidi"/>
          <w:color w:val="auto"/>
          <w:sz w:val="24"/>
          <w:szCs w:val="24"/>
          <w:lang w:val="cs-CZ" w:eastAsia="en-GB"/>
        </w:rPr>
      </w:pPr>
      <w:hyperlink w:anchor="_Toc131775839" w:history="1">
        <w:r w:rsidR="00DC58BE" w:rsidRPr="00ED3950">
          <w:rPr>
            <w:rStyle w:val="Hypertextovodkaz"/>
            <w:lang w:val="cs-CZ"/>
          </w:rPr>
          <w:t>3.2.3</w:t>
        </w:r>
        <w:r w:rsidR="00DC58BE" w:rsidRPr="00ED3950">
          <w:rPr>
            <w:rFonts w:eastAsiaTheme="minorEastAsia" w:cstheme="minorBidi"/>
            <w:color w:val="auto"/>
            <w:sz w:val="24"/>
            <w:szCs w:val="24"/>
            <w:lang w:val="cs-CZ" w:eastAsia="en-GB"/>
          </w:rPr>
          <w:tab/>
        </w:r>
        <w:r w:rsidR="00DC58BE" w:rsidRPr="00ED3950">
          <w:rPr>
            <w:rStyle w:val="Hypertextovodkaz"/>
            <w:lang w:val="cs-CZ"/>
          </w:rPr>
          <w:t>Replikovatelnost do českého prostředí</w:t>
        </w:r>
        <w:r w:rsidR="00DC58BE" w:rsidRPr="00ED3950">
          <w:rPr>
            <w:webHidden/>
            <w:lang w:val="cs-CZ"/>
          </w:rPr>
          <w:tab/>
        </w:r>
        <w:r w:rsidR="00DC58BE" w:rsidRPr="00ED3950">
          <w:rPr>
            <w:webHidden/>
            <w:lang w:val="cs-CZ"/>
          </w:rPr>
          <w:fldChar w:fldCharType="begin"/>
        </w:r>
        <w:r w:rsidR="00DC58BE" w:rsidRPr="00ED3950">
          <w:rPr>
            <w:webHidden/>
            <w:lang w:val="cs-CZ"/>
          </w:rPr>
          <w:instrText xml:space="preserve"> PAGEREF _Toc131775839 \h </w:instrText>
        </w:r>
        <w:r w:rsidR="00DC58BE" w:rsidRPr="00ED3950">
          <w:rPr>
            <w:webHidden/>
            <w:lang w:val="cs-CZ"/>
          </w:rPr>
        </w:r>
        <w:r w:rsidR="00DC58BE" w:rsidRPr="00ED3950">
          <w:rPr>
            <w:webHidden/>
            <w:lang w:val="cs-CZ"/>
          </w:rPr>
          <w:fldChar w:fldCharType="separate"/>
        </w:r>
        <w:r w:rsidR="00DC58BE" w:rsidRPr="00ED3950">
          <w:rPr>
            <w:webHidden/>
            <w:lang w:val="cs-CZ"/>
          </w:rPr>
          <w:t>17</w:t>
        </w:r>
        <w:r w:rsidR="00DC58BE" w:rsidRPr="00ED3950">
          <w:rPr>
            <w:webHidden/>
            <w:lang w:val="cs-CZ"/>
          </w:rPr>
          <w:fldChar w:fldCharType="end"/>
        </w:r>
      </w:hyperlink>
    </w:p>
    <w:p w:rsidR="005840C5" w:rsidRPr="00ED3950" w:rsidRDefault="00ED3950">
      <w:pPr>
        <w:pStyle w:val="Obsah2"/>
        <w:rPr>
          <w:rFonts w:eastAsiaTheme="minorEastAsia" w:cstheme="minorBidi"/>
          <w:b w:val="0"/>
          <w:bCs w:val="0"/>
          <w:color w:val="auto"/>
          <w:sz w:val="24"/>
          <w:szCs w:val="24"/>
          <w:lang w:val="cs-CZ" w:eastAsia="en-GB"/>
        </w:rPr>
      </w:pPr>
      <w:hyperlink w:anchor="_Toc131775840" w:history="1">
        <w:r w:rsidR="00DC58BE" w:rsidRPr="00ED3950">
          <w:rPr>
            <w:rStyle w:val="Hypertextovodkaz"/>
            <w:lang w:val="cs-CZ"/>
          </w:rPr>
          <w:t>3.3</w:t>
        </w:r>
        <w:r w:rsidR="00DC58BE" w:rsidRPr="00ED3950">
          <w:rPr>
            <w:rFonts w:eastAsiaTheme="minorEastAsia" w:cstheme="minorBidi"/>
            <w:b w:val="0"/>
            <w:bCs w:val="0"/>
            <w:color w:val="auto"/>
            <w:sz w:val="24"/>
            <w:szCs w:val="24"/>
            <w:lang w:val="cs-CZ" w:eastAsia="en-GB"/>
          </w:rPr>
          <w:tab/>
        </w:r>
        <w:r w:rsidR="00DC58BE" w:rsidRPr="00ED3950">
          <w:rPr>
            <w:rStyle w:val="Hypertextovodkaz"/>
            <w:lang w:val="cs-CZ"/>
          </w:rPr>
          <w:t>Uplatnění principu DNSH na projekty výzkumu a vývoje a zelené inovace</w:t>
        </w:r>
        <w:r w:rsidR="00DC58BE" w:rsidRPr="00ED3950">
          <w:rPr>
            <w:webHidden/>
            <w:lang w:val="cs-CZ"/>
          </w:rPr>
          <w:tab/>
        </w:r>
        <w:r w:rsidR="00DC58BE" w:rsidRPr="00ED3950">
          <w:rPr>
            <w:webHidden/>
            <w:lang w:val="cs-CZ"/>
          </w:rPr>
          <w:fldChar w:fldCharType="begin"/>
        </w:r>
        <w:r w:rsidR="00DC58BE" w:rsidRPr="00ED3950">
          <w:rPr>
            <w:webHidden/>
            <w:lang w:val="cs-CZ"/>
          </w:rPr>
          <w:instrText xml:space="preserve"> PAGEREF _Toc131775840 \h </w:instrText>
        </w:r>
        <w:r w:rsidR="00DC58BE" w:rsidRPr="00ED3950">
          <w:rPr>
            <w:webHidden/>
            <w:lang w:val="cs-CZ"/>
          </w:rPr>
        </w:r>
        <w:r w:rsidR="00DC58BE" w:rsidRPr="00ED3950">
          <w:rPr>
            <w:webHidden/>
            <w:lang w:val="cs-CZ"/>
          </w:rPr>
          <w:fldChar w:fldCharType="separate"/>
        </w:r>
        <w:r w:rsidR="00DC58BE" w:rsidRPr="00ED3950">
          <w:rPr>
            <w:webHidden/>
            <w:lang w:val="cs-CZ"/>
          </w:rPr>
          <w:t>18</w:t>
        </w:r>
        <w:r w:rsidR="00DC58BE" w:rsidRPr="00ED3950">
          <w:rPr>
            <w:webHidden/>
            <w:lang w:val="cs-CZ"/>
          </w:rPr>
          <w:fldChar w:fldCharType="end"/>
        </w:r>
      </w:hyperlink>
    </w:p>
    <w:p w:rsidR="005840C5" w:rsidRPr="00ED3950" w:rsidRDefault="00ED3950">
      <w:pPr>
        <w:pStyle w:val="Obsah3"/>
        <w:tabs>
          <w:tab w:val="left" w:pos="1506"/>
          <w:tab w:val="right" w:leader="dot" w:pos="9016"/>
        </w:tabs>
        <w:rPr>
          <w:rFonts w:eastAsiaTheme="minorEastAsia" w:cstheme="minorBidi"/>
          <w:color w:val="auto"/>
          <w:sz w:val="24"/>
          <w:szCs w:val="24"/>
          <w:lang w:val="cs-CZ" w:eastAsia="en-GB"/>
        </w:rPr>
      </w:pPr>
      <w:hyperlink w:anchor="_Toc131775841" w:history="1">
        <w:r w:rsidR="00DC58BE" w:rsidRPr="00ED3950">
          <w:rPr>
            <w:rStyle w:val="Hypertextovodkaz"/>
            <w:lang w:val="cs-CZ"/>
          </w:rPr>
          <w:t>3.3.1</w:t>
        </w:r>
        <w:r w:rsidR="00DC58BE" w:rsidRPr="00ED3950">
          <w:rPr>
            <w:rFonts w:eastAsiaTheme="minorEastAsia" w:cstheme="minorBidi"/>
            <w:color w:val="auto"/>
            <w:sz w:val="24"/>
            <w:szCs w:val="24"/>
            <w:lang w:val="cs-CZ" w:eastAsia="en-GB"/>
          </w:rPr>
          <w:tab/>
        </w:r>
        <w:r w:rsidR="00DC58BE" w:rsidRPr="00ED3950">
          <w:rPr>
            <w:rStyle w:val="Hypertextovodkaz"/>
            <w:lang w:val="cs-CZ"/>
          </w:rPr>
          <w:t>Kontext výzvy</w:t>
        </w:r>
        <w:r w:rsidR="00DC58BE" w:rsidRPr="00ED3950">
          <w:rPr>
            <w:webHidden/>
            <w:lang w:val="cs-CZ"/>
          </w:rPr>
          <w:tab/>
        </w:r>
        <w:r w:rsidR="00DC58BE" w:rsidRPr="00ED3950">
          <w:rPr>
            <w:webHidden/>
            <w:lang w:val="cs-CZ"/>
          </w:rPr>
          <w:fldChar w:fldCharType="begin"/>
        </w:r>
        <w:r w:rsidR="00DC58BE" w:rsidRPr="00ED3950">
          <w:rPr>
            <w:webHidden/>
            <w:lang w:val="cs-CZ"/>
          </w:rPr>
          <w:instrText xml:space="preserve"> PAGEREF _Toc131775841 \h </w:instrText>
        </w:r>
        <w:r w:rsidR="00DC58BE" w:rsidRPr="00ED3950">
          <w:rPr>
            <w:webHidden/>
            <w:lang w:val="cs-CZ"/>
          </w:rPr>
        </w:r>
        <w:r w:rsidR="00DC58BE" w:rsidRPr="00ED3950">
          <w:rPr>
            <w:webHidden/>
            <w:lang w:val="cs-CZ"/>
          </w:rPr>
          <w:fldChar w:fldCharType="separate"/>
        </w:r>
        <w:r w:rsidR="00DC58BE" w:rsidRPr="00ED3950">
          <w:rPr>
            <w:webHidden/>
            <w:lang w:val="cs-CZ"/>
          </w:rPr>
          <w:t>18</w:t>
        </w:r>
        <w:r w:rsidR="00DC58BE" w:rsidRPr="00ED3950">
          <w:rPr>
            <w:webHidden/>
            <w:lang w:val="cs-CZ"/>
          </w:rPr>
          <w:fldChar w:fldCharType="end"/>
        </w:r>
      </w:hyperlink>
    </w:p>
    <w:p w:rsidR="005840C5" w:rsidRPr="00ED3950" w:rsidRDefault="00ED3950">
      <w:pPr>
        <w:pStyle w:val="Obsah3"/>
        <w:tabs>
          <w:tab w:val="left" w:pos="1506"/>
          <w:tab w:val="right" w:leader="dot" w:pos="9016"/>
        </w:tabs>
        <w:rPr>
          <w:rFonts w:eastAsiaTheme="minorEastAsia" w:cstheme="minorBidi"/>
          <w:color w:val="auto"/>
          <w:sz w:val="24"/>
          <w:szCs w:val="24"/>
          <w:lang w:val="cs-CZ" w:eastAsia="en-GB"/>
        </w:rPr>
      </w:pPr>
      <w:hyperlink w:anchor="_Toc131775842" w:history="1">
        <w:r w:rsidR="00DC58BE" w:rsidRPr="00ED3950">
          <w:rPr>
            <w:rStyle w:val="Hypertextovodkaz"/>
            <w:lang w:val="cs-CZ"/>
          </w:rPr>
          <w:t>3.3.2</w:t>
        </w:r>
        <w:r w:rsidR="00DC58BE" w:rsidRPr="00ED3950">
          <w:rPr>
            <w:rFonts w:eastAsiaTheme="minorEastAsia" w:cstheme="minorBidi"/>
            <w:color w:val="auto"/>
            <w:sz w:val="24"/>
            <w:szCs w:val="24"/>
            <w:lang w:val="cs-CZ" w:eastAsia="en-GB"/>
          </w:rPr>
          <w:tab/>
        </w:r>
        <w:r w:rsidR="00DC58BE" w:rsidRPr="00ED3950">
          <w:rPr>
            <w:rStyle w:val="Hypertextovodkaz"/>
            <w:lang w:val="cs-CZ"/>
          </w:rPr>
          <w:t>Představení případů, na které se zaměřujeme</w:t>
        </w:r>
        <w:r w:rsidR="00DC58BE" w:rsidRPr="00ED3950">
          <w:rPr>
            <w:webHidden/>
            <w:lang w:val="cs-CZ"/>
          </w:rPr>
          <w:tab/>
        </w:r>
        <w:r w:rsidR="00DC58BE" w:rsidRPr="00ED3950">
          <w:rPr>
            <w:webHidden/>
            <w:lang w:val="cs-CZ"/>
          </w:rPr>
          <w:fldChar w:fldCharType="begin"/>
        </w:r>
        <w:r w:rsidR="00DC58BE" w:rsidRPr="00ED3950">
          <w:rPr>
            <w:webHidden/>
            <w:lang w:val="cs-CZ"/>
          </w:rPr>
          <w:instrText xml:space="preserve"> PAGEREF _Toc131775842 \h </w:instrText>
        </w:r>
        <w:r w:rsidR="00DC58BE" w:rsidRPr="00ED3950">
          <w:rPr>
            <w:webHidden/>
            <w:lang w:val="cs-CZ"/>
          </w:rPr>
        </w:r>
        <w:r w:rsidR="00DC58BE" w:rsidRPr="00ED3950">
          <w:rPr>
            <w:webHidden/>
            <w:lang w:val="cs-CZ"/>
          </w:rPr>
          <w:fldChar w:fldCharType="separate"/>
        </w:r>
        <w:r w:rsidR="00DC58BE" w:rsidRPr="00ED3950">
          <w:rPr>
            <w:webHidden/>
            <w:lang w:val="cs-CZ"/>
          </w:rPr>
          <w:t>18</w:t>
        </w:r>
        <w:r w:rsidR="00DC58BE" w:rsidRPr="00ED3950">
          <w:rPr>
            <w:webHidden/>
            <w:lang w:val="cs-CZ"/>
          </w:rPr>
          <w:fldChar w:fldCharType="end"/>
        </w:r>
      </w:hyperlink>
    </w:p>
    <w:p w:rsidR="005840C5" w:rsidRPr="00ED3950" w:rsidRDefault="00ED3950">
      <w:pPr>
        <w:pStyle w:val="Obsah3"/>
        <w:tabs>
          <w:tab w:val="left" w:pos="1506"/>
          <w:tab w:val="right" w:leader="dot" w:pos="9016"/>
        </w:tabs>
        <w:rPr>
          <w:rFonts w:eastAsiaTheme="minorEastAsia" w:cstheme="minorBidi"/>
          <w:color w:val="auto"/>
          <w:sz w:val="24"/>
          <w:szCs w:val="24"/>
          <w:lang w:val="cs-CZ" w:eastAsia="en-GB"/>
        </w:rPr>
      </w:pPr>
      <w:hyperlink w:anchor="_Toc131775843" w:history="1">
        <w:r w:rsidR="00DC58BE" w:rsidRPr="00ED3950">
          <w:rPr>
            <w:rStyle w:val="Hypertextovodkaz"/>
            <w:lang w:val="cs-CZ"/>
          </w:rPr>
          <w:t>3.3.3</w:t>
        </w:r>
        <w:r w:rsidR="00DC58BE" w:rsidRPr="00ED3950">
          <w:rPr>
            <w:rFonts w:eastAsiaTheme="minorEastAsia" w:cstheme="minorBidi"/>
            <w:color w:val="auto"/>
            <w:sz w:val="24"/>
            <w:szCs w:val="24"/>
            <w:lang w:val="cs-CZ" w:eastAsia="en-GB"/>
          </w:rPr>
          <w:tab/>
        </w:r>
        <w:r w:rsidR="00DC58BE" w:rsidRPr="00ED3950">
          <w:rPr>
            <w:rStyle w:val="Hypertextovodkaz"/>
            <w:lang w:val="cs-CZ"/>
          </w:rPr>
          <w:t>Replikovatelnost do českého kontextu</w:t>
        </w:r>
        <w:r w:rsidR="00DC58BE" w:rsidRPr="00ED3950">
          <w:rPr>
            <w:webHidden/>
            <w:lang w:val="cs-CZ"/>
          </w:rPr>
          <w:tab/>
        </w:r>
        <w:r w:rsidR="00DC58BE" w:rsidRPr="00ED3950">
          <w:rPr>
            <w:webHidden/>
            <w:lang w:val="cs-CZ"/>
          </w:rPr>
          <w:fldChar w:fldCharType="begin"/>
        </w:r>
        <w:r w:rsidR="00DC58BE" w:rsidRPr="00ED3950">
          <w:rPr>
            <w:webHidden/>
            <w:lang w:val="cs-CZ"/>
          </w:rPr>
          <w:instrText xml:space="preserve"> PAGEREF _Toc131775843 \h </w:instrText>
        </w:r>
        <w:r w:rsidR="00DC58BE" w:rsidRPr="00ED3950">
          <w:rPr>
            <w:webHidden/>
            <w:lang w:val="cs-CZ"/>
          </w:rPr>
        </w:r>
        <w:r w:rsidR="00DC58BE" w:rsidRPr="00ED3950">
          <w:rPr>
            <w:webHidden/>
            <w:lang w:val="cs-CZ"/>
          </w:rPr>
          <w:fldChar w:fldCharType="separate"/>
        </w:r>
        <w:r w:rsidR="00DC58BE" w:rsidRPr="00ED3950">
          <w:rPr>
            <w:webHidden/>
            <w:lang w:val="cs-CZ"/>
          </w:rPr>
          <w:t>21</w:t>
        </w:r>
        <w:r w:rsidR="00DC58BE" w:rsidRPr="00ED3950">
          <w:rPr>
            <w:webHidden/>
            <w:lang w:val="cs-CZ"/>
          </w:rPr>
          <w:fldChar w:fldCharType="end"/>
        </w:r>
      </w:hyperlink>
    </w:p>
    <w:p w:rsidR="005840C5" w:rsidRPr="00ED3950" w:rsidRDefault="00ED3950">
      <w:pPr>
        <w:pStyle w:val="Obsah1"/>
        <w:rPr>
          <w:rFonts w:eastAsiaTheme="minorEastAsia"/>
          <w:b w:val="0"/>
          <w:bCs w:val="0"/>
          <w:color w:val="auto"/>
          <w:sz w:val="24"/>
          <w:lang w:val="cs-CZ" w:eastAsia="en-GB"/>
        </w:rPr>
      </w:pPr>
      <w:hyperlink w:anchor="_Toc131775844" w:history="1">
        <w:r w:rsidR="00DC58BE" w:rsidRPr="00ED3950">
          <w:rPr>
            <w:rStyle w:val="Hypertextovodkaz"/>
            <w:lang w:val="cs-CZ"/>
          </w:rPr>
          <w:t>4</w:t>
        </w:r>
        <w:r w:rsidR="00DC58BE" w:rsidRPr="00ED3950">
          <w:rPr>
            <w:rFonts w:eastAsiaTheme="minorEastAsia"/>
            <w:b w:val="0"/>
            <w:bCs w:val="0"/>
            <w:color w:val="auto"/>
            <w:sz w:val="24"/>
            <w:lang w:val="cs-CZ" w:eastAsia="en-GB"/>
          </w:rPr>
          <w:tab/>
        </w:r>
        <w:r w:rsidR="00DC58BE" w:rsidRPr="00ED3950">
          <w:rPr>
            <w:rStyle w:val="Hypertextovodkaz"/>
            <w:lang w:val="cs-CZ"/>
          </w:rPr>
          <w:t>Webové semináře pro vzájemnou výměnu zkušeností</w:t>
        </w:r>
        <w:r w:rsidR="00DC58BE" w:rsidRPr="00ED3950">
          <w:rPr>
            <w:webHidden/>
            <w:lang w:val="cs-CZ"/>
          </w:rPr>
          <w:tab/>
        </w:r>
        <w:r w:rsidR="00DC58BE" w:rsidRPr="00ED3950">
          <w:rPr>
            <w:webHidden/>
            <w:lang w:val="cs-CZ"/>
          </w:rPr>
          <w:fldChar w:fldCharType="begin"/>
        </w:r>
        <w:r w:rsidR="00DC58BE" w:rsidRPr="00ED3950">
          <w:rPr>
            <w:webHidden/>
            <w:lang w:val="cs-CZ"/>
          </w:rPr>
          <w:instrText xml:space="preserve"> PAGEREF _Toc131775844 \h </w:instrText>
        </w:r>
        <w:r w:rsidR="00DC58BE" w:rsidRPr="00ED3950">
          <w:rPr>
            <w:webHidden/>
            <w:lang w:val="cs-CZ"/>
          </w:rPr>
        </w:r>
        <w:r w:rsidR="00DC58BE" w:rsidRPr="00ED3950">
          <w:rPr>
            <w:webHidden/>
            <w:lang w:val="cs-CZ"/>
          </w:rPr>
          <w:fldChar w:fldCharType="separate"/>
        </w:r>
        <w:r w:rsidR="00DC58BE" w:rsidRPr="00ED3950">
          <w:rPr>
            <w:webHidden/>
            <w:lang w:val="cs-CZ"/>
          </w:rPr>
          <w:t>23</w:t>
        </w:r>
        <w:r w:rsidR="00DC58BE" w:rsidRPr="00ED3950">
          <w:rPr>
            <w:webHidden/>
            <w:lang w:val="cs-CZ"/>
          </w:rPr>
          <w:fldChar w:fldCharType="end"/>
        </w:r>
      </w:hyperlink>
    </w:p>
    <w:p w:rsidR="005840C5" w:rsidRPr="00ED3950" w:rsidRDefault="00ED3950">
      <w:pPr>
        <w:pStyle w:val="Obsah2"/>
        <w:rPr>
          <w:rFonts w:eastAsiaTheme="minorEastAsia" w:cstheme="minorBidi"/>
          <w:b w:val="0"/>
          <w:bCs w:val="0"/>
          <w:color w:val="auto"/>
          <w:sz w:val="24"/>
          <w:szCs w:val="24"/>
          <w:lang w:val="cs-CZ" w:eastAsia="en-GB"/>
        </w:rPr>
      </w:pPr>
      <w:hyperlink w:anchor="_Toc131775845" w:history="1">
        <w:r w:rsidR="00DC58BE" w:rsidRPr="00ED3950">
          <w:rPr>
            <w:rStyle w:val="Hypertextovodkaz"/>
            <w:lang w:val="cs-CZ"/>
          </w:rPr>
          <w:t>4.1</w:t>
        </w:r>
        <w:r w:rsidR="00DC58BE" w:rsidRPr="00ED3950">
          <w:rPr>
            <w:rFonts w:eastAsiaTheme="minorEastAsia" w:cstheme="minorBidi"/>
            <w:b w:val="0"/>
            <w:bCs w:val="0"/>
            <w:color w:val="auto"/>
            <w:sz w:val="24"/>
            <w:szCs w:val="24"/>
            <w:lang w:val="cs-CZ" w:eastAsia="en-GB"/>
          </w:rPr>
          <w:tab/>
        </w:r>
        <w:r w:rsidR="00DC58BE" w:rsidRPr="00ED3950">
          <w:rPr>
            <w:rStyle w:val="Hypertextovodkaz"/>
            <w:lang w:val="cs-CZ"/>
          </w:rPr>
          <w:t>Webinář 1: Řídicí procesy pro uplatňování zásady DNSH</w:t>
        </w:r>
        <w:r w:rsidR="00DC58BE" w:rsidRPr="00ED3950">
          <w:rPr>
            <w:webHidden/>
            <w:lang w:val="cs-CZ"/>
          </w:rPr>
          <w:tab/>
        </w:r>
        <w:r w:rsidR="00DC58BE" w:rsidRPr="00ED3950">
          <w:rPr>
            <w:webHidden/>
            <w:lang w:val="cs-CZ"/>
          </w:rPr>
          <w:fldChar w:fldCharType="begin"/>
        </w:r>
        <w:r w:rsidR="00DC58BE" w:rsidRPr="00ED3950">
          <w:rPr>
            <w:webHidden/>
            <w:lang w:val="cs-CZ"/>
          </w:rPr>
          <w:instrText xml:space="preserve"> PAGEREF _Toc131775845 \h </w:instrText>
        </w:r>
        <w:r w:rsidR="00DC58BE" w:rsidRPr="00ED3950">
          <w:rPr>
            <w:webHidden/>
            <w:lang w:val="cs-CZ"/>
          </w:rPr>
        </w:r>
        <w:r w:rsidR="00DC58BE" w:rsidRPr="00ED3950">
          <w:rPr>
            <w:webHidden/>
            <w:lang w:val="cs-CZ"/>
          </w:rPr>
          <w:fldChar w:fldCharType="separate"/>
        </w:r>
        <w:r w:rsidR="00DC58BE" w:rsidRPr="00ED3950">
          <w:rPr>
            <w:webHidden/>
            <w:lang w:val="cs-CZ"/>
          </w:rPr>
          <w:t>23</w:t>
        </w:r>
        <w:r w:rsidR="00DC58BE" w:rsidRPr="00ED3950">
          <w:rPr>
            <w:webHidden/>
            <w:lang w:val="cs-CZ"/>
          </w:rPr>
          <w:fldChar w:fldCharType="end"/>
        </w:r>
      </w:hyperlink>
    </w:p>
    <w:p w:rsidR="005840C5" w:rsidRPr="00ED3950" w:rsidRDefault="00ED3950">
      <w:pPr>
        <w:pStyle w:val="Obsah3"/>
        <w:tabs>
          <w:tab w:val="left" w:pos="1506"/>
          <w:tab w:val="right" w:leader="dot" w:pos="9016"/>
        </w:tabs>
        <w:rPr>
          <w:rFonts w:eastAsiaTheme="minorEastAsia" w:cstheme="minorBidi"/>
          <w:color w:val="auto"/>
          <w:sz w:val="24"/>
          <w:szCs w:val="24"/>
          <w:lang w:val="cs-CZ" w:eastAsia="en-GB"/>
        </w:rPr>
      </w:pPr>
      <w:hyperlink w:anchor="_Toc131775846" w:history="1">
        <w:r w:rsidR="00DC58BE" w:rsidRPr="00ED3950">
          <w:rPr>
            <w:rStyle w:val="Hypertextovodkaz"/>
            <w:bdr w:val="none" w:sz="0" w:space="0" w:color="auto" w:frame="1"/>
            <w:lang w:val="cs-CZ"/>
          </w:rPr>
          <w:t>4.1.1</w:t>
        </w:r>
        <w:r w:rsidR="00DC58BE" w:rsidRPr="00ED3950">
          <w:rPr>
            <w:rFonts w:eastAsiaTheme="minorEastAsia" w:cstheme="minorBidi"/>
            <w:color w:val="auto"/>
            <w:sz w:val="24"/>
            <w:szCs w:val="24"/>
            <w:lang w:val="cs-CZ" w:eastAsia="en-GB"/>
          </w:rPr>
          <w:tab/>
        </w:r>
        <w:r w:rsidR="00DC58BE" w:rsidRPr="00ED3950">
          <w:rPr>
            <w:rStyle w:val="Hypertextovodkaz"/>
            <w:bdr w:val="none" w:sz="0" w:space="0" w:color="auto" w:frame="1"/>
            <w:lang w:val="cs-CZ"/>
          </w:rPr>
          <w:t>Hlavní body diskuse a závěry webináře</w:t>
        </w:r>
        <w:r w:rsidR="00DC58BE" w:rsidRPr="00ED3950">
          <w:rPr>
            <w:webHidden/>
            <w:lang w:val="cs-CZ"/>
          </w:rPr>
          <w:tab/>
        </w:r>
        <w:r w:rsidR="00DC58BE" w:rsidRPr="00ED3950">
          <w:rPr>
            <w:webHidden/>
            <w:lang w:val="cs-CZ"/>
          </w:rPr>
          <w:fldChar w:fldCharType="begin"/>
        </w:r>
        <w:r w:rsidR="00DC58BE" w:rsidRPr="00ED3950">
          <w:rPr>
            <w:webHidden/>
            <w:lang w:val="cs-CZ"/>
          </w:rPr>
          <w:instrText xml:space="preserve"> PAGEREF _Toc131775846 \h </w:instrText>
        </w:r>
        <w:r w:rsidR="00DC58BE" w:rsidRPr="00ED3950">
          <w:rPr>
            <w:webHidden/>
            <w:lang w:val="cs-CZ"/>
          </w:rPr>
        </w:r>
        <w:r w:rsidR="00DC58BE" w:rsidRPr="00ED3950">
          <w:rPr>
            <w:webHidden/>
            <w:lang w:val="cs-CZ"/>
          </w:rPr>
          <w:fldChar w:fldCharType="separate"/>
        </w:r>
        <w:r w:rsidR="00DC58BE" w:rsidRPr="00ED3950">
          <w:rPr>
            <w:webHidden/>
            <w:lang w:val="cs-CZ"/>
          </w:rPr>
          <w:t>23</w:t>
        </w:r>
        <w:r w:rsidR="00DC58BE" w:rsidRPr="00ED3950">
          <w:rPr>
            <w:webHidden/>
            <w:lang w:val="cs-CZ"/>
          </w:rPr>
          <w:fldChar w:fldCharType="end"/>
        </w:r>
      </w:hyperlink>
    </w:p>
    <w:p w:rsidR="005840C5" w:rsidRPr="00ED3950" w:rsidRDefault="00ED3950">
      <w:pPr>
        <w:pStyle w:val="Obsah3"/>
        <w:tabs>
          <w:tab w:val="left" w:pos="1506"/>
          <w:tab w:val="right" w:leader="dot" w:pos="9016"/>
        </w:tabs>
        <w:rPr>
          <w:rFonts w:eastAsiaTheme="minorEastAsia" w:cstheme="minorBidi"/>
          <w:color w:val="auto"/>
          <w:sz w:val="24"/>
          <w:szCs w:val="24"/>
          <w:lang w:val="cs-CZ" w:eastAsia="en-GB"/>
        </w:rPr>
      </w:pPr>
      <w:hyperlink w:anchor="_Toc131775847" w:history="1">
        <w:r w:rsidR="00DC58BE" w:rsidRPr="00ED3950">
          <w:rPr>
            <w:rStyle w:val="Hypertextovodkaz"/>
            <w:bdr w:val="none" w:sz="0" w:space="0" w:color="auto" w:frame="1"/>
            <w:lang w:val="cs-CZ"/>
          </w:rPr>
          <w:t>4.1.2</w:t>
        </w:r>
        <w:r w:rsidR="00DC58BE" w:rsidRPr="00ED3950">
          <w:rPr>
            <w:rFonts w:eastAsiaTheme="minorEastAsia" w:cstheme="minorBidi"/>
            <w:color w:val="auto"/>
            <w:sz w:val="24"/>
            <w:szCs w:val="24"/>
            <w:lang w:val="cs-CZ" w:eastAsia="en-GB"/>
          </w:rPr>
          <w:tab/>
        </w:r>
        <w:r w:rsidR="00DC58BE" w:rsidRPr="00ED3950">
          <w:rPr>
            <w:rStyle w:val="Hypertextovodkaz"/>
            <w:bdr w:val="none" w:sz="0" w:space="0" w:color="auto" w:frame="1"/>
            <w:lang w:val="cs-CZ"/>
          </w:rPr>
          <w:t>Klíčové poznatky</w:t>
        </w:r>
        <w:r w:rsidR="00DC58BE" w:rsidRPr="00ED3950">
          <w:rPr>
            <w:webHidden/>
            <w:lang w:val="cs-CZ"/>
          </w:rPr>
          <w:tab/>
        </w:r>
        <w:r w:rsidR="00DC58BE" w:rsidRPr="00ED3950">
          <w:rPr>
            <w:webHidden/>
            <w:lang w:val="cs-CZ"/>
          </w:rPr>
          <w:fldChar w:fldCharType="begin"/>
        </w:r>
        <w:r w:rsidR="00DC58BE" w:rsidRPr="00ED3950">
          <w:rPr>
            <w:webHidden/>
            <w:lang w:val="cs-CZ"/>
          </w:rPr>
          <w:instrText xml:space="preserve"> PAGEREF _Toc131775847 \h </w:instrText>
        </w:r>
        <w:r w:rsidR="00DC58BE" w:rsidRPr="00ED3950">
          <w:rPr>
            <w:webHidden/>
            <w:lang w:val="cs-CZ"/>
          </w:rPr>
        </w:r>
        <w:r w:rsidR="00DC58BE" w:rsidRPr="00ED3950">
          <w:rPr>
            <w:webHidden/>
            <w:lang w:val="cs-CZ"/>
          </w:rPr>
          <w:fldChar w:fldCharType="separate"/>
        </w:r>
        <w:r w:rsidR="00DC58BE" w:rsidRPr="00ED3950">
          <w:rPr>
            <w:webHidden/>
            <w:lang w:val="cs-CZ"/>
          </w:rPr>
          <w:t>23</w:t>
        </w:r>
        <w:r w:rsidR="00DC58BE" w:rsidRPr="00ED3950">
          <w:rPr>
            <w:webHidden/>
            <w:lang w:val="cs-CZ"/>
          </w:rPr>
          <w:fldChar w:fldCharType="end"/>
        </w:r>
      </w:hyperlink>
    </w:p>
    <w:p w:rsidR="005840C5" w:rsidRPr="00ED3950" w:rsidRDefault="00ED3950">
      <w:pPr>
        <w:pStyle w:val="Obsah2"/>
        <w:rPr>
          <w:rFonts w:eastAsiaTheme="minorEastAsia" w:cstheme="minorBidi"/>
          <w:b w:val="0"/>
          <w:bCs w:val="0"/>
          <w:color w:val="auto"/>
          <w:sz w:val="24"/>
          <w:szCs w:val="24"/>
          <w:lang w:val="cs-CZ" w:eastAsia="en-GB"/>
        </w:rPr>
      </w:pPr>
      <w:hyperlink w:anchor="_Toc131775848" w:history="1">
        <w:r w:rsidR="00DC58BE" w:rsidRPr="00ED3950">
          <w:rPr>
            <w:rStyle w:val="Hypertextovodkaz"/>
            <w:lang w:val="cs-CZ"/>
          </w:rPr>
          <w:t>4.2</w:t>
        </w:r>
        <w:r w:rsidR="00DC58BE" w:rsidRPr="00ED3950">
          <w:rPr>
            <w:rFonts w:eastAsiaTheme="minorEastAsia" w:cstheme="minorBidi"/>
            <w:b w:val="0"/>
            <w:bCs w:val="0"/>
            <w:color w:val="auto"/>
            <w:sz w:val="24"/>
            <w:szCs w:val="24"/>
            <w:lang w:val="cs-CZ" w:eastAsia="en-GB"/>
          </w:rPr>
          <w:tab/>
        </w:r>
        <w:r w:rsidR="00DC58BE" w:rsidRPr="00ED3950">
          <w:rPr>
            <w:rStyle w:val="Hypertextovodkaz"/>
            <w:lang w:val="cs-CZ"/>
          </w:rPr>
          <w:t>Webinář 2: Provádění zjednodušeného a podrobného hodnocení DNSH</w:t>
        </w:r>
        <w:r w:rsidR="00DC58BE" w:rsidRPr="00ED3950">
          <w:rPr>
            <w:webHidden/>
            <w:lang w:val="cs-CZ"/>
          </w:rPr>
          <w:tab/>
        </w:r>
        <w:r w:rsidR="00DC58BE" w:rsidRPr="00ED3950">
          <w:rPr>
            <w:webHidden/>
            <w:lang w:val="cs-CZ"/>
          </w:rPr>
          <w:fldChar w:fldCharType="begin"/>
        </w:r>
        <w:r w:rsidR="00DC58BE" w:rsidRPr="00ED3950">
          <w:rPr>
            <w:webHidden/>
            <w:lang w:val="cs-CZ"/>
          </w:rPr>
          <w:instrText xml:space="preserve"> PAGEREF _Toc131775848 \h </w:instrText>
        </w:r>
        <w:r w:rsidR="00DC58BE" w:rsidRPr="00ED3950">
          <w:rPr>
            <w:webHidden/>
            <w:lang w:val="cs-CZ"/>
          </w:rPr>
        </w:r>
        <w:r w:rsidR="00DC58BE" w:rsidRPr="00ED3950">
          <w:rPr>
            <w:webHidden/>
            <w:lang w:val="cs-CZ"/>
          </w:rPr>
          <w:fldChar w:fldCharType="separate"/>
        </w:r>
        <w:r w:rsidR="00DC58BE" w:rsidRPr="00ED3950">
          <w:rPr>
            <w:webHidden/>
            <w:lang w:val="cs-CZ"/>
          </w:rPr>
          <w:t>24</w:t>
        </w:r>
        <w:r w:rsidR="00DC58BE" w:rsidRPr="00ED3950">
          <w:rPr>
            <w:webHidden/>
            <w:lang w:val="cs-CZ"/>
          </w:rPr>
          <w:fldChar w:fldCharType="end"/>
        </w:r>
      </w:hyperlink>
    </w:p>
    <w:p w:rsidR="005840C5" w:rsidRPr="00ED3950" w:rsidRDefault="00ED3950">
      <w:pPr>
        <w:pStyle w:val="Obsah3"/>
        <w:tabs>
          <w:tab w:val="left" w:pos="1506"/>
          <w:tab w:val="right" w:leader="dot" w:pos="9016"/>
        </w:tabs>
        <w:rPr>
          <w:rFonts w:eastAsiaTheme="minorEastAsia" w:cstheme="minorBidi"/>
          <w:color w:val="auto"/>
          <w:sz w:val="24"/>
          <w:szCs w:val="24"/>
          <w:lang w:val="cs-CZ" w:eastAsia="en-GB"/>
        </w:rPr>
      </w:pPr>
      <w:hyperlink w:anchor="_Toc131775849" w:history="1">
        <w:r w:rsidR="00DC58BE" w:rsidRPr="00ED3950">
          <w:rPr>
            <w:rStyle w:val="Hypertextovodkaz"/>
            <w:lang w:val="cs-CZ"/>
          </w:rPr>
          <w:t>4.2.1</w:t>
        </w:r>
        <w:r w:rsidR="00DC58BE" w:rsidRPr="00ED3950">
          <w:rPr>
            <w:rFonts w:eastAsiaTheme="minorEastAsia" w:cstheme="minorBidi"/>
            <w:color w:val="auto"/>
            <w:sz w:val="24"/>
            <w:szCs w:val="24"/>
            <w:lang w:val="cs-CZ" w:eastAsia="en-GB"/>
          </w:rPr>
          <w:tab/>
        </w:r>
        <w:r w:rsidR="00DC58BE" w:rsidRPr="00ED3950">
          <w:rPr>
            <w:rStyle w:val="Hypertextovodkaz"/>
            <w:lang w:val="cs-CZ"/>
          </w:rPr>
          <w:t>Hlavní body diskuse a závěry webináře</w:t>
        </w:r>
        <w:r w:rsidR="00DC58BE" w:rsidRPr="00ED3950">
          <w:rPr>
            <w:webHidden/>
            <w:lang w:val="cs-CZ"/>
          </w:rPr>
          <w:tab/>
        </w:r>
        <w:r w:rsidR="00DC58BE" w:rsidRPr="00ED3950">
          <w:rPr>
            <w:webHidden/>
            <w:lang w:val="cs-CZ"/>
          </w:rPr>
          <w:fldChar w:fldCharType="begin"/>
        </w:r>
        <w:r w:rsidR="00DC58BE" w:rsidRPr="00ED3950">
          <w:rPr>
            <w:webHidden/>
            <w:lang w:val="cs-CZ"/>
          </w:rPr>
          <w:instrText xml:space="preserve"> PAGEREF _Toc131775849 \h </w:instrText>
        </w:r>
        <w:r w:rsidR="00DC58BE" w:rsidRPr="00ED3950">
          <w:rPr>
            <w:webHidden/>
            <w:lang w:val="cs-CZ"/>
          </w:rPr>
        </w:r>
        <w:r w:rsidR="00DC58BE" w:rsidRPr="00ED3950">
          <w:rPr>
            <w:webHidden/>
            <w:lang w:val="cs-CZ"/>
          </w:rPr>
          <w:fldChar w:fldCharType="separate"/>
        </w:r>
        <w:r w:rsidR="00DC58BE" w:rsidRPr="00ED3950">
          <w:rPr>
            <w:webHidden/>
            <w:lang w:val="cs-CZ"/>
          </w:rPr>
          <w:t>24</w:t>
        </w:r>
        <w:r w:rsidR="00DC58BE" w:rsidRPr="00ED3950">
          <w:rPr>
            <w:webHidden/>
            <w:lang w:val="cs-CZ"/>
          </w:rPr>
          <w:fldChar w:fldCharType="end"/>
        </w:r>
      </w:hyperlink>
    </w:p>
    <w:p w:rsidR="005840C5" w:rsidRPr="00ED3950" w:rsidRDefault="00ED3950">
      <w:pPr>
        <w:pStyle w:val="Obsah3"/>
        <w:tabs>
          <w:tab w:val="left" w:pos="1506"/>
          <w:tab w:val="right" w:leader="dot" w:pos="9016"/>
        </w:tabs>
        <w:rPr>
          <w:rFonts w:eastAsiaTheme="minorEastAsia" w:cstheme="minorBidi"/>
          <w:color w:val="auto"/>
          <w:sz w:val="24"/>
          <w:szCs w:val="24"/>
          <w:lang w:val="cs-CZ" w:eastAsia="en-GB"/>
        </w:rPr>
      </w:pPr>
      <w:hyperlink w:anchor="_Toc131775850" w:history="1">
        <w:r w:rsidR="00DC58BE" w:rsidRPr="00ED3950">
          <w:rPr>
            <w:rStyle w:val="Hypertextovodkaz"/>
            <w:lang w:val="cs-CZ"/>
          </w:rPr>
          <w:t>4.2.2</w:t>
        </w:r>
        <w:r w:rsidR="00DC58BE" w:rsidRPr="00ED3950">
          <w:rPr>
            <w:rFonts w:eastAsiaTheme="minorEastAsia" w:cstheme="minorBidi"/>
            <w:color w:val="auto"/>
            <w:sz w:val="24"/>
            <w:szCs w:val="24"/>
            <w:lang w:val="cs-CZ" w:eastAsia="en-GB"/>
          </w:rPr>
          <w:tab/>
        </w:r>
        <w:r w:rsidR="00DC58BE" w:rsidRPr="00ED3950">
          <w:rPr>
            <w:rStyle w:val="Hypertextovodkaz"/>
            <w:lang w:val="cs-CZ"/>
          </w:rPr>
          <w:t>Získané zkušenosti</w:t>
        </w:r>
        <w:r w:rsidR="00DC58BE" w:rsidRPr="00ED3950">
          <w:rPr>
            <w:webHidden/>
            <w:lang w:val="cs-CZ"/>
          </w:rPr>
          <w:tab/>
        </w:r>
        <w:r w:rsidR="00DC58BE" w:rsidRPr="00ED3950">
          <w:rPr>
            <w:webHidden/>
            <w:lang w:val="cs-CZ"/>
          </w:rPr>
          <w:fldChar w:fldCharType="begin"/>
        </w:r>
        <w:r w:rsidR="00DC58BE" w:rsidRPr="00ED3950">
          <w:rPr>
            <w:webHidden/>
            <w:lang w:val="cs-CZ"/>
          </w:rPr>
          <w:instrText xml:space="preserve"> PAGEREF _Toc131775850 \h </w:instrText>
        </w:r>
        <w:r w:rsidR="00DC58BE" w:rsidRPr="00ED3950">
          <w:rPr>
            <w:webHidden/>
            <w:lang w:val="cs-CZ"/>
          </w:rPr>
        </w:r>
        <w:r w:rsidR="00DC58BE" w:rsidRPr="00ED3950">
          <w:rPr>
            <w:webHidden/>
            <w:lang w:val="cs-CZ"/>
          </w:rPr>
          <w:fldChar w:fldCharType="separate"/>
        </w:r>
        <w:r w:rsidR="00DC58BE" w:rsidRPr="00ED3950">
          <w:rPr>
            <w:webHidden/>
            <w:lang w:val="cs-CZ"/>
          </w:rPr>
          <w:t>24</w:t>
        </w:r>
        <w:r w:rsidR="00DC58BE" w:rsidRPr="00ED3950">
          <w:rPr>
            <w:webHidden/>
            <w:lang w:val="cs-CZ"/>
          </w:rPr>
          <w:fldChar w:fldCharType="end"/>
        </w:r>
      </w:hyperlink>
    </w:p>
    <w:p w:rsidR="005840C5" w:rsidRPr="00ED3950" w:rsidRDefault="00ED3950">
      <w:pPr>
        <w:pStyle w:val="Obsah2"/>
        <w:rPr>
          <w:rFonts w:eastAsiaTheme="minorEastAsia" w:cstheme="minorBidi"/>
          <w:b w:val="0"/>
          <w:bCs w:val="0"/>
          <w:color w:val="auto"/>
          <w:sz w:val="24"/>
          <w:szCs w:val="24"/>
          <w:lang w:val="cs-CZ" w:eastAsia="en-GB"/>
        </w:rPr>
      </w:pPr>
      <w:hyperlink w:anchor="_Toc131775851" w:history="1">
        <w:r w:rsidR="00DC58BE" w:rsidRPr="00ED3950">
          <w:rPr>
            <w:rStyle w:val="Hypertextovodkaz"/>
            <w:lang w:val="cs-CZ"/>
          </w:rPr>
          <w:t>4.3</w:t>
        </w:r>
        <w:r w:rsidR="00DC58BE" w:rsidRPr="00ED3950">
          <w:rPr>
            <w:rFonts w:eastAsiaTheme="minorEastAsia" w:cstheme="minorBidi"/>
            <w:b w:val="0"/>
            <w:bCs w:val="0"/>
            <w:color w:val="auto"/>
            <w:sz w:val="24"/>
            <w:szCs w:val="24"/>
            <w:lang w:val="cs-CZ" w:eastAsia="en-GB"/>
          </w:rPr>
          <w:tab/>
        </w:r>
        <w:r w:rsidR="00DC58BE" w:rsidRPr="00ED3950">
          <w:rPr>
            <w:rStyle w:val="Hypertextovodkaz"/>
            <w:lang w:val="cs-CZ"/>
          </w:rPr>
          <w:t>Webinář 3: Aplikace principu DNSH na inovativní zelené technologie</w:t>
        </w:r>
        <w:r w:rsidR="00DC58BE" w:rsidRPr="00ED3950">
          <w:rPr>
            <w:webHidden/>
            <w:lang w:val="cs-CZ"/>
          </w:rPr>
          <w:tab/>
        </w:r>
        <w:r w:rsidR="00DC58BE" w:rsidRPr="00ED3950">
          <w:rPr>
            <w:webHidden/>
            <w:lang w:val="cs-CZ"/>
          </w:rPr>
          <w:fldChar w:fldCharType="begin"/>
        </w:r>
        <w:r w:rsidR="00DC58BE" w:rsidRPr="00ED3950">
          <w:rPr>
            <w:webHidden/>
            <w:lang w:val="cs-CZ"/>
          </w:rPr>
          <w:instrText xml:space="preserve"> PAGEREF _Toc131775851 \h </w:instrText>
        </w:r>
        <w:r w:rsidR="00DC58BE" w:rsidRPr="00ED3950">
          <w:rPr>
            <w:webHidden/>
            <w:lang w:val="cs-CZ"/>
          </w:rPr>
        </w:r>
        <w:r w:rsidR="00DC58BE" w:rsidRPr="00ED3950">
          <w:rPr>
            <w:webHidden/>
            <w:lang w:val="cs-CZ"/>
          </w:rPr>
          <w:fldChar w:fldCharType="separate"/>
        </w:r>
        <w:r w:rsidR="00DC58BE" w:rsidRPr="00ED3950">
          <w:rPr>
            <w:webHidden/>
            <w:lang w:val="cs-CZ"/>
          </w:rPr>
          <w:t>25</w:t>
        </w:r>
        <w:r w:rsidR="00DC58BE" w:rsidRPr="00ED3950">
          <w:rPr>
            <w:webHidden/>
            <w:lang w:val="cs-CZ"/>
          </w:rPr>
          <w:fldChar w:fldCharType="end"/>
        </w:r>
      </w:hyperlink>
    </w:p>
    <w:p w:rsidR="005840C5" w:rsidRPr="00ED3950" w:rsidRDefault="00ED3950">
      <w:pPr>
        <w:pStyle w:val="Obsah3"/>
        <w:tabs>
          <w:tab w:val="left" w:pos="1506"/>
          <w:tab w:val="right" w:leader="dot" w:pos="9016"/>
        </w:tabs>
        <w:rPr>
          <w:rFonts w:eastAsiaTheme="minorEastAsia" w:cstheme="minorBidi"/>
          <w:color w:val="auto"/>
          <w:sz w:val="24"/>
          <w:szCs w:val="24"/>
          <w:lang w:val="cs-CZ" w:eastAsia="en-GB"/>
        </w:rPr>
      </w:pPr>
      <w:hyperlink w:anchor="_Toc131775852" w:history="1">
        <w:r w:rsidR="00DC58BE" w:rsidRPr="00ED3950">
          <w:rPr>
            <w:rStyle w:val="Hypertextovodkaz"/>
            <w:lang w:val="cs-CZ"/>
          </w:rPr>
          <w:t>4.3.1</w:t>
        </w:r>
        <w:r w:rsidR="00DC58BE" w:rsidRPr="00ED3950">
          <w:rPr>
            <w:rFonts w:eastAsiaTheme="minorEastAsia" w:cstheme="minorBidi"/>
            <w:color w:val="auto"/>
            <w:sz w:val="24"/>
            <w:szCs w:val="24"/>
            <w:lang w:val="cs-CZ" w:eastAsia="en-GB"/>
          </w:rPr>
          <w:tab/>
        </w:r>
        <w:r w:rsidR="00DC58BE" w:rsidRPr="00ED3950">
          <w:rPr>
            <w:rStyle w:val="Hypertextovodkaz"/>
            <w:lang w:val="cs-CZ"/>
          </w:rPr>
          <w:t>Hlavní body diskuse a závěry webináře</w:t>
        </w:r>
        <w:r w:rsidR="00DC58BE" w:rsidRPr="00ED3950">
          <w:rPr>
            <w:webHidden/>
            <w:lang w:val="cs-CZ"/>
          </w:rPr>
          <w:tab/>
        </w:r>
        <w:r w:rsidR="00DC58BE" w:rsidRPr="00ED3950">
          <w:rPr>
            <w:webHidden/>
            <w:lang w:val="cs-CZ"/>
          </w:rPr>
          <w:fldChar w:fldCharType="begin"/>
        </w:r>
        <w:r w:rsidR="00DC58BE" w:rsidRPr="00ED3950">
          <w:rPr>
            <w:webHidden/>
            <w:lang w:val="cs-CZ"/>
          </w:rPr>
          <w:instrText xml:space="preserve"> PAGEREF _Toc131775852 \h </w:instrText>
        </w:r>
        <w:r w:rsidR="00DC58BE" w:rsidRPr="00ED3950">
          <w:rPr>
            <w:webHidden/>
            <w:lang w:val="cs-CZ"/>
          </w:rPr>
        </w:r>
        <w:r w:rsidR="00DC58BE" w:rsidRPr="00ED3950">
          <w:rPr>
            <w:webHidden/>
            <w:lang w:val="cs-CZ"/>
          </w:rPr>
          <w:fldChar w:fldCharType="separate"/>
        </w:r>
        <w:r w:rsidR="00DC58BE" w:rsidRPr="00ED3950">
          <w:rPr>
            <w:webHidden/>
            <w:lang w:val="cs-CZ"/>
          </w:rPr>
          <w:t>25</w:t>
        </w:r>
        <w:r w:rsidR="00DC58BE" w:rsidRPr="00ED3950">
          <w:rPr>
            <w:webHidden/>
            <w:lang w:val="cs-CZ"/>
          </w:rPr>
          <w:fldChar w:fldCharType="end"/>
        </w:r>
      </w:hyperlink>
    </w:p>
    <w:p w:rsidR="005840C5" w:rsidRPr="00ED3950" w:rsidRDefault="00ED3950">
      <w:pPr>
        <w:pStyle w:val="Obsah3"/>
        <w:tabs>
          <w:tab w:val="left" w:pos="1506"/>
          <w:tab w:val="right" w:leader="dot" w:pos="9016"/>
        </w:tabs>
        <w:rPr>
          <w:rFonts w:eastAsiaTheme="minorEastAsia" w:cstheme="minorBidi"/>
          <w:color w:val="auto"/>
          <w:sz w:val="24"/>
          <w:szCs w:val="24"/>
          <w:lang w:val="cs-CZ" w:eastAsia="en-GB"/>
        </w:rPr>
      </w:pPr>
      <w:hyperlink w:anchor="_Toc131775853" w:history="1">
        <w:r w:rsidR="00DC58BE" w:rsidRPr="00ED3950">
          <w:rPr>
            <w:rStyle w:val="Hypertextovodkaz"/>
            <w:lang w:val="cs-CZ"/>
          </w:rPr>
          <w:t>4.3.2</w:t>
        </w:r>
        <w:r w:rsidR="00DC58BE" w:rsidRPr="00ED3950">
          <w:rPr>
            <w:rFonts w:eastAsiaTheme="minorEastAsia" w:cstheme="minorBidi"/>
            <w:color w:val="auto"/>
            <w:sz w:val="24"/>
            <w:szCs w:val="24"/>
            <w:lang w:val="cs-CZ" w:eastAsia="en-GB"/>
          </w:rPr>
          <w:tab/>
        </w:r>
        <w:r w:rsidR="00DC58BE" w:rsidRPr="00ED3950">
          <w:rPr>
            <w:rStyle w:val="Hypertextovodkaz"/>
            <w:lang w:val="cs-CZ"/>
          </w:rPr>
          <w:t>Získané zkušenosti</w:t>
        </w:r>
        <w:r w:rsidR="00DC58BE" w:rsidRPr="00ED3950">
          <w:rPr>
            <w:webHidden/>
            <w:lang w:val="cs-CZ"/>
          </w:rPr>
          <w:tab/>
        </w:r>
        <w:r w:rsidR="00DC58BE" w:rsidRPr="00ED3950">
          <w:rPr>
            <w:webHidden/>
            <w:lang w:val="cs-CZ"/>
          </w:rPr>
          <w:fldChar w:fldCharType="begin"/>
        </w:r>
        <w:r w:rsidR="00DC58BE" w:rsidRPr="00ED3950">
          <w:rPr>
            <w:webHidden/>
            <w:lang w:val="cs-CZ"/>
          </w:rPr>
          <w:instrText xml:space="preserve"> PAGEREF _Toc131775853 \h </w:instrText>
        </w:r>
        <w:r w:rsidR="00DC58BE" w:rsidRPr="00ED3950">
          <w:rPr>
            <w:webHidden/>
            <w:lang w:val="cs-CZ"/>
          </w:rPr>
        </w:r>
        <w:r w:rsidR="00DC58BE" w:rsidRPr="00ED3950">
          <w:rPr>
            <w:webHidden/>
            <w:lang w:val="cs-CZ"/>
          </w:rPr>
          <w:fldChar w:fldCharType="separate"/>
        </w:r>
        <w:r w:rsidR="00DC58BE" w:rsidRPr="00ED3950">
          <w:rPr>
            <w:webHidden/>
            <w:lang w:val="cs-CZ"/>
          </w:rPr>
          <w:t>25</w:t>
        </w:r>
        <w:r w:rsidR="00DC58BE" w:rsidRPr="00ED3950">
          <w:rPr>
            <w:webHidden/>
            <w:lang w:val="cs-CZ"/>
          </w:rPr>
          <w:fldChar w:fldCharType="end"/>
        </w:r>
      </w:hyperlink>
    </w:p>
    <w:p w:rsidR="005840C5" w:rsidRPr="00ED3950" w:rsidRDefault="00ED3950">
      <w:pPr>
        <w:pStyle w:val="Obsah1"/>
        <w:rPr>
          <w:rFonts w:eastAsiaTheme="minorEastAsia"/>
          <w:b w:val="0"/>
          <w:bCs w:val="0"/>
          <w:color w:val="auto"/>
          <w:sz w:val="24"/>
          <w:lang w:val="cs-CZ" w:eastAsia="en-GB"/>
        </w:rPr>
      </w:pPr>
      <w:hyperlink w:anchor="_Toc131775854" w:history="1">
        <w:r w:rsidR="00DC58BE" w:rsidRPr="00ED3950">
          <w:rPr>
            <w:rStyle w:val="Hypertextovodkaz"/>
            <w:lang w:val="cs-CZ"/>
          </w:rPr>
          <w:t>Příloha A - Logistika a získané zkušenosti</w:t>
        </w:r>
        <w:r w:rsidR="00DC58BE" w:rsidRPr="00ED3950">
          <w:rPr>
            <w:webHidden/>
            <w:lang w:val="cs-CZ"/>
          </w:rPr>
          <w:tab/>
        </w:r>
        <w:r w:rsidR="00DC58BE" w:rsidRPr="00ED3950">
          <w:rPr>
            <w:webHidden/>
            <w:lang w:val="cs-CZ"/>
          </w:rPr>
          <w:fldChar w:fldCharType="begin"/>
        </w:r>
        <w:r w:rsidR="00DC58BE" w:rsidRPr="00ED3950">
          <w:rPr>
            <w:webHidden/>
            <w:lang w:val="cs-CZ"/>
          </w:rPr>
          <w:instrText xml:space="preserve"> PAGEREF _Toc131775854 \h </w:instrText>
        </w:r>
        <w:r w:rsidR="00DC58BE" w:rsidRPr="00ED3950">
          <w:rPr>
            <w:webHidden/>
            <w:lang w:val="cs-CZ"/>
          </w:rPr>
        </w:r>
        <w:r w:rsidR="00DC58BE" w:rsidRPr="00ED3950">
          <w:rPr>
            <w:webHidden/>
            <w:lang w:val="cs-CZ"/>
          </w:rPr>
          <w:fldChar w:fldCharType="separate"/>
        </w:r>
        <w:r w:rsidR="00DC58BE" w:rsidRPr="00ED3950">
          <w:rPr>
            <w:webHidden/>
            <w:lang w:val="cs-CZ"/>
          </w:rPr>
          <w:t>27</w:t>
        </w:r>
        <w:r w:rsidR="00DC58BE" w:rsidRPr="00ED3950">
          <w:rPr>
            <w:webHidden/>
            <w:lang w:val="cs-CZ"/>
          </w:rPr>
          <w:fldChar w:fldCharType="end"/>
        </w:r>
      </w:hyperlink>
    </w:p>
    <w:p w:rsidR="005840C5" w:rsidRPr="00ED3950" w:rsidRDefault="00ED3950">
      <w:pPr>
        <w:pStyle w:val="Obsah1"/>
        <w:rPr>
          <w:rFonts w:eastAsiaTheme="minorEastAsia"/>
          <w:b w:val="0"/>
          <w:bCs w:val="0"/>
          <w:color w:val="auto"/>
          <w:sz w:val="24"/>
          <w:lang w:val="cs-CZ" w:eastAsia="en-GB"/>
        </w:rPr>
      </w:pPr>
      <w:hyperlink w:anchor="_Toc131775857" w:history="1">
        <w:r w:rsidR="00DC58BE" w:rsidRPr="00ED3950">
          <w:rPr>
            <w:rStyle w:val="Hypertextovodkaz"/>
            <w:lang w:val="cs-CZ"/>
          </w:rPr>
          <w:t>Příloha B - Koncepční poznámky k webinářům</w:t>
        </w:r>
        <w:r w:rsidR="00DC58BE" w:rsidRPr="00ED3950">
          <w:rPr>
            <w:webHidden/>
            <w:lang w:val="cs-CZ"/>
          </w:rPr>
          <w:tab/>
        </w:r>
        <w:r w:rsidR="00DC58BE" w:rsidRPr="00ED3950">
          <w:rPr>
            <w:webHidden/>
            <w:lang w:val="cs-CZ"/>
          </w:rPr>
          <w:fldChar w:fldCharType="begin"/>
        </w:r>
        <w:r w:rsidR="00DC58BE" w:rsidRPr="00ED3950">
          <w:rPr>
            <w:webHidden/>
            <w:lang w:val="cs-CZ"/>
          </w:rPr>
          <w:instrText xml:space="preserve"> PAGEREF _Toc131775857 \h </w:instrText>
        </w:r>
        <w:r w:rsidR="00DC58BE" w:rsidRPr="00ED3950">
          <w:rPr>
            <w:webHidden/>
            <w:lang w:val="cs-CZ"/>
          </w:rPr>
        </w:r>
        <w:r w:rsidR="00DC58BE" w:rsidRPr="00ED3950">
          <w:rPr>
            <w:webHidden/>
            <w:lang w:val="cs-CZ"/>
          </w:rPr>
          <w:fldChar w:fldCharType="separate"/>
        </w:r>
        <w:r w:rsidR="00DC58BE" w:rsidRPr="00ED3950">
          <w:rPr>
            <w:webHidden/>
            <w:lang w:val="cs-CZ"/>
          </w:rPr>
          <w:t>30</w:t>
        </w:r>
        <w:r w:rsidR="00DC58BE" w:rsidRPr="00ED3950">
          <w:rPr>
            <w:webHidden/>
            <w:lang w:val="cs-CZ"/>
          </w:rPr>
          <w:fldChar w:fldCharType="end"/>
        </w:r>
      </w:hyperlink>
    </w:p>
    <w:p w:rsidR="005840C5" w:rsidRPr="00ED3950" w:rsidRDefault="00ED3950">
      <w:pPr>
        <w:pStyle w:val="Obsah1"/>
        <w:rPr>
          <w:rFonts w:eastAsiaTheme="minorEastAsia"/>
          <w:b w:val="0"/>
          <w:bCs w:val="0"/>
          <w:color w:val="auto"/>
          <w:sz w:val="24"/>
          <w:lang w:val="cs-CZ" w:eastAsia="en-GB"/>
        </w:rPr>
      </w:pPr>
      <w:hyperlink w:anchor="_Toc131775869" w:history="1">
        <w:r w:rsidR="00DC58BE" w:rsidRPr="00ED3950">
          <w:rPr>
            <w:rStyle w:val="Hypertextovodkaz"/>
            <w:lang w:val="cs-CZ"/>
          </w:rPr>
          <w:t>Příloha C - Zápis z webináře 1: Řídicí postupy pro uplatňování zásady DNSH</w:t>
        </w:r>
        <w:r w:rsidR="00DC58BE" w:rsidRPr="00ED3950">
          <w:rPr>
            <w:webHidden/>
            <w:lang w:val="cs-CZ"/>
          </w:rPr>
          <w:tab/>
        </w:r>
        <w:r w:rsidR="00DC58BE" w:rsidRPr="00ED3950">
          <w:rPr>
            <w:webHidden/>
            <w:lang w:val="cs-CZ"/>
          </w:rPr>
          <w:fldChar w:fldCharType="begin"/>
        </w:r>
        <w:r w:rsidR="00DC58BE" w:rsidRPr="00ED3950">
          <w:rPr>
            <w:webHidden/>
            <w:lang w:val="cs-CZ"/>
          </w:rPr>
          <w:instrText xml:space="preserve"> PAGEREF _Toc131775869 \h </w:instrText>
        </w:r>
        <w:r w:rsidR="00DC58BE" w:rsidRPr="00ED3950">
          <w:rPr>
            <w:webHidden/>
            <w:lang w:val="cs-CZ"/>
          </w:rPr>
        </w:r>
        <w:r w:rsidR="00DC58BE" w:rsidRPr="00ED3950">
          <w:rPr>
            <w:webHidden/>
            <w:lang w:val="cs-CZ"/>
          </w:rPr>
          <w:fldChar w:fldCharType="separate"/>
        </w:r>
        <w:r w:rsidR="00DC58BE" w:rsidRPr="00ED3950">
          <w:rPr>
            <w:webHidden/>
            <w:lang w:val="cs-CZ"/>
          </w:rPr>
          <w:t>40</w:t>
        </w:r>
        <w:r w:rsidR="00DC58BE" w:rsidRPr="00ED3950">
          <w:rPr>
            <w:webHidden/>
            <w:lang w:val="cs-CZ"/>
          </w:rPr>
          <w:fldChar w:fldCharType="end"/>
        </w:r>
      </w:hyperlink>
    </w:p>
    <w:p w:rsidR="005840C5" w:rsidRPr="00ED3950" w:rsidRDefault="00ED3950">
      <w:pPr>
        <w:pStyle w:val="Obsah1"/>
        <w:rPr>
          <w:rFonts w:eastAsiaTheme="minorEastAsia"/>
          <w:b w:val="0"/>
          <w:bCs w:val="0"/>
          <w:color w:val="auto"/>
          <w:sz w:val="24"/>
          <w:lang w:val="cs-CZ" w:eastAsia="en-GB"/>
        </w:rPr>
      </w:pPr>
      <w:hyperlink w:anchor="_Toc131775887" w:history="1">
        <w:r w:rsidR="00DC58BE" w:rsidRPr="00ED3950">
          <w:rPr>
            <w:rStyle w:val="Hypertextovodkaz"/>
            <w:lang w:val="cs-CZ"/>
          </w:rPr>
          <w:t>Příloha D - Zápis z webináře 2: Provádění zjednodušeného a podrobného hodnocení DNSH</w:t>
        </w:r>
        <w:r w:rsidR="00DC58BE" w:rsidRPr="00ED3950">
          <w:rPr>
            <w:webHidden/>
            <w:lang w:val="cs-CZ"/>
          </w:rPr>
          <w:tab/>
        </w:r>
        <w:r w:rsidR="00DC58BE" w:rsidRPr="00ED3950">
          <w:rPr>
            <w:webHidden/>
            <w:lang w:val="cs-CZ"/>
          </w:rPr>
          <w:fldChar w:fldCharType="begin"/>
        </w:r>
        <w:r w:rsidR="00DC58BE" w:rsidRPr="00ED3950">
          <w:rPr>
            <w:webHidden/>
            <w:lang w:val="cs-CZ"/>
          </w:rPr>
          <w:instrText xml:space="preserve"> PAGEREF _Toc131775887 \h </w:instrText>
        </w:r>
        <w:r w:rsidR="00DC58BE" w:rsidRPr="00ED3950">
          <w:rPr>
            <w:webHidden/>
            <w:lang w:val="cs-CZ"/>
          </w:rPr>
        </w:r>
        <w:r w:rsidR="00DC58BE" w:rsidRPr="00ED3950">
          <w:rPr>
            <w:webHidden/>
            <w:lang w:val="cs-CZ"/>
          </w:rPr>
          <w:fldChar w:fldCharType="separate"/>
        </w:r>
        <w:r w:rsidR="00DC58BE" w:rsidRPr="00ED3950">
          <w:rPr>
            <w:webHidden/>
            <w:lang w:val="cs-CZ"/>
          </w:rPr>
          <w:t>48</w:t>
        </w:r>
        <w:r w:rsidR="00DC58BE" w:rsidRPr="00ED3950">
          <w:rPr>
            <w:webHidden/>
            <w:lang w:val="cs-CZ"/>
          </w:rPr>
          <w:fldChar w:fldCharType="end"/>
        </w:r>
      </w:hyperlink>
    </w:p>
    <w:p w:rsidR="005840C5" w:rsidRPr="00ED3950" w:rsidRDefault="00ED3950">
      <w:pPr>
        <w:pStyle w:val="Obsah1"/>
        <w:rPr>
          <w:rFonts w:eastAsiaTheme="minorEastAsia"/>
          <w:b w:val="0"/>
          <w:bCs w:val="0"/>
          <w:color w:val="auto"/>
          <w:sz w:val="24"/>
          <w:lang w:val="cs-CZ" w:eastAsia="en-GB"/>
        </w:rPr>
      </w:pPr>
      <w:hyperlink w:anchor="_Toc131775903" w:history="1">
        <w:r w:rsidR="00DC58BE" w:rsidRPr="00ED3950">
          <w:rPr>
            <w:rStyle w:val="Hypertextovodkaz"/>
            <w:lang w:val="cs-CZ"/>
          </w:rPr>
          <w:t>Příloha E - Zápis z webináře 3: Uplatnění zásady DNSH na inovativní ekologické technologie</w:t>
        </w:r>
        <w:r w:rsidR="00DC58BE" w:rsidRPr="00ED3950">
          <w:rPr>
            <w:webHidden/>
            <w:lang w:val="cs-CZ"/>
          </w:rPr>
          <w:tab/>
        </w:r>
        <w:r w:rsidR="00DC58BE" w:rsidRPr="00ED3950">
          <w:rPr>
            <w:webHidden/>
            <w:lang w:val="cs-CZ"/>
          </w:rPr>
          <w:fldChar w:fldCharType="begin"/>
        </w:r>
        <w:r w:rsidR="00DC58BE" w:rsidRPr="00ED3950">
          <w:rPr>
            <w:webHidden/>
            <w:lang w:val="cs-CZ"/>
          </w:rPr>
          <w:instrText xml:space="preserve"> PAGEREF _Toc131775903 \h </w:instrText>
        </w:r>
        <w:r w:rsidR="00DC58BE" w:rsidRPr="00ED3950">
          <w:rPr>
            <w:webHidden/>
            <w:lang w:val="cs-CZ"/>
          </w:rPr>
        </w:r>
        <w:r w:rsidR="00DC58BE" w:rsidRPr="00ED3950">
          <w:rPr>
            <w:webHidden/>
            <w:lang w:val="cs-CZ"/>
          </w:rPr>
          <w:fldChar w:fldCharType="separate"/>
        </w:r>
        <w:r w:rsidR="00DC58BE" w:rsidRPr="00ED3950">
          <w:rPr>
            <w:webHidden/>
            <w:lang w:val="cs-CZ"/>
          </w:rPr>
          <w:t>55</w:t>
        </w:r>
        <w:r w:rsidR="00DC58BE" w:rsidRPr="00ED3950">
          <w:rPr>
            <w:webHidden/>
            <w:lang w:val="cs-CZ"/>
          </w:rPr>
          <w:fldChar w:fldCharType="end"/>
        </w:r>
      </w:hyperlink>
    </w:p>
    <w:p w:rsidR="002A41AB" w:rsidRPr="00ED3950" w:rsidRDefault="00DB51A2" w:rsidP="00EC0F7F">
      <w:pPr>
        <w:ind w:left="0"/>
        <w:rPr>
          <w:color w:val="005962"/>
          <w:sz w:val="28"/>
          <w:szCs w:val="24"/>
          <w:lang w:val="cs-CZ"/>
        </w:rPr>
      </w:pPr>
      <w:r w:rsidRPr="00ED3950">
        <w:rPr>
          <w:color w:val="005962"/>
          <w:sz w:val="28"/>
          <w:szCs w:val="24"/>
          <w:lang w:val="cs-CZ"/>
        </w:rPr>
        <w:fldChar w:fldCharType="end"/>
      </w:r>
      <w:r w:rsidR="006E0971" w:rsidRPr="00ED3950">
        <w:rPr>
          <w:color w:val="005962"/>
          <w:sz w:val="28"/>
          <w:szCs w:val="24"/>
          <w:lang w:val="cs-CZ"/>
        </w:rPr>
        <w:br w:type="page"/>
      </w:r>
    </w:p>
    <w:p w:rsidR="00FB7C6C" w:rsidRPr="00ED3950" w:rsidRDefault="00FB7C6C" w:rsidP="00D13A76">
      <w:pPr>
        <w:ind w:left="0"/>
        <w:rPr>
          <w:lang w:val="cs-CZ"/>
        </w:rPr>
        <w:sectPr w:rsidR="00FB7C6C" w:rsidRPr="00ED3950">
          <w:headerReference w:type="default" r:id="rId20"/>
          <w:pgSz w:w="11906" w:h="16838"/>
          <w:pgMar w:top="1440" w:right="1440" w:bottom="1440" w:left="1440" w:header="708" w:footer="708" w:gutter="0"/>
          <w:cols w:space="708"/>
          <w:docGrid w:linePitch="360"/>
        </w:sectPr>
      </w:pPr>
    </w:p>
    <w:p w:rsidR="005840C5" w:rsidRPr="00ED3950" w:rsidRDefault="00ED3950">
      <w:pPr>
        <w:pStyle w:val="Nadpis1"/>
        <w:numPr>
          <w:ilvl w:val="0"/>
          <w:numId w:val="0"/>
        </w:numPr>
        <w:tabs>
          <w:tab w:val="clear" w:pos="851"/>
          <w:tab w:val="left" w:pos="567"/>
        </w:tabs>
        <w:rPr>
          <w:lang w:val="cs-CZ"/>
        </w:rPr>
      </w:pPr>
      <w:bookmarkStart w:id="0" w:name="_Toc391301430"/>
      <w:bookmarkStart w:id="1" w:name="_Toc391301432"/>
      <w:bookmarkStart w:id="2" w:name="_Toc429057985"/>
      <w:bookmarkStart w:id="3" w:name="_Toc429670905"/>
      <w:bookmarkEnd w:id="0"/>
      <w:bookmarkEnd w:id="1"/>
      <w:bookmarkEnd w:id="2"/>
      <w:bookmarkEnd w:id="3"/>
      <w:r w:rsidRPr="00ED3950">
        <w:rPr>
          <w:lang w:val="cs-CZ"/>
        </w:rPr>
        <w:lastRenderedPageBreak/>
        <w:tab/>
      </w:r>
      <w:bookmarkStart w:id="4" w:name="_Toc131775823"/>
      <w:r w:rsidR="002022F4" w:rsidRPr="00ED3950">
        <w:rPr>
          <w:lang w:val="cs-CZ"/>
        </w:rPr>
        <w:t xml:space="preserve">Shrnutí </w:t>
      </w:r>
      <w:bookmarkEnd w:id="4"/>
    </w:p>
    <w:p w:rsidR="005840C5" w:rsidRPr="00ED3950" w:rsidRDefault="001A75F6">
      <w:pPr>
        <w:rPr>
          <w:highlight w:val="yellow"/>
          <w:lang w:val="cs-CZ"/>
        </w:rPr>
      </w:pPr>
      <w:r w:rsidRPr="00ED3950">
        <w:rPr>
          <w:lang w:val="cs-CZ"/>
        </w:rPr>
        <w:t xml:space="preserve">Byla provedena </w:t>
      </w:r>
      <w:r w:rsidR="00ED3950" w:rsidRPr="00ED3950">
        <w:rPr>
          <w:lang w:val="cs-CZ"/>
        </w:rPr>
        <w:t xml:space="preserve">analýza </w:t>
      </w:r>
      <w:r w:rsidR="00ED3950" w:rsidRPr="00ED3950">
        <w:rPr>
          <w:lang w:val="cs-CZ"/>
        </w:rPr>
        <w:t>stávajících postupů uplatňování DNSH v členských státech</w:t>
      </w:r>
      <w:r w:rsidRPr="00ED3950">
        <w:rPr>
          <w:lang w:val="cs-CZ"/>
        </w:rPr>
        <w:t xml:space="preserve">, </w:t>
      </w:r>
      <w:r w:rsidR="00ED3950" w:rsidRPr="00ED3950">
        <w:rPr>
          <w:lang w:val="cs-CZ"/>
        </w:rPr>
        <w:t xml:space="preserve">včetně vzájemného učení s vybranými členskými státy. </w:t>
      </w:r>
      <w:r w:rsidR="009D79B5" w:rsidRPr="00ED3950">
        <w:rPr>
          <w:lang w:val="cs-CZ"/>
        </w:rPr>
        <w:t xml:space="preserve">Tato </w:t>
      </w:r>
      <w:r w:rsidR="00ED3950" w:rsidRPr="00ED3950">
        <w:rPr>
          <w:lang w:val="cs-CZ"/>
        </w:rPr>
        <w:t xml:space="preserve">analýza byla provedena v rámci </w:t>
      </w:r>
      <w:r w:rsidR="009D79B5" w:rsidRPr="00ED3950">
        <w:rPr>
          <w:lang w:val="cs-CZ"/>
        </w:rPr>
        <w:t xml:space="preserve">projektu TSI "Metodika uplatňování zásady DNSH na vnitrostátní úrovni v České republice". </w:t>
      </w:r>
      <w:r w:rsidR="00AF3771" w:rsidRPr="00ED3950">
        <w:rPr>
          <w:lang w:val="cs-CZ"/>
        </w:rPr>
        <w:t xml:space="preserve">Účelem tohoto </w:t>
      </w:r>
      <w:r w:rsidR="00E93DCA" w:rsidRPr="00ED3950">
        <w:rPr>
          <w:lang w:val="cs-CZ"/>
        </w:rPr>
        <w:t xml:space="preserve">souhrnného dokumentu </w:t>
      </w:r>
      <w:r w:rsidR="00AF3771" w:rsidRPr="00ED3950">
        <w:rPr>
          <w:lang w:val="cs-CZ"/>
        </w:rPr>
        <w:t xml:space="preserve">je, aby byl dále šířen </w:t>
      </w:r>
      <w:r w:rsidR="00E93DCA" w:rsidRPr="00ED3950">
        <w:rPr>
          <w:lang w:val="cs-CZ"/>
        </w:rPr>
        <w:t xml:space="preserve">s komunitou DNSH a dalšími členskými státy a </w:t>
      </w:r>
      <w:r w:rsidR="009129BA" w:rsidRPr="00ED3950">
        <w:rPr>
          <w:lang w:val="cs-CZ"/>
        </w:rPr>
        <w:t xml:space="preserve">nabídl vhled do </w:t>
      </w:r>
      <w:r w:rsidR="00AC4E87" w:rsidRPr="00ED3950">
        <w:rPr>
          <w:lang w:val="cs-CZ"/>
        </w:rPr>
        <w:t xml:space="preserve">různých </w:t>
      </w:r>
      <w:r w:rsidR="00876749" w:rsidRPr="00ED3950">
        <w:rPr>
          <w:lang w:val="cs-CZ"/>
        </w:rPr>
        <w:t xml:space="preserve">existujících </w:t>
      </w:r>
      <w:r w:rsidR="00AC4E87" w:rsidRPr="00ED3950">
        <w:rPr>
          <w:lang w:val="cs-CZ"/>
        </w:rPr>
        <w:t>přístupů k DNSH</w:t>
      </w:r>
      <w:r w:rsidR="00390548" w:rsidRPr="00ED3950">
        <w:rPr>
          <w:lang w:val="cs-CZ"/>
        </w:rPr>
        <w:t xml:space="preserve">. </w:t>
      </w:r>
    </w:p>
    <w:p w:rsidR="00BB18F8" w:rsidRPr="00ED3950" w:rsidRDefault="00BB18F8" w:rsidP="00E36C42">
      <w:pPr>
        <w:ind w:left="0"/>
        <w:rPr>
          <w:lang w:val="cs-CZ"/>
        </w:rPr>
      </w:pPr>
    </w:p>
    <w:p w:rsidR="005840C5" w:rsidRPr="00ED3950" w:rsidRDefault="00ED3950">
      <w:pPr>
        <w:rPr>
          <w:lang w:val="cs-CZ"/>
        </w:rPr>
      </w:pPr>
      <w:r w:rsidRPr="00ED3950">
        <w:rPr>
          <w:lang w:val="cs-CZ"/>
        </w:rPr>
        <w:t>Identifikace stávajících postupů a získaných zkušeností a výběr příslušných srovnatelných členských států byl proved</w:t>
      </w:r>
      <w:r w:rsidRPr="00ED3950">
        <w:rPr>
          <w:lang w:val="cs-CZ"/>
        </w:rPr>
        <w:t xml:space="preserve">en na základě </w:t>
      </w:r>
      <w:r w:rsidRPr="00ED3950">
        <w:rPr>
          <w:lang w:val="cs-CZ"/>
        </w:rPr>
        <w:t xml:space="preserve">matice </w:t>
      </w:r>
      <w:r w:rsidRPr="00ED3950">
        <w:rPr>
          <w:lang w:val="cs-CZ"/>
        </w:rPr>
        <w:t>výběrových kritérií, která odrážela hlavní výzvy spojené s uplatňováním DNSH v České republice, a to:</w:t>
      </w:r>
    </w:p>
    <w:p w:rsidR="005840C5" w:rsidRPr="00ED3950" w:rsidRDefault="00ED3950">
      <w:pPr>
        <w:pStyle w:val="1stlevelgreen"/>
        <w:numPr>
          <w:ilvl w:val="0"/>
          <w:numId w:val="4"/>
        </w:numPr>
        <w:ind w:left="1134" w:hanging="283"/>
        <w:rPr>
          <w:lang w:val="cs-CZ"/>
        </w:rPr>
      </w:pPr>
      <w:r w:rsidRPr="00ED3950">
        <w:rPr>
          <w:lang w:val="cs-CZ"/>
        </w:rPr>
        <w:t>Procesy a postupy řízení v souvislosti s uplatňováním zásady DNSH;</w:t>
      </w:r>
    </w:p>
    <w:p w:rsidR="005840C5" w:rsidRPr="00ED3950" w:rsidRDefault="00ED3950">
      <w:pPr>
        <w:pStyle w:val="1stlevelgreen"/>
        <w:numPr>
          <w:ilvl w:val="0"/>
          <w:numId w:val="4"/>
        </w:numPr>
        <w:ind w:left="1134" w:hanging="283"/>
        <w:rPr>
          <w:lang w:val="cs-CZ"/>
        </w:rPr>
      </w:pPr>
      <w:r w:rsidRPr="00ED3950">
        <w:rPr>
          <w:lang w:val="cs-CZ"/>
        </w:rPr>
        <w:t>provádění (a monitorování) uplatňování DNSH - zjednodušené a podro</w:t>
      </w:r>
      <w:r w:rsidRPr="00ED3950">
        <w:rPr>
          <w:lang w:val="cs-CZ"/>
        </w:rPr>
        <w:t xml:space="preserve">bné hodnocení </w:t>
      </w:r>
      <w:r w:rsidRPr="00ED3950">
        <w:rPr>
          <w:lang w:val="cs-CZ"/>
        </w:rPr>
        <w:t xml:space="preserve">a </w:t>
      </w:r>
    </w:p>
    <w:p w:rsidR="005840C5" w:rsidRPr="00ED3950" w:rsidRDefault="00ED3950">
      <w:pPr>
        <w:pStyle w:val="1stlevelgreen"/>
        <w:numPr>
          <w:ilvl w:val="0"/>
          <w:numId w:val="4"/>
        </w:numPr>
        <w:ind w:left="1134" w:hanging="283"/>
        <w:rPr>
          <w:lang w:val="cs-CZ"/>
        </w:rPr>
      </w:pPr>
      <w:r w:rsidRPr="00ED3950">
        <w:rPr>
          <w:lang w:val="cs-CZ"/>
        </w:rPr>
        <w:t>Uplatnění principu DNSH na projekty výzkumu a vývoje (</w:t>
      </w:r>
      <w:proofErr w:type="spellStart"/>
      <w:r w:rsidRPr="00ED3950">
        <w:rPr>
          <w:lang w:val="cs-CZ"/>
        </w:rPr>
        <w:t>VaV</w:t>
      </w:r>
      <w:proofErr w:type="spellEnd"/>
      <w:r w:rsidRPr="00ED3950">
        <w:rPr>
          <w:lang w:val="cs-CZ"/>
        </w:rPr>
        <w:t>) a ekologické inovace.</w:t>
      </w:r>
    </w:p>
    <w:p w:rsidR="00820A53" w:rsidRPr="00ED3950" w:rsidRDefault="00820A53" w:rsidP="00820A53">
      <w:pPr>
        <w:rPr>
          <w:lang w:val="cs-CZ"/>
        </w:rPr>
      </w:pPr>
    </w:p>
    <w:p w:rsidR="005840C5" w:rsidRPr="00ED3950" w:rsidRDefault="00ED3950">
      <w:pPr>
        <w:rPr>
          <w:lang w:val="cs-CZ"/>
        </w:rPr>
      </w:pPr>
      <w:r w:rsidRPr="00ED3950">
        <w:rPr>
          <w:b/>
          <w:bCs/>
          <w:lang w:val="cs-CZ"/>
        </w:rPr>
        <w:t xml:space="preserve">Vybranými členskými státy </w:t>
      </w:r>
      <w:r w:rsidRPr="00ED3950">
        <w:rPr>
          <w:b/>
          <w:bCs/>
          <w:lang w:val="cs-CZ"/>
        </w:rPr>
        <w:t>EU</w:t>
      </w:r>
      <w:r w:rsidRPr="00ED3950">
        <w:rPr>
          <w:b/>
          <w:bCs/>
          <w:lang w:val="cs-CZ"/>
        </w:rPr>
        <w:t xml:space="preserve">, které </w:t>
      </w:r>
      <w:r w:rsidRPr="00ED3950">
        <w:rPr>
          <w:b/>
          <w:bCs/>
          <w:lang w:val="cs-CZ"/>
        </w:rPr>
        <w:t xml:space="preserve">se účastní vzájemného učení, </w:t>
      </w:r>
      <w:r w:rsidRPr="00ED3950">
        <w:rPr>
          <w:lang w:val="cs-CZ"/>
        </w:rPr>
        <w:t xml:space="preserve">jsou </w:t>
      </w:r>
      <w:r w:rsidRPr="00ED3950">
        <w:rPr>
          <w:b/>
          <w:bCs/>
          <w:lang w:val="cs-CZ"/>
        </w:rPr>
        <w:t>Rakousko, Belgie, Finsko, Slovensko a Španělsko</w:t>
      </w:r>
      <w:r w:rsidRPr="00ED3950">
        <w:rPr>
          <w:lang w:val="cs-CZ"/>
        </w:rPr>
        <w:t xml:space="preserve">. Při výběru jsme se v </w:t>
      </w:r>
      <w:r w:rsidRPr="00ED3950">
        <w:rPr>
          <w:lang w:val="cs-CZ"/>
        </w:rPr>
        <w:t>maximální</w:t>
      </w:r>
      <w:r w:rsidRPr="00ED3950">
        <w:rPr>
          <w:lang w:val="cs-CZ"/>
        </w:rPr>
        <w:t xml:space="preserve"> možné m</w:t>
      </w:r>
      <w:r w:rsidRPr="00ED3950">
        <w:rPr>
          <w:lang w:val="cs-CZ"/>
        </w:rPr>
        <w:t xml:space="preserve">íře zaměřili na </w:t>
      </w:r>
      <w:r w:rsidRPr="00ED3950">
        <w:rPr>
          <w:lang w:val="cs-CZ"/>
        </w:rPr>
        <w:t xml:space="preserve">členské státy s podobným politickým a správním kontextem jako Česko, abychom zajistili využitelnost získaných poznatků </w:t>
      </w:r>
      <w:r w:rsidRPr="00ED3950">
        <w:rPr>
          <w:lang w:val="cs-CZ"/>
        </w:rPr>
        <w:t xml:space="preserve">v </w:t>
      </w:r>
      <w:r w:rsidRPr="00ED3950">
        <w:rPr>
          <w:lang w:val="cs-CZ"/>
        </w:rPr>
        <w:t xml:space="preserve">českém kontextu. </w:t>
      </w:r>
      <w:r w:rsidRPr="00ED3950">
        <w:rPr>
          <w:lang w:val="cs-CZ"/>
        </w:rPr>
        <w:t xml:space="preserve">Hlavní výzvy byly využity i v další analýze. </w:t>
      </w:r>
    </w:p>
    <w:p w:rsidR="00820A53" w:rsidRPr="00ED3950" w:rsidRDefault="00820A53" w:rsidP="00820A53">
      <w:pPr>
        <w:rPr>
          <w:lang w:val="cs-CZ"/>
        </w:rPr>
      </w:pPr>
    </w:p>
    <w:p w:rsidR="005840C5" w:rsidRPr="00ED3950" w:rsidRDefault="00ED3950">
      <w:pPr>
        <w:rPr>
          <w:lang w:val="cs-CZ"/>
        </w:rPr>
      </w:pPr>
      <w:r w:rsidRPr="00ED3950">
        <w:rPr>
          <w:lang w:val="cs-CZ"/>
        </w:rPr>
        <w:t xml:space="preserve">Pro každou výzvu bylo provedeno následující: </w:t>
      </w:r>
    </w:p>
    <w:p w:rsidR="005840C5" w:rsidRPr="00ED3950" w:rsidRDefault="00ED3950">
      <w:pPr>
        <w:pStyle w:val="Odstavecseseznamem"/>
        <w:numPr>
          <w:ilvl w:val="0"/>
          <w:numId w:val="55"/>
        </w:numPr>
        <w:ind w:left="1134" w:hanging="283"/>
        <w:rPr>
          <w:lang w:val="cs-CZ"/>
        </w:rPr>
      </w:pPr>
      <w:r w:rsidRPr="00ED3950">
        <w:rPr>
          <w:lang w:val="cs-CZ"/>
        </w:rPr>
        <w:t xml:space="preserve">Diskuse o </w:t>
      </w:r>
      <w:r w:rsidRPr="00ED3950">
        <w:rPr>
          <w:lang w:val="cs-CZ"/>
        </w:rPr>
        <w:t xml:space="preserve">podrobnostech </w:t>
      </w:r>
      <w:r w:rsidRPr="00ED3950">
        <w:rPr>
          <w:lang w:val="cs-CZ"/>
        </w:rPr>
        <w:t xml:space="preserve">výzvy DNSH, </w:t>
      </w:r>
      <w:r w:rsidRPr="00ED3950">
        <w:rPr>
          <w:lang w:val="cs-CZ"/>
        </w:rPr>
        <w:t>jak byly zjištěny během konzultací s různými českými orgány</w:t>
      </w:r>
      <w:r w:rsidRPr="00ED3950">
        <w:rPr>
          <w:lang w:val="cs-CZ"/>
        </w:rPr>
        <w:t xml:space="preserve">, útvary Komise a prostřednictvím dalších členských států EU, které dostávají podporu při zavádění DNSH prostřednictvím nástroje technické podpory (TSI); </w:t>
      </w:r>
    </w:p>
    <w:p w:rsidR="005840C5" w:rsidRPr="00ED3950" w:rsidRDefault="00ED3950">
      <w:pPr>
        <w:pStyle w:val="Odstavecseseznamem"/>
        <w:numPr>
          <w:ilvl w:val="0"/>
          <w:numId w:val="55"/>
        </w:numPr>
        <w:ind w:left="1134" w:hanging="283"/>
        <w:rPr>
          <w:lang w:val="cs-CZ"/>
        </w:rPr>
      </w:pPr>
      <w:r w:rsidRPr="00ED3950">
        <w:rPr>
          <w:lang w:val="cs-CZ"/>
        </w:rPr>
        <w:t>Předst</w:t>
      </w:r>
      <w:r w:rsidRPr="00ED3950">
        <w:rPr>
          <w:lang w:val="cs-CZ"/>
        </w:rPr>
        <w:t xml:space="preserve">avení relevantního </w:t>
      </w:r>
      <w:r w:rsidRPr="00ED3950">
        <w:rPr>
          <w:i/>
          <w:iCs/>
          <w:lang w:val="cs-CZ"/>
        </w:rPr>
        <w:t xml:space="preserve">"konkrétního případu" </w:t>
      </w:r>
      <w:r w:rsidRPr="00ED3950">
        <w:rPr>
          <w:lang w:val="cs-CZ"/>
        </w:rPr>
        <w:t xml:space="preserve">předloženého jedním (nebo více) z vybraných členských států o tom, jak lze identifikovaný problém překonat, a </w:t>
      </w:r>
    </w:p>
    <w:p w:rsidR="005840C5" w:rsidRPr="00ED3950" w:rsidRDefault="00ED3950">
      <w:pPr>
        <w:pStyle w:val="Odstavecseseznamem"/>
        <w:numPr>
          <w:ilvl w:val="0"/>
          <w:numId w:val="55"/>
        </w:numPr>
        <w:ind w:left="1134" w:hanging="283"/>
        <w:rPr>
          <w:lang w:val="cs-CZ"/>
        </w:rPr>
      </w:pPr>
      <w:r w:rsidRPr="00ED3950">
        <w:rPr>
          <w:lang w:val="cs-CZ"/>
        </w:rPr>
        <w:t xml:space="preserve">Analýza </w:t>
      </w:r>
      <w:proofErr w:type="spellStart"/>
      <w:r w:rsidRPr="00ED3950">
        <w:rPr>
          <w:lang w:val="cs-CZ"/>
        </w:rPr>
        <w:t>replikovatelnosti</w:t>
      </w:r>
      <w:proofErr w:type="spellEnd"/>
      <w:r w:rsidRPr="00ED3950">
        <w:rPr>
          <w:lang w:val="cs-CZ"/>
        </w:rPr>
        <w:t xml:space="preserve"> </w:t>
      </w:r>
      <w:r w:rsidRPr="00ED3950">
        <w:rPr>
          <w:lang w:val="cs-CZ"/>
        </w:rPr>
        <w:t>zaměřených případů a postupů do Česka</w:t>
      </w:r>
      <w:r w:rsidRPr="00ED3950">
        <w:rPr>
          <w:lang w:val="cs-CZ"/>
        </w:rPr>
        <w:t>. Každý z těchto aspektů podle identifiko</w:t>
      </w:r>
      <w:r w:rsidRPr="00ED3950">
        <w:rPr>
          <w:lang w:val="cs-CZ"/>
        </w:rPr>
        <w:t xml:space="preserve">vaných výzev je popsán v následujících oddílech. </w:t>
      </w:r>
    </w:p>
    <w:p w:rsidR="00820A53" w:rsidRPr="00ED3950" w:rsidRDefault="00820A53" w:rsidP="00820A53">
      <w:pPr>
        <w:rPr>
          <w:highlight w:val="yellow"/>
          <w:lang w:val="cs-CZ"/>
        </w:rPr>
      </w:pPr>
    </w:p>
    <w:p w:rsidR="005840C5" w:rsidRPr="00ED3950" w:rsidRDefault="00ED3950">
      <w:pPr>
        <w:pStyle w:val="Nadpis4"/>
        <w:rPr>
          <w:lang w:val="cs-CZ"/>
        </w:rPr>
      </w:pPr>
      <w:r w:rsidRPr="00ED3950">
        <w:rPr>
          <w:lang w:val="cs-CZ"/>
        </w:rPr>
        <w:t>Řídicí procesy uplatňování zásady DNSH</w:t>
      </w:r>
    </w:p>
    <w:p w:rsidR="005840C5" w:rsidRPr="00ED3950" w:rsidRDefault="00ED3950">
      <w:pPr>
        <w:rPr>
          <w:lang w:val="cs-CZ"/>
        </w:rPr>
      </w:pPr>
      <w:r w:rsidRPr="00ED3950">
        <w:rPr>
          <w:lang w:val="cs-CZ"/>
        </w:rPr>
        <w:t xml:space="preserve">V souvislosti s tímto problémem DNSH se členské státy často potýkají s obtížemi při určování </w:t>
      </w:r>
      <w:r w:rsidRPr="00ED3950">
        <w:rPr>
          <w:b/>
          <w:bCs/>
          <w:lang w:val="cs-CZ"/>
        </w:rPr>
        <w:t xml:space="preserve">ústředního orgánu s </w:t>
      </w:r>
      <w:r w:rsidRPr="00ED3950">
        <w:rPr>
          <w:lang w:val="cs-CZ"/>
        </w:rPr>
        <w:t xml:space="preserve">mandátem k řízení procesu DNSH a zároveň se </w:t>
      </w:r>
      <w:r w:rsidRPr="00ED3950">
        <w:rPr>
          <w:b/>
          <w:bCs/>
          <w:lang w:val="cs-CZ"/>
        </w:rPr>
        <w:t>zapojením</w:t>
      </w:r>
      <w:r w:rsidRPr="00ED3950">
        <w:rPr>
          <w:b/>
          <w:bCs/>
          <w:lang w:val="cs-CZ"/>
        </w:rPr>
        <w:t xml:space="preserve"> všech příslušných orgánů </w:t>
      </w:r>
      <w:r w:rsidRPr="00ED3950">
        <w:rPr>
          <w:lang w:val="cs-CZ"/>
        </w:rPr>
        <w:t xml:space="preserve">a nalezením rovnováhy mezi </w:t>
      </w:r>
      <w:r w:rsidRPr="00ED3950">
        <w:rPr>
          <w:lang w:val="cs-CZ"/>
        </w:rPr>
        <w:t xml:space="preserve">jediným procesem řízení konzistentním ve všech programech, odvětvích a investicích a </w:t>
      </w:r>
      <w:r w:rsidRPr="00ED3950">
        <w:rPr>
          <w:b/>
          <w:bCs/>
          <w:lang w:val="cs-CZ"/>
        </w:rPr>
        <w:t xml:space="preserve">zachováním flexibility pro </w:t>
      </w:r>
      <w:r w:rsidRPr="00ED3950">
        <w:rPr>
          <w:lang w:val="cs-CZ"/>
        </w:rPr>
        <w:t>zapojení odvětvových odborných znalostí a specializovaných orgánů během posuzování DNSH</w:t>
      </w:r>
      <w:r w:rsidRPr="00ED3950">
        <w:rPr>
          <w:lang w:val="cs-CZ"/>
        </w:rPr>
        <w:t>. Za</w:t>
      </w:r>
      <w:r w:rsidRPr="00ED3950">
        <w:rPr>
          <w:lang w:val="cs-CZ"/>
        </w:rPr>
        <w:t xml:space="preserve">vedení účinného systému řízení umožňuje minimalizovat administrativní zátěž a konzistentnost hodnocení DNSH napříč orgány. </w:t>
      </w:r>
    </w:p>
    <w:p w:rsidR="00820A53" w:rsidRPr="00ED3950" w:rsidRDefault="00820A53" w:rsidP="00820A53">
      <w:pPr>
        <w:rPr>
          <w:lang w:val="cs-CZ"/>
        </w:rPr>
      </w:pPr>
    </w:p>
    <w:p w:rsidR="005840C5" w:rsidRPr="00ED3950" w:rsidRDefault="00ED3950">
      <w:pPr>
        <w:rPr>
          <w:lang w:val="cs-CZ"/>
        </w:rPr>
      </w:pPr>
      <w:r w:rsidRPr="00ED3950">
        <w:rPr>
          <w:lang w:val="cs-CZ"/>
        </w:rPr>
        <w:t xml:space="preserve">Dva členské státy (Španělsko a Rakousko) představily osvědčené postupy týkající se této výzvy, centralizovaného </w:t>
      </w:r>
      <w:r w:rsidRPr="00ED3950">
        <w:rPr>
          <w:b/>
          <w:bCs/>
          <w:lang w:val="cs-CZ"/>
        </w:rPr>
        <w:t>systému řízení a bu</w:t>
      </w:r>
      <w:r w:rsidRPr="00ED3950">
        <w:rPr>
          <w:b/>
          <w:bCs/>
          <w:lang w:val="cs-CZ"/>
        </w:rPr>
        <w:t xml:space="preserve">dování kapacit divizí DNSH </w:t>
      </w:r>
      <w:r w:rsidRPr="00ED3950">
        <w:rPr>
          <w:lang w:val="cs-CZ"/>
        </w:rPr>
        <w:t xml:space="preserve">pro </w:t>
      </w:r>
      <w:r w:rsidRPr="00ED3950">
        <w:rPr>
          <w:lang w:val="cs-CZ"/>
        </w:rPr>
        <w:t xml:space="preserve">plán obnovy a odolnosti </w:t>
      </w:r>
      <w:r w:rsidRPr="00ED3950">
        <w:rPr>
          <w:b/>
          <w:bCs/>
          <w:lang w:val="cs-CZ"/>
        </w:rPr>
        <w:t xml:space="preserve">ve Španělsku </w:t>
      </w:r>
      <w:r w:rsidRPr="00ED3950">
        <w:rPr>
          <w:lang w:val="cs-CZ"/>
        </w:rPr>
        <w:t xml:space="preserve">a </w:t>
      </w:r>
      <w:proofErr w:type="spellStart"/>
      <w:r w:rsidRPr="00ED3950">
        <w:rPr>
          <w:b/>
          <w:bCs/>
          <w:lang w:val="cs-CZ"/>
        </w:rPr>
        <w:t>Helpdeskem</w:t>
      </w:r>
      <w:proofErr w:type="spellEnd"/>
      <w:r w:rsidRPr="00ED3950">
        <w:rPr>
          <w:b/>
          <w:bCs/>
          <w:lang w:val="cs-CZ"/>
        </w:rPr>
        <w:t xml:space="preserve"> DNSH </w:t>
      </w:r>
      <w:r w:rsidRPr="00ED3950">
        <w:rPr>
          <w:lang w:val="cs-CZ"/>
        </w:rPr>
        <w:t xml:space="preserve">v </w:t>
      </w:r>
      <w:r w:rsidRPr="00ED3950">
        <w:rPr>
          <w:b/>
          <w:bCs/>
          <w:lang w:val="cs-CZ"/>
        </w:rPr>
        <w:t>Belgii</w:t>
      </w:r>
      <w:r w:rsidRPr="00ED3950">
        <w:rPr>
          <w:lang w:val="cs-CZ"/>
        </w:rPr>
        <w:t xml:space="preserve">. </w:t>
      </w:r>
      <w:r w:rsidRPr="00ED3950">
        <w:rPr>
          <w:lang w:val="cs-CZ"/>
        </w:rPr>
        <w:t>Španělská divize DNSH funguje jako "</w:t>
      </w:r>
      <w:r w:rsidRPr="00ED3950">
        <w:rPr>
          <w:i/>
          <w:iCs/>
          <w:lang w:val="cs-CZ"/>
        </w:rPr>
        <w:t xml:space="preserve">centrální odborné centrum", </w:t>
      </w:r>
      <w:r w:rsidRPr="00ED3950">
        <w:rPr>
          <w:lang w:val="cs-CZ"/>
        </w:rPr>
        <w:t>které pomáhá různým ministerstvům s dodržováním DNSH při navrhování (nových) programových výzev,</w:t>
      </w:r>
      <w:r w:rsidRPr="00ED3950">
        <w:rPr>
          <w:lang w:val="cs-CZ"/>
        </w:rPr>
        <w:t xml:space="preserve"> školí úředníky a vypracovává materiály pro systematické posuzování DNSH ve všech odvětvích, typech nástrojů a jurisdikcích. Belgický </w:t>
      </w:r>
      <w:proofErr w:type="spellStart"/>
      <w:r w:rsidRPr="00ED3950">
        <w:rPr>
          <w:lang w:val="cs-CZ"/>
        </w:rPr>
        <w:t>Helpdesk</w:t>
      </w:r>
      <w:proofErr w:type="spellEnd"/>
      <w:r w:rsidRPr="00ED3950">
        <w:rPr>
          <w:lang w:val="cs-CZ"/>
        </w:rPr>
        <w:t xml:space="preserve"> DNSH </w:t>
      </w:r>
      <w:r w:rsidRPr="00ED3950">
        <w:rPr>
          <w:lang w:val="cs-CZ"/>
        </w:rPr>
        <w:t>rovněž nabízí pomoc veřejným federálním orgánům, nabízí školení financujícím orgánům a tvůrcům projektů, při</w:t>
      </w:r>
      <w:r w:rsidRPr="00ED3950">
        <w:rPr>
          <w:lang w:val="cs-CZ"/>
        </w:rPr>
        <w:t xml:space="preserve">pravuje materiály na </w:t>
      </w:r>
      <w:r w:rsidRPr="00ED3950">
        <w:rPr>
          <w:lang w:val="cs-CZ"/>
        </w:rPr>
        <w:lastRenderedPageBreak/>
        <w:t xml:space="preserve">podporu orgánů a tvůrců projektů </w:t>
      </w:r>
      <w:r w:rsidRPr="00ED3950">
        <w:rPr>
          <w:lang w:val="cs-CZ"/>
        </w:rPr>
        <w:t xml:space="preserve">a je zodpovědný za komunikační aktivity pro všechny veřejné, soukromé, federální a regionální zúčastněné strany o osvědčených postupech. </w:t>
      </w:r>
      <w:r w:rsidRPr="00ED3950">
        <w:rPr>
          <w:lang w:val="cs-CZ"/>
        </w:rPr>
        <w:t xml:space="preserve"> </w:t>
      </w:r>
    </w:p>
    <w:p w:rsidR="00820A53" w:rsidRPr="00ED3950" w:rsidRDefault="00820A53" w:rsidP="00820A53">
      <w:pPr>
        <w:rPr>
          <w:lang w:val="cs-CZ"/>
        </w:rPr>
      </w:pPr>
    </w:p>
    <w:p w:rsidR="005840C5" w:rsidRPr="00ED3950" w:rsidRDefault="00ED3950">
      <w:pPr>
        <w:rPr>
          <w:lang w:val="cs-CZ"/>
        </w:rPr>
      </w:pPr>
      <w:r w:rsidRPr="00ED3950">
        <w:rPr>
          <w:lang w:val="cs-CZ"/>
        </w:rPr>
        <w:t xml:space="preserve">Pokud jde o možnost replikace těchto řešení v českém kontextu, </w:t>
      </w:r>
      <w:r w:rsidRPr="00ED3950">
        <w:rPr>
          <w:lang w:val="cs-CZ"/>
        </w:rPr>
        <w:t xml:space="preserve">vytvoření specializovaného týmu </w:t>
      </w:r>
      <w:r w:rsidRPr="00ED3950">
        <w:rPr>
          <w:lang w:val="cs-CZ"/>
        </w:rPr>
        <w:t xml:space="preserve">podobného španělskému nebo belgickému týmu </w:t>
      </w:r>
      <w:r w:rsidRPr="00ED3950">
        <w:rPr>
          <w:lang w:val="cs-CZ"/>
        </w:rPr>
        <w:t xml:space="preserve">by poskytlo cílenou podporu pro implementaci pokynů DNSH prostřednictvím různých operačních programů (OP) a fondů. To </w:t>
      </w:r>
      <w:r w:rsidRPr="00ED3950">
        <w:rPr>
          <w:lang w:val="cs-CZ"/>
        </w:rPr>
        <w:t xml:space="preserve">by vyžadovalo navrhnout jasný mandát, odpovídající zdroje a vyjasnění přerozdělení rolí s řídicími orgány (tj. konečná odpovědnost, zajištění kvality, sběr dat atd.). Česká divize DNSH nebo DNSH </w:t>
      </w:r>
      <w:proofErr w:type="spellStart"/>
      <w:r w:rsidRPr="00ED3950">
        <w:rPr>
          <w:lang w:val="cs-CZ"/>
        </w:rPr>
        <w:t>Desk</w:t>
      </w:r>
      <w:proofErr w:type="spellEnd"/>
      <w:r w:rsidRPr="00ED3950">
        <w:rPr>
          <w:lang w:val="cs-CZ"/>
        </w:rPr>
        <w:t xml:space="preserve"> by pak mohly mít </w:t>
      </w:r>
      <w:r w:rsidRPr="00ED3950">
        <w:rPr>
          <w:lang w:val="cs-CZ"/>
        </w:rPr>
        <w:t>kapacitu pro zavádění a provádění český</w:t>
      </w:r>
      <w:r w:rsidRPr="00ED3950">
        <w:rPr>
          <w:lang w:val="cs-CZ"/>
        </w:rPr>
        <w:t>ch národních pokynů pro DNSH, podobně jako španělské a belgické pokyny.</w:t>
      </w:r>
    </w:p>
    <w:p w:rsidR="00820A53" w:rsidRPr="00ED3950" w:rsidRDefault="00820A53" w:rsidP="00820A53">
      <w:pPr>
        <w:rPr>
          <w:lang w:val="cs-CZ"/>
        </w:rPr>
      </w:pPr>
    </w:p>
    <w:p w:rsidR="005840C5" w:rsidRPr="00ED3950" w:rsidRDefault="00ED3950">
      <w:pPr>
        <w:pStyle w:val="Nadpis4"/>
        <w:rPr>
          <w:lang w:val="cs-CZ"/>
        </w:rPr>
      </w:pPr>
      <w:r w:rsidRPr="00ED3950">
        <w:rPr>
          <w:lang w:val="cs-CZ"/>
        </w:rPr>
        <w:t>Provádění zjednodušených a podrobných hodnocení DNSH</w:t>
      </w:r>
    </w:p>
    <w:p w:rsidR="005840C5" w:rsidRPr="00ED3950" w:rsidRDefault="00ED3950">
      <w:pPr>
        <w:rPr>
          <w:lang w:val="cs-CZ"/>
        </w:rPr>
      </w:pPr>
      <w:r w:rsidRPr="00ED3950">
        <w:rPr>
          <w:lang w:val="cs-CZ"/>
        </w:rPr>
        <w:t xml:space="preserve">Druhá výzva se zaměřila na řadu konkrétních otázek souvisejících s prováděním DNSH: </w:t>
      </w:r>
    </w:p>
    <w:p w:rsidR="005840C5" w:rsidRPr="00ED3950" w:rsidRDefault="00ED3950">
      <w:pPr>
        <w:pStyle w:val="Odstavecseseznamem"/>
        <w:numPr>
          <w:ilvl w:val="0"/>
          <w:numId w:val="56"/>
        </w:numPr>
        <w:ind w:left="1134" w:hanging="283"/>
        <w:rPr>
          <w:lang w:val="cs-CZ"/>
        </w:rPr>
      </w:pPr>
      <w:r w:rsidRPr="00ED3950">
        <w:rPr>
          <w:lang w:val="cs-CZ"/>
        </w:rPr>
        <w:t xml:space="preserve">Vývoj účinných metodik předběžného </w:t>
      </w:r>
      <w:proofErr w:type="spellStart"/>
      <w:r w:rsidRPr="00ED3950">
        <w:rPr>
          <w:lang w:val="cs-CZ"/>
        </w:rPr>
        <w:t>screeningu</w:t>
      </w:r>
      <w:proofErr w:type="spellEnd"/>
      <w:r w:rsidRPr="00ED3950">
        <w:rPr>
          <w:lang w:val="cs-CZ"/>
        </w:rPr>
        <w:t xml:space="preserve"> s ohledem na rozdíly v pokynech DNSH v různých fondech EU</w:t>
      </w:r>
      <w:r w:rsidRPr="00ED3950">
        <w:rPr>
          <w:lang w:val="cs-CZ"/>
        </w:rPr>
        <w:t xml:space="preserve">; </w:t>
      </w:r>
    </w:p>
    <w:p w:rsidR="005840C5" w:rsidRPr="00ED3950" w:rsidRDefault="00ED3950">
      <w:pPr>
        <w:pStyle w:val="Odstavecseseznamem"/>
        <w:numPr>
          <w:ilvl w:val="0"/>
          <w:numId w:val="56"/>
        </w:numPr>
        <w:ind w:left="1134" w:hanging="283"/>
        <w:rPr>
          <w:lang w:val="cs-CZ"/>
        </w:rPr>
      </w:pPr>
      <w:r w:rsidRPr="00ED3950">
        <w:rPr>
          <w:lang w:val="cs-CZ"/>
        </w:rPr>
        <w:t>Definice pojmu "významná újma" a "dostatečné" posouzení DNSH</w:t>
      </w:r>
      <w:r w:rsidRPr="00ED3950">
        <w:rPr>
          <w:lang w:val="cs-CZ"/>
        </w:rPr>
        <w:t xml:space="preserve">; a </w:t>
      </w:r>
      <w:proofErr w:type="spellStart"/>
      <w:r w:rsidRPr="00ED3950">
        <w:rPr>
          <w:lang w:val="cs-CZ"/>
        </w:rPr>
        <w:t>iii</w:t>
      </w:r>
      <w:proofErr w:type="spellEnd"/>
      <w:r w:rsidRPr="00ED3950">
        <w:rPr>
          <w:lang w:val="cs-CZ"/>
        </w:rPr>
        <w:t xml:space="preserve">) hledání </w:t>
      </w:r>
      <w:r w:rsidRPr="00ED3950">
        <w:rPr>
          <w:lang w:val="cs-CZ"/>
        </w:rPr>
        <w:t xml:space="preserve">rovnováhy mezi </w:t>
      </w:r>
      <w:r w:rsidRPr="00ED3950">
        <w:rPr>
          <w:lang w:val="cs-CZ"/>
        </w:rPr>
        <w:t xml:space="preserve">standardizací </w:t>
      </w:r>
      <w:r w:rsidRPr="00ED3950">
        <w:rPr>
          <w:lang w:val="cs-CZ"/>
        </w:rPr>
        <w:t>a otázkami relevantními pro dané odvětví</w:t>
      </w:r>
      <w:r w:rsidRPr="00ED3950">
        <w:rPr>
          <w:lang w:val="cs-CZ"/>
        </w:rPr>
        <w:t xml:space="preserve">. </w:t>
      </w:r>
    </w:p>
    <w:p w:rsidR="00820A53" w:rsidRPr="00ED3950" w:rsidRDefault="00820A53" w:rsidP="00820A53">
      <w:pPr>
        <w:rPr>
          <w:lang w:val="cs-CZ"/>
        </w:rPr>
      </w:pPr>
    </w:p>
    <w:p w:rsidR="005840C5" w:rsidRPr="00ED3950" w:rsidRDefault="00ED3950">
      <w:pPr>
        <w:rPr>
          <w:lang w:val="cs-CZ"/>
        </w:rPr>
      </w:pPr>
      <w:r w:rsidRPr="00ED3950">
        <w:rPr>
          <w:lang w:val="cs-CZ"/>
        </w:rPr>
        <w:t>Dva členské státy (Finsko a Slovensko) se pod</w:t>
      </w:r>
      <w:r w:rsidRPr="00ED3950">
        <w:rPr>
          <w:lang w:val="cs-CZ"/>
        </w:rPr>
        <w:t xml:space="preserve">ělily o své stávající postupy, které se vztahují k této výzvě. Na Slovensku byl vypracován </w:t>
      </w:r>
      <w:r w:rsidRPr="00ED3950">
        <w:rPr>
          <w:b/>
          <w:bCs/>
          <w:lang w:val="cs-CZ"/>
        </w:rPr>
        <w:t>odvětvový přístup k DNSH pro budovy s komplexní a podrobnou metodikou</w:t>
      </w:r>
      <w:r w:rsidRPr="00ED3950">
        <w:rPr>
          <w:lang w:val="cs-CZ"/>
        </w:rPr>
        <w:t xml:space="preserve">. </w:t>
      </w:r>
      <w:r w:rsidRPr="00ED3950">
        <w:rPr>
          <w:lang w:val="cs-CZ"/>
        </w:rPr>
        <w:t>Tento postup se řídí pokyny pro DNSH uvedenými v nařízení RRF a zahrnuje podmínky zelené značk</w:t>
      </w:r>
      <w:r w:rsidRPr="00ED3950">
        <w:rPr>
          <w:lang w:val="cs-CZ"/>
        </w:rPr>
        <w:t xml:space="preserve">y, které stanoví mechanismy ověřování, čímž zajišťují soulad s úsilím o zmírnění dopadů změny klimatu a minimálními zárukami požadovanými pro ostatních pět cílů </w:t>
      </w:r>
      <w:r w:rsidRPr="00ED3950">
        <w:rPr>
          <w:lang w:val="cs-CZ"/>
        </w:rPr>
        <w:t xml:space="preserve">EU </w:t>
      </w:r>
      <w:r w:rsidRPr="00ED3950">
        <w:rPr>
          <w:lang w:val="cs-CZ"/>
        </w:rPr>
        <w:t>v oblasti životního prostředí. Kromě toho byl vypracován kontrolní seznam, který má minister</w:t>
      </w:r>
      <w:r w:rsidRPr="00ED3950">
        <w:rPr>
          <w:lang w:val="cs-CZ"/>
        </w:rPr>
        <w:t xml:space="preserve">stvům pomoci sladit jejich otevřené výzvy se zásadou DNSH a </w:t>
      </w:r>
      <w:r w:rsidRPr="00ED3950">
        <w:rPr>
          <w:lang w:val="cs-CZ"/>
        </w:rPr>
        <w:t xml:space="preserve">který </w:t>
      </w:r>
      <w:r w:rsidRPr="00ED3950">
        <w:rPr>
          <w:lang w:val="cs-CZ"/>
        </w:rPr>
        <w:t xml:space="preserve">zajišťuje, aby kritéria pro různé typy výzev zahrnující stavební investice byla relevantní. </w:t>
      </w:r>
      <w:r w:rsidRPr="00ED3950">
        <w:rPr>
          <w:lang w:val="cs-CZ"/>
        </w:rPr>
        <w:t xml:space="preserve">Ve Finsku byl zaveden </w:t>
      </w:r>
      <w:r w:rsidRPr="00ED3950">
        <w:rPr>
          <w:b/>
          <w:bCs/>
          <w:lang w:val="cs-CZ"/>
        </w:rPr>
        <w:t xml:space="preserve">zákon o prioritním pořadí pro povolování v oblasti životního prostředí. </w:t>
      </w:r>
      <w:r w:rsidRPr="00ED3950">
        <w:rPr>
          <w:lang w:val="cs-CZ"/>
        </w:rPr>
        <w:t xml:space="preserve">Podle tohoto vnitrostátního zákona mají v </w:t>
      </w:r>
      <w:r w:rsidRPr="00ED3950">
        <w:rPr>
          <w:lang w:val="cs-CZ"/>
        </w:rPr>
        <w:t>procesu povolování v oblasti životního prostředí přednost projekty (infrastruktury), které prošly posouzením DNSH. Princip DNSH se tedy používá jako "nástroj" pro určení, které projekty jsou způsobilé pro zrychlené</w:t>
      </w:r>
      <w:r w:rsidRPr="00ED3950">
        <w:rPr>
          <w:lang w:val="cs-CZ"/>
        </w:rPr>
        <w:t xml:space="preserve"> vyřízení environmentálního povolení, pokud projekty spadají do odvětvové působnosti a podmínek zákona o prioritním pořadí.</w:t>
      </w:r>
    </w:p>
    <w:p w:rsidR="00820A53" w:rsidRPr="00ED3950" w:rsidRDefault="00820A53" w:rsidP="00820A53">
      <w:pPr>
        <w:rPr>
          <w:lang w:val="cs-CZ"/>
        </w:rPr>
      </w:pPr>
    </w:p>
    <w:p w:rsidR="005840C5" w:rsidRPr="00ED3950" w:rsidRDefault="00ED3950">
      <w:pPr>
        <w:rPr>
          <w:lang w:val="cs-CZ"/>
        </w:rPr>
      </w:pPr>
      <w:r w:rsidRPr="00ED3950">
        <w:rPr>
          <w:lang w:val="cs-CZ"/>
        </w:rPr>
        <w:t xml:space="preserve">Co se týče </w:t>
      </w:r>
      <w:proofErr w:type="spellStart"/>
      <w:r w:rsidRPr="00ED3950">
        <w:rPr>
          <w:lang w:val="cs-CZ"/>
        </w:rPr>
        <w:t>replikovatelnosti</w:t>
      </w:r>
      <w:proofErr w:type="spellEnd"/>
      <w:r w:rsidRPr="00ED3950">
        <w:rPr>
          <w:lang w:val="cs-CZ"/>
        </w:rPr>
        <w:t xml:space="preserve"> slovenského přístupu v českém kontextu, </w:t>
      </w:r>
      <w:r w:rsidRPr="00ED3950">
        <w:rPr>
          <w:lang w:val="cs-CZ"/>
        </w:rPr>
        <w:t xml:space="preserve">Česko se zaměřilo na vypracování </w:t>
      </w:r>
      <w:r w:rsidRPr="00ED3950">
        <w:rPr>
          <w:bCs/>
          <w:lang w:val="cs-CZ"/>
        </w:rPr>
        <w:t>rámcových pokynů pro jednotli</w:t>
      </w:r>
      <w:r w:rsidRPr="00ED3950">
        <w:rPr>
          <w:bCs/>
          <w:lang w:val="cs-CZ"/>
        </w:rPr>
        <w:t xml:space="preserve">vá odvětví </w:t>
      </w:r>
      <w:r w:rsidRPr="00ED3950">
        <w:rPr>
          <w:lang w:val="cs-CZ"/>
        </w:rPr>
        <w:t xml:space="preserve">(spíše než na rámce pro jednotlivá odvětví). </w:t>
      </w:r>
      <w:r w:rsidRPr="00ED3950">
        <w:rPr>
          <w:lang w:val="cs-CZ"/>
        </w:rPr>
        <w:t xml:space="preserve">Zatímco úplná decentralizace procesu DNSH může bránit standardizaci a vytvářet nejednotnost metodik, vypracování odvětvových směrnic by mohlo ministerstvům pomoci efektivněji posuzovat projekty DNSH. </w:t>
      </w:r>
      <w:r w:rsidRPr="00ED3950">
        <w:rPr>
          <w:lang w:val="cs-CZ"/>
        </w:rPr>
        <w:t xml:space="preserve">Potenciálním řešením by mohla být </w:t>
      </w:r>
      <w:r w:rsidRPr="00ED3950">
        <w:rPr>
          <w:lang w:val="cs-CZ"/>
        </w:rPr>
        <w:t xml:space="preserve">centralizace </w:t>
      </w:r>
      <w:r w:rsidRPr="00ED3950">
        <w:rPr>
          <w:lang w:val="cs-CZ"/>
        </w:rPr>
        <w:t xml:space="preserve">vývoje a řízení směrnic pro </w:t>
      </w:r>
      <w:r w:rsidRPr="00ED3950">
        <w:rPr>
          <w:lang w:val="cs-CZ"/>
        </w:rPr>
        <w:t>(</w:t>
      </w:r>
      <w:r w:rsidRPr="00ED3950">
        <w:rPr>
          <w:lang w:val="cs-CZ"/>
        </w:rPr>
        <w:t>stavební</w:t>
      </w:r>
      <w:r w:rsidRPr="00ED3950">
        <w:rPr>
          <w:lang w:val="cs-CZ"/>
        </w:rPr>
        <w:t xml:space="preserve">) </w:t>
      </w:r>
      <w:r w:rsidRPr="00ED3950">
        <w:rPr>
          <w:lang w:val="cs-CZ"/>
        </w:rPr>
        <w:t xml:space="preserve">sektor, která </w:t>
      </w:r>
      <w:r w:rsidRPr="00ED3950">
        <w:rPr>
          <w:lang w:val="cs-CZ"/>
        </w:rPr>
        <w:t xml:space="preserve">by zajistila jejich soulad se </w:t>
      </w:r>
      <w:r w:rsidRPr="00ED3950">
        <w:rPr>
          <w:lang w:val="cs-CZ"/>
        </w:rPr>
        <w:t>stávajícími národními sektorově orientovanými směrnicemi, což by mohlo pomoci vyřešit obavy z nekonzistence</w:t>
      </w:r>
      <w:r w:rsidRPr="00ED3950">
        <w:rPr>
          <w:lang w:val="cs-CZ"/>
        </w:rPr>
        <w:t xml:space="preserve">. Pokud jde o </w:t>
      </w:r>
      <w:proofErr w:type="spellStart"/>
      <w:r w:rsidRPr="00ED3950">
        <w:rPr>
          <w:lang w:val="cs-CZ"/>
        </w:rPr>
        <w:t>repli</w:t>
      </w:r>
      <w:r w:rsidRPr="00ED3950">
        <w:rPr>
          <w:lang w:val="cs-CZ"/>
        </w:rPr>
        <w:t>kovatelnost</w:t>
      </w:r>
      <w:proofErr w:type="spellEnd"/>
      <w:r w:rsidRPr="00ED3950">
        <w:rPr>
          <w:lang w:val="cs-CZ"/>
        </w:rPr>
        <w:t xml:space="preserve"> finského přístupu, je </w:t>
      </w:r>
      <w:r w:rsidRPr="00ED3950">
        <w:rPr>
          <w:lang w:val="cs-CZ"/>
        </w:rPr>
        <w:t xml:space="preserve">nepravděpodobné, že by vypracování zákona o prioritním pořadí pro environmentální povolování v Česku mohlo být v krátkodobém horizontu snadno replikováno, </w:t>
      </w:r>
      <w:r w:rsidRPr="00ED3950">
        <w:rPr>
          <w:lang w:val="cs-CZ"/>
        </w:rPr>
        <w:t xml:space="preserve">protože </w:t>
      </w:r>
      <w:r w:rsidRPr="00ED3950">
        <w:rPr>
          <w:lang w:val="cs-CZ"/>
        </w:rPr>
        <w:t>neexistuje žádný stávající legislativní rámec, který by tak</w:t>
      </w:r>
      <w:r w:rsidRPr="00ED3950">
        <w:rPr>
          <w:lang w:val="cs-CZ"/>
        </w:rPr>
        <w:t xml:space="preserve">ové opatření podporoval, </w:t>
      </w:r>
      <w:r w:rsidRPr="00ED3950">
        <w:rPr>
          <w:lang w:val="cs-CZ"/>
        </w:rPr>
        <w:t xml:space="preserve">a </w:t>
      </w:r>
      <w:r w:rsidRPr="00ED3950">
        <w:rPr>
          <w:lang w:val="cs-CZ"/>
        </w:rPr>
        <w:t>nemusí být snadné získat pro takovou iniciativu politickou podporu.</w:t>
      </w:r>
    </w:p>
    <w:p w:rsidR="00820A53" w:rsidRPr="00ED3950" w:rsidRDefault="00820A53" w:rsidP="00820A53">
      <w:pPr>
        <w:rPr>
          <w:lang w:val="cs-CZ"/>
        </w:rPr>
      </w:pPr>
    </w:p>
    <w:p w:rsidR="005840C5" w:rsidRPr="00ED3950" w:rsidRDefault="00ED3950">
      <w:pPr>
        <w:pStyle w:val="Nadpis4"/>
        <w:rPr>
          <w:lang w:val="cs-CZ"/>
        </w:rPr>
      </w:pPr>
      <w:r w:rsidRPr="00ED3950">
        <w:rPr>
          <w:lang w:val="cs-CZ"/>
        </w:rPr>
        <w:lastRenderedPageBreak/>
        <w:t>Uplatnění principu DNSH na projekty výzkumu a vývoje a zelené inovace</w:t>
      </w:r>
    </w:p>
    <w:p w:rsidR="005840C5" w:rsidRPr="00ED3950" w:rsidRDefault="00ED3950">
      <w:pPr>
        <w:rPr>
          <w:lang w:val="cs-CZ"/>
        </w:rPr>
      </w:pPr>
      <w:r w:rsidRPr="00ED3950">
        <w:rPr>
          <w:lang w:val="cs-CZ"/>
        </w:rPr>
        <w:t xml:space="preserve">Bylo zjištěno, že posuzování DNSH v projektech </w:t>
      </w:r>
      <w:r w:rsidRPr="00ED3950">
        <w:rPr>
          <w:lang w:val="cs-CZ"/>
        </w:rPr>
        <w:t xml:space="preserve">výzkumu a vývoje a zelených inovací je pro </w:t>
      </w:r>
      <w:r w:rsidRPr="00ED3950">
        <w:rPr>
          <w:lang w:val="cs-CZ"/>
        </w:rPr>
        <w:t xml:space="preserve">české orgány obzvláště náročným úkolem, neboť je nepravděpodobné, že by mnohé iniciativy měly zásadní nepříznivé dopady na životní prostředí, </w:t>
      </w:r>
      <w:r w:rsidRPr="00ED3950">
        <w:rPr>
          <w:lang w:val="cs-CZ"/>
        </w:rPr>
        <w:t>a to s řadou specifických problémů:</w:t>
      </w:r>
    </w:p>
    <w:p w:rsidR="005840C5" w:rsidRPr="00ED3950" w:rsidRDefault="00ED3950">
      <w:pPr>
        <w:pStyle w:val="Odstavecseseznamem"/>
        <w:numPr>
          <w:ilvl w:val="0"/>
          <w:numId w:val="57"/>
        </w:numPr>
        <w:ind w:left="1134" w:hanging="283"/>
        <w:rPr>
          <w:lang w:val="cs-CZ"/>
        </w:rPr>
      </w:pPr>
      <w:r w:rsidRPr="00ED3950">
        <w:rPr>
          <w:lang w:val="cs-CZ"/>
        </w:rPr>
        <w:t>Vypracování alternativních kritérií pro hodnocení projektů, které nejsou zahrn</w:t>
      </w:r>
      <w:r w:rsidRPr="00ED3950">
        <w:rPr>
          <w:lang w:val="cs-CZ"/>
        </w:rPr>
        <w:t>uty ve stávajících pokynech DNSH a/nebo v aktech EU v přenesené pravomoci týkajících se taxonomie;</w:t>
      </w:r>
    </w:p>
    <w:p w:rsidR="005840C5" w:rsidRPr="00ED3950" w:rsidRDefault="00ED3950">
      <w:pPr>
        <w:pStyle w:val="Odstavecseseznamem"/>
        <w:numPr>
          <w:ilvl w:val="0"/>
          <w:numId w:val="57"/>
        </w:numPr>
        <w:ind w:left="1134" w:hanging="283"/>
        <w:rPr>
          <w:lang w:val="cs-CZ"/>
        </w:rPr>
      </w:pPr>
      <w:r w:rsidRPr="00ED3950">
        <w:rPr>
          <w:lang w:val="cs-CZ"/>
        </w:rPr>
        <w:t>nalezení rovnováhy mezi standardizací a zohledněním specifik projektů a</w:t>
      </w:r>
    </w:p>
    <w:p w:rsidR="005840C5" w:rsidRPr="00ED3950" w:rsidRDefault="00ED3950">
      <w:pPr>
        <w:pStyle w:val="Odstavecseseznamem"/>
        <w:numPr>
          <w:ilvl w:val="0"/>
          <w:numId w:val="57"/>
        </w:numPr>
        <w:ind w:left="1134" w:hanging="283"/>
        <w:rPr>
          <w:lang w:val="cs-CZ"/>
        </w:rPr>
      </w:pPr>
      <w:r w:rsidRPr="00ED3950">
        <w:rPr>
          <w:lang w:val="cs-CZ"/>
        </w:rPr>
        <w:t>Vypracování dalších politik a metodik pro klasifikaci a měření investic do inovativní</w:t>
      </w:r>
      <w:r w:rsidRPr="00ED3950">
        <w:rPr>
          <w:lang w:val="cs-CZ"/>
        </w:rPr>
        <w:t>ch zelených technologií.</w:t>
      </w:r>
    </w:p>
    <w:p w:rsidR="00820A53" w:rsidRPr="00ED3950" w:rsidRDefault="00820A53" w:rsidP="00820A53">
      <w:pPr>
        <w:rPr>
          <w:lang w:val="cs-CZ"/>
        </w:rPr>
      </w:pPr>
    </w:p>
    <w:p w:rsidR="005840C5" w:rsidRPr="00ED3950" w:rsidRDefault="00ED3950">
      <w:pPr>
        <w:rPr>
          <w:lang w:val="cs-CZ"/>
        </w:rPr>
      </w:pPr>
      <w:r w:rsidRPr="00ED3950">
        <w:rPr>
          <w:lang w:val="cs-CZ"/>
        </w:rPr>
        <w:t xml:space="preserve">Dva členské státy (Finsko a Rakousko) již k tomuto problému přistupují. Ve Finsku existuje státní společnost </w:t>
      </w:r>
      <w:proofErr w:type="spellStart"/>
      <w:r w:rsidRPr="00ED3950">
        <w:rPr>
          <w:b/>
          <w:bCs/>
          <w:lang w:val="cs-CZ"/>
        </w:rPr>
        <w:t>Climate</w:t>
      </w:r>
      <w:proofErr w:type="spellEnd"/>
      <w:r w:rsidRPr="00ED3950">
        <w:rPr>
          <w:b/>
          <w:bCs/>
          <w:lang w:val="cs-CZ"/>
        </w:rPr>
        <w:t xml:space="preserve"> </w:t>
      </w:r>
      <w:proofErr w:type="spellStart"/>
      <w:r w:rsidRPr="00ED3950">
        <w:rPr>
          <w:b/>
          <w:bCs/>
          <w:lang w:val="cs-CZ"/>
        </w:rPr>
        <w:t>Fund</w:t>
      </w:r>
      <w:proofErr w:type="spellEnd"/>
      <w:r w:rsidRPr="00ED3950">
        <w:rPr>
          <w:lang w:val="cs-CZ"/>
        </w:rPr>
        <w:t xml:space="preserve">, </w:t>
      </w:r>
      <w:r w:rsidRPr="00ED3950">
        <w:rPr>
          <w:lang w:val="cs-CZ"/>
        </w:rPr>
        <w:t>která investuje do rozšiřování klimatických řešení s významným potenciálem snižování emisí</w:t>
      </w:r>
      <w:r w:rsidRPr="00ED3950">
        <w:rPr>
          <w:lang w:val="cs-CZ"/>
        </w:rPr>
        <w:t xml:space="preserve">. </w:t>
      </w:r>
      <w:r w:rsidRPr="00ED3950">
        <w:rPr>
          <w:lang w:val="cs-CZ"/>
        </w:rPr>
        <w:t>Fond se řídí sp</w:t>
      </w:r>
      <w:r w:rsidRPr="00ED3950">
        <w:rPr>
          <w:lang w:val="cs-CZ"/>
        </w:rPr>
        <w:t xml:space="preserve">ecifickým souborem </w:t>
      </w:r>
      <w:r w:rsidRPr="00ED3950">
        <w:rPr>
          <w:lang w:val="cs-CZ"/>
        </w:rPr>
        <w:t xml:space="preserve">tří </w:t>
      </w:r>
      <w:r w:rsidRPr="00ED3950">
        <w:rPr>
          <w:lang w:val="cs-CZ"/>
        </w:rPr>
        <w:t xml:space="preserve">předběžných podmínek pro investiční návrhy, </w:t>
      </w:r>
      <w:r w:rsidRPr="00ED3950">
        <w:rPr>
          <w:lang w:val="cs-CZ"/>
        </w:rPr>
        <w:t xml:space="preserve">přičemž jednou </w:t>
      </w:r>
      <w:r w:rsidRPr="00ED3950">
        <w:rPr>
          <w:lang w:val="cs-CZ"/>
        </w:rPr>
        <w:t xml:space="preserve">z </w:t>
      </w:r>
      <w:r w:rsidRPr="00ED3950">
        <w:rPr>
          <w:lang w:val="cs-CZ"/>
        </w:rPr>
        <w:t xml:space="preserve">nich </w:t>
      </w:r>
      <w:r w:rsidRPr="00ED3950">
        <w:rPr>
          <w:lang w:val="cs-CZ"/>
        </w:rPr>
        <w:t xml:space="preserve">je soulad se </w:t>
      </w:r>
      <w:r w:rsidRPr="00ED3950">
        <w:rPr>
          <w:lang w:val="cs-CZ"/>
        </w:rPr>
        <w:t xml:space="preserve">zásadou </w:t>
      </w:r>
      <w:r w:rsidRPr="00ED3950">
        <w:rPr>
          <w:lang w:val="cs-CZ"/>
        </w:rPr>
        <w:t>DNSH</w:t>
      </w:r>
      <w:r w:rsidRPr="00ED3950">
        <w:rPr>
          <w:lang w:val="cs-CZ"/>
        </w:rPr>
        <w:t xml:space="preserve">, přičemž jako výchozí bod pro posouzení se používají buď stávající posouzení DNSH, nebo akty v přenesené pravomoci EU. </w:t>
      </w:r>
      <w:r w:rsidRPr="00ED3950">
        <w:rPr>
          <w:lang w:val="cs-CZ"/>
        </w:rPr>
        <w:t xml:space="preserve">V Rakousku využívají </w:t>
      </w:r>
      <w:r w:rsidRPr="00ED3950">
        <w:rPr>
          <w:b/>
          <w:bCs/>
          <w:lang w:val="cs-CZ"/>
        </w:rPr>
        <w:t>z</w:t>
      </w:r>
      <w:r w:rsidRPr="00ED3950">
        <w:rPr>
          <w:b/>
          <w:bCs/>
          <w:lang w:val="cs-CZ"/>
        </w:rPr>
        <w:t xml:space="preserve">elené rozpočtování </w:t>
      </w:r>
      <w:r w:rsidRPr="00ED3950">
        <w:rPr>
          <w:lang w:val="cs-CZ"/>
        </w:rPr>
        <w:t xml:space="preserve">jako </w:t>
      </w:r>
      <w:r w:rsidRPr="00ED3950">
        <w:rPr>
          <w:lang w:val="cs-CZ"/>
        </w:rPr>
        <w:t xml:space="preserve">ucelenou metodiku pro identifikaci a investování do zelených aktivit. </w:t>
      </w:r>
      <w:r w:rsidRPr="00ED3950">
        <w:rPr>
          <w:lang w:val="cs-CZ"/>
        </w:rPr>
        <w:t xml:space="preserve">Plánuje se </w:t>
      </w:r>
      <w:r w:rsidRPr="00ED3950">
        <w:rPr>
          <w:lang w:val="cs-CZ"/>
        </w:rPr>
        <w:t>rozšíření tohoto přístupu na regionální rozpočtování a propojení zeleného rozpočtování se zásadou DNSH, protože koncepčně lze zelené rozpočtování použí</w:t>
      </w:r>
      <w:r w:rsidRPr="00ED3950">
        <w:rPr>
          <w:lang w:val="cs-CZ"/>
        </w:rPr>
        <w:t>t k odhadu souladu s DNSH.</w:t>
      </w:r>
    </w:p>
    <w:p w:rsidR="00820A53" w:rsidRPr="00ED3950" w:rsidRDefault="00820A53" w:rsidP="00820A53">
      <w:pPr>
        <w:rPr>
          <w:lang w:val="cs-CZ"/>
        </w:rPr>
      </w:pPr>
    </w:p>
    <w:p w:rsidR="005840C5" w:rsidRPr="00ED3950" w:rsidRDefault="00ED3950">
      <w:pPr>
        <w:rPr>
          <w:lang w:val="cs-CZ"/>
        </w:rPr>
      </w:pPr>
      <w:r w:rsidRPr="00ED3950">
        <w:rPr>
          <w:lang w:val="cs-CZ"/>
        </w:rPr>
        <w:t xml:space="preserve">Pokud jde o možnost replikace </w:t>
      </w:r>
      <w:r w:rsidRPr="00ED3950">
        <w:rPr>
          <w:lang w:val="cs-CZ"/>
        </w:rPr>
        <w:t xml:space="preserve">specializovaného procesu pro inovační investice (podle finského modelu) v </w:t>
      </w:r>
      <w:r w:rsidRPr="00ED3950">
        <w:rPr>
          <w:lang w:val="cs-CZ"/>
        </w:rPr>
        <w:t xml:space="preserve">České republice, </w:t>
      </w:r>
      <w:r w:rsidRPr="00ED3950">
        <w:rPr>
          <w:lang w:val="cs-CZ"/>
        </w:rPr>
        <w:t>je třeba provést řadu změn, které by umožnily replikaci této praxe. Ve srovnání s přístupem finského klimat</w:t>
      </w:r>
      <w:r w:rsidRPr="00ED3950">
        <w:rPr>
          <w:lang w:val="cs-CZ"/>
        </w:rPr>
        <w:t>ického fondu není zapojení českých tematických a sektorových expertů institucionalizováno; zdá se, že dochází k rozdělení rolí "do sil" napříč řídicími orgány. Možnost spoléhat se na experty je tak podmíněna jasnější institucionalizací, která by motivovala</w:t>
      </w:r>
      <w:r w:rsidRPr="00ED3950">
        <w:rPr>
          <w:lang w:val="cs-CZ"/>
        </w:rPr>
        <w:t xml:space="preserve"> ke koordinaci mezi orgány. </w:t>
      </w:r>
      <w:r w:rsidRPr="00ED3950">
        <w:rPr>
          <w:lang w:val="cs-CZ"/>
        </w:rPr>
        <w:t xml:space="preserve">Pokud jde o </w:t>
      </w:r>
      <w:proofErr w:type="spellStart"/>
      <w:r w:rsidRPr="00ED3950">
        <w:rPr>
          <w:lang w:val="cs-CZ"/>
        </w:rPr>
        <w:t>replikovatelnost</w:t>
      </w:r>
      <w:proofErr w:type="spellEnd"/>
      <w:r w:rsidRPr="00ED3950">
        <w:rPr>
          <w:lang w:val="cs-CZ"/>
        </w:rPr>
        <w:t xml:space="preserve"> </w:t>
      </w:r>
      <w:r w:rsidRPr="00ED3950">
        <w:rPr>
          <w:lang w:val="cs-CZ"/>
        </w:rPr>
        <w:t xml:space="preserve">zeleného rozpočtování (podle rakouského modelu), </w:t>
      </w:r>
      <w:r w:rsidRPr="00ED3950">
        <w:rPr>
          <w:lang w:val="cs-CZ"/>
        </w:rPr>
        <w:t xml:space="preserve">je v krátkodobém horizontu nepravděpodobná, ale lze o ní uvažovat ve střednědobém horizontu po </w:t>
      </w:r>
      <w:r w:rsidRPr="00ED3950">
        <w:rPr>
          <w:lang w:val="cs-CZ"/>
        </w:rPr>
        <w:t>plné institucionalizaci postupů a procesů DNSH napříč v</w:t>
      </w:r>
      <w:r w:rsidRPr="00ED3950">
        <w:rPr>
          <w:lang w:val="cs-CZ"/>
        </w:rPr>
        <w:t>šemi českými ministerstvy a řídicími orgány</w:t>
      </w:r>
      <w:r w:rsidRPr="00ED3950">
        <w:rPr>
          <w:lang w:val="cs-CZ"/>
        </w:rPr>
        <w:t xml:space="preserve">. </w:t>
      </w:r>
    </w:p>
    <w:p w:rsidR="006A2AFA" w:rsidRPr="00ED3950" w:rsidRDefault="006A2AFA" w:rsidP="006A2AFA">
      <w:pPr>
        <w:rPr>
          <w:highlight w:val="yellow"/>
          <w:lang w:val="cs-CZ"/>
        </w:rPr>
      </w:pPr>
      <w:r w:rsidRPr="00ED3950">
        <w:rPr>
          <w:highlight w:val="yellow"/>
          <w:lang w:val="cs-CZ"/>
        </w:rPr>
        <w:br w:type="page"/>
      </w:r>
    </w:p>
    <w:p w:rsidR="005840C5" w:rsidRPr="00ED3950" w:rsidRDefault="00ED3950">
      <w:pPr>
        <w:pStyle w:val="Nadpis1"/>
        <w:tabs>
          <w:tab w:val="clear" w:pos="851"/>
          <w:tab w:val="left" w:pos="567"/>
        </w:tabs>
        <w:ind w:left="567" w:hanging="567"/>
        <w:rPr>
          <w:lang w:val="cs-CZ"/>
        </w:rPr>
      </w:pPr>
      <w:bookmarkStart w:id="5" w:name="_Toc131775824"/>
      <w:r w:rsidRPr="00ED3950">
        <w:rPr>
          <w:lang w:val="cs-CZ"/>
        </w:rPr>
        <w:lastRenderedPageBreak/>
        <w:t>Úvod</w:t>
      </w:r>
      <w:bookmarkEnd w:id="5"/>
    </w:p>
    <w:p w:rsidR="005840C5" w:rsidRPr="00ED3950" w:rsidRDefault="00ED3950">
      <w:pPr>
        <w:pStyle w:val="Nadpis2"/>
        <w:rPr>
          <w:lang w:val="cs-CZ"/>
        </w:rPr>
      </w:pPr>
      <w:bookmarkStart w:id="6" w:name="_Toc131775825"/>
      <w:r w:rsidRPr="00ED3950">
        <w:rPr>
          <w:lang w:val="cs-CZ"/>
        </w:rPr>
        <w:t>Vývoj směrnic DNSH v České republice</w:t>
      </w:r>
      <w:bookmarkEnd w:id="6"/>
    </w:p>
    <w:p w:rsidR="005840C5" w:rsidRPr="00ED3950" w:rsidRDefault="00ED3950">
      <w:pPr>
        <w:rPr>
          <w:lang w:val="cs-CZ"/>
        </w:rPr>
      </w:pPr>
      <w:r w:rsidRPr="00ED3950">
        <w:rPr>
          <w:lang w:val="cs-CZ"/>
        </w:rPr>
        <w:t>Cílem Evropské zelené dohody je dosáhnout toho, aby Evropa byla do roku 2050 klimaticky neutrální. K dosažení tohoto cíle je pro Česko důležitá podpora z různých fondů a programů EU. Česko vyčlenilo 42 % prostředků z Fondu pro obnovu a zvýšení odolnosti (R</w:t>
      </w:r>
      <w:r w:rsidRPr="00ED3950">
        <w:rPr>
          <w:lang w:val="cs-CZ"/>
        </w:rPr>
        <w:t>RF) na podporu domácí zelené transformace. Při přípravě svého plánu obnovy a odolnosti v rámci RRF Česko potvrdilo, že dodržuje zásadu DNSH, která je definována v článku 17 nařízení o taxonomii. Tuto zásadu lze</w:t>
      </w:r>
      <w:r w:rsidR="00105851" w:rsidRPr="00ED3950">
        <w:rPr>
          <w:lang w:val="cs-CZ"/>
        </w:rPr>
        <w:t>,</w:t>
      </w:r>
      <w:r w:rsidRPr="00ED3950">
        <w:rPr>
          <w:lang w:val="cs-CZ"/>
        </w:rPr>
        <w:t xml:space="preserve"> i když v menší míře, uznat i v dalších zaved</w:t>
      </w:r>
      <w:r w:rsidRPr="00ED3950">
        <w:rPr>
          <w:lang w:val="cs-CZ"/>
        </w:rPr>
        <w:t xml:space="preserve">ených programech financovaných EU, jako jsou Just </w:t>
      </w:r>
      <w:proofErr w:type="spellStart"/>
      <w:r w:rsidRPr="00ED3950">
        <w:rPr>
          <w:lang w:val="cs-CZ"/>
        </w:rPr>
        <w:t>Transition</w:t>
      </w:r>
      <w:proofErr w:type="spellEnd"/>
      <w:r w:rsidRPr="00ED3950">
        <w:rPr>
          <w:lang w:val="cs-CZ"/>
        </w:rPr>
        <w:t xml:space="preserve">, </w:t>
      </w:r>
      <w:proofErr w:type="spellStart"/>
      <w:r w:rsidRPr="00ED3950">
        <w:rPr>
          <w:lang w:val="cs-CZ"/>
        </w:rPr>
        <w:t>InvestEU</w:t>
      </w:r>
      <w:proofErr w:type="spellEnd"/>
      <w:r w:rsidRPr="00ED3950">
        <w:rPr>
          <w:lang w:val="cs-CZ"/>
        </w:rPr>
        <w:t xml:space="preserve">, </w:t>
      </w:r>
      <w:proofErr w:type="spellStart"/>
      <w:r w:rsidRPr="00ED3950">
        <w:rPr>
          <w:lang w:val="cs-CZ"/>
        </w:rPr>
        <w:t>Horizon</w:t>
      </w:r>
      <w:proofErr w:type="spellEnd"/>
      <w:r w:rsidRPr="00ED3950">
        <w:rPr>
          <w:lang w:val="cs-CZ"/>
        </w:rPr>
        <w:t xml:space="preserve"> </w:t>
      </w:r>
      <w:proofErr w:type="spellStart"/>
      <w:r w:rsidRPr="00ED3950">
        <w:rPr>
          <w:lang w:val="cs-CZ"/>
        </w:rPr>
        <w:t>Europe</w:t>
      </w:r>
      <w:proofErr w:type="spellEnd"/>
      <w:r w:rsidR="00EB281F" w:rsidRPr="00ED3950">
        <w:rPr>
          <w:lang w:val="cs-CZ"/>
        </w:rPr>
        <w:t xml:space="preserve">, </w:t>
      </w:r>
      <w:r w:rsidR="00C17FA2" w:rsidRPr="00ED3950">
        <w:rPr>
          <w:lang w:val="cs-CZ"/>
        </w:rPr>
        <w:t xml:space="preserve">Fondy politiky </w:t>
      </w:r>
      <w:r w:rsidR="00EB281F" w:rsidRPr="00ED3950">
        <w:rPr>
          <w:lang w:val="cs-CZ"/>
        </w:rPr>
        <w:t>soudržnosti</w:t>
      </w:r>
      <w:r w:rsidR="00EC73C1" w:rsidRPr="00ED3950">
        <w:rPr>
          <w:lang w:val="cs-CZ"/>
        </w:rPr>
        <w:t xml:space="preserve">. </w:t>
      </w:r>
      <w:r w:rsidRPr="00ED3950">
        <w:rPr>
          <w:lang w:val="cs-CZ"/>
        </w:rPr>
        <w:t>Česko hodlá zvýšit své administrativní kapacity a znalosti o uplatňování zásady DNSH, aby zajistilo, že reformy a investice plánované v zemi</w:t>
      </w:r>
      <w:r w:rsidRPr="00ED3950">
        <w:rPr>
          <w:lang w:val="cs-CZ"/>
        </w:rPr>
        <w:t xml:space="preserve"> budou v souladu s cíli EU a národními cíli v oblasti klimatu a životního prostředí.</w:t>
      </w:r>
    </w:p>
    <w:p w:rsidR="003B51DD" w:rsidRPr="00ED3950" w:rsidRDefault="003B51DD" w:rsidP="00037384">
      <w:pPr>
        <w:rPr>
          <w:lang w:val="cs-CZ"/>
        </w:rPr>
      </w:pPr>
    </w:p>
    <w:p w:rsidR="005840C5" w:rsidRPr="00ED3950" w:rsidRDefault="00ED3950">
      <w:pPr>
        <w:rPr>
          <w:lang w:val="cs-CZ"/>
        </w:rPr>
      </w:pPr>
      <w:r w:rsidRPr="00ED3950">
        <w:rPr>
          <w:lang w:val="cs-CZ"/>
        </w:rPr>
        <w:t>"</w:t>
      </w:r>
      <w:r w:rsidRPr="00ED3950">
        <w:rPr>
          <w:i/>
          <w:lang w:val="cs-CZ"/>
        </w:rPr>
        <w:t xml:space="preserve">Metodika pro uplatňování </w:t>
      </w:r>
      <w:r w:rsidRPr="00ED3950">
        <w:rPr>
          <w:i/>
          <w:iCs/>
          <w:lang w:val="cs-CZ"/>
        </w:rPr>
        <w:t xml:space="preserve">zásady </w:t>
      </w:r>
      <w:r w:rsidRPr="00ED3950">
        <w:rPr>
          <w:i/>
          <w:lang w:val="cs-CZ"/>
        </w:rPr>
        <w:t>"Neškodit významně" (DNSH)</w:t>
      </w:r>
      <w:r w:rsidR="00771227" w:rsidRPr="00ED3950">
        <w:rPr>
          <w:lang w:val="cs-CZ"/>
        </w:rPr>
        <w:t xml:space="preserve">" </w:t>
      </w:r>
      <w:r w:rsidRPr="00ED3950">
        <w:rPr>
          <w:lang w:val="cs-CZ"/>
        </w:rPr>
        <w:t xml:space="preserve">je </w:t>
      </w:r>
      <w:r w:rsidR="00055E7C" w:rsidRPr="00ED3950">
        <w:rPr>
          <w:lang w:val="cs-CZ"/>
        </w:rPr>
        <w:t xml:space="preserve">projekt financovaný </w:t>
      </w:r>
      <w:r w:rsidR="007F33E4" w:rsidRPr="00ED3950">
        <w:rPr>
          <w:lang w:val="cs-CZ"/>
        </w:rPr>
        <w:t xml:space="preserve">Evropskou komisí </w:t>
      </w:r>
      <w:r w:rsidR="00F11808" w:rsidRPr="00ED3950">
        <w:rPr>
          <w:lang w:val="cs-CZ"/>
        </w:rPr>
        <w:t xml:space="preserve">prostřednictvím nástroje technické podpory </w:t>
      </w:r>
      <w:r w:rsidR="00771227" w:rsidRPr="00ED3950">
        <w:rPr>
          <w:lang w:val="cs-CZ"/>
        </w:rPr>
        <w:t xml:space="preserve">(TSI), </w:t>
      </w:r>
      <w:r w:rsidR="00732951" w:rsidRPr="00ED3950">
        <w:rPr>
          <w:lang w:val="cs-CZ"/>
        </w:rPr>
        <w:t xml:space="preserve">jehož </w:t>
      </w:r>
      <w:r w:rsidR="000054CE" w:rsidRPr="00ED3950">
        <w:rPr>
          <w:lang w:val="cs-CZ"/>
        </w:rPr>
        <w:t xml:space="preserve">příjemcem jsou </w:t>
      </w:r>
      <w:r w:rsidR="00732951" w:rsidRPr="00ED3950">
        <w:rPr>
          <w:lang w:val="cs-CZ"/>
        </w:rPr>
        <w:t>příslušné orgány České republiky</w:t>
      </w:r>
      <w:r w:rsidR="000054CE" w:rsidRPr="00ED3950">
        <w:rPr>
          <w:lang w:val="cs-CZ"/>
        </w:rPr>
        <w:t xml:space="preserve">. </w:t>
      </w:r>
    </w:p>
    <w:p w:rsidR="004D20CD" w:rsidRPr="00ED3950" w:rsidRDefault="004D20CD" w:rsidP="00037384">
      <w:pPr>
        <w:rPr>
          <w:lang w:val="cs-CZ"/>
        </w:rPr>
      </w:pPr>
    </w:p>
    <w:p w:rsidR="005840C5" w:rsidRPr="00ED3950" w:rsidRDefault="005C43BF">
      <w:pPr>
        <w:rPr>
          <w:lang w:val="cs-CZ"/>
        </w:rPr>
      </w:pPr>
      <w:r w:rsidRPr="00ED3950">
        <w:rPr>
          <w:lang w:val="cs-CZ"/>
        </w:rPr>
        <w:t xml:space="preserve">Tento </w:t>
      </w:r>
      <w:r w:rsidR="00ED3950" w:rsidRPr="00ED3950">
        <w:rPr>
          <w:lang w:val="cs-CZ"/>
        </w:rPr>
        <w:t xml:space="preserve">projekt TSI </w:t>
      </w:r>
      <w:r w:rsidR="003F18BC" w:rsidRPr="00ED3950">
        <w:rPr>
          <w:lang w:val="cs-CZ"/>
        </w:rPr>
        <w:t>poskytuje zejména následující podporu:</w:t>
      </w:r>
    </w:p>
    <w:p w:rsidR="005840C5" w:rsidRPr="00ED3950" w:rsidRDefault="00ED3950">
      <w:pPr>
        <w:pStyle w:val="Bulletpoint"/>
        <w:ind w:left="851" w:hanging="284"/>
        <w:rPr>
          <w:lang w:val="cs-CZ"/>
        </w:rPr>
      </w:pPr>
      <w:r w:rsidRPr="00ED3950">
        <w:rPr>
          <w:lang w:val="cs-CZ"/>
        </w:rPr>
        <w:t xml:space="preserve">Identifikace a pochopení existujících mechanismů a pokynů pro uplatňování </w:t>
      </w:r>
      <w:r w:rsidR="00EC73C1" w:rsidRPr="00ED3950">
        <w:rPr>
          <w:lang w:val="cs-CZ"/>
        </w:rPr>
        <w:t xml:space="preserve">principu </w:t>
      </w:r>
      <w:r w:rsidRPr="00ED3950">
        <w:rPr>
          <w:lang w:val="cs-CZ"/>
        </w:rPr>
        <w:t xml:space="preserve">DNSH </w:t>
      </w:r>
      <w:r w:rsidR="00EC73C1" w:rsidRPr="00ED3950">
        <w:rPr>
          <w:lang w:val="cs-CZ"/>
        </w:rPr>
        <w:t xml:space="preserve">v </w:t>
      </w:r>
      <w:r w:rsidRPr="00ED3950">
        <w:rPr>
          <w:lang w:val="cs-CZ"/>
        </w:rPr>
        <w:t>českém kontextu i v jiných členských státech EU.</w:t>
      </w:r>
    </w:p>
    <w:p w:rsidR="005840C5" w:rsidRPr="00ED3950" w:rsidRDefault="00ED3950">
      <w:pPr>
        <w:pStyle w:val="Bulletpoint"/>
        <w:ind w:left="851" w:hanging="284"/>
        <w:rPr>
          <w:lang w:val="cs-CZ"/>
        </w:rPr>
      </w:pPr>
      <w:r w:rsidRPr="00ED3950">
        <w:rPr>
          <w:lang w:val="cs-CZ"/>
        </w:rPr>
        <w:t xml:space="preserve">Vytvoření pokynů DNSH </w:t>
      </w:r>
      <w:r w:rsidRPr="00ED3950">
        <w:rPr>
          <w:lang w:val="cs-CZ"/>
        </w:rPr>
        <w:t>pro české orgány poskytující financování a příjemce financování a poskytování materiálů pro budování kapacit a komunikaci o vnitrostátních pokynech českým orgánům, které poskytují financování.</w:t>
      </w:r>
    </w:p>
    <w:p w:rsidR="005840C5" w:rsidRPr="00ED3950" w:rsidRDefault="00ED3950">
      <w:pPr>
        <w:pStyle w:val="Bulletpoint"/>
        <w:ind w:left="851" w:hanging="284"/>
        <w:rPr>
          <w:lang w:val="cs-CZ"/>
        </w:rPr>
      </w:pPr>
      <w:r w:rsidRPr="00ED3950">
        <w:rPr>
          <w:lang w:val="cs-CZ"/>
        </w:rPr>
        <w:t>Poskytování doprovodné podpory při provádění vnitrostátních pok</w:t>
      </w:r>
      <w:r w:rsidRPr="00ED3950">
        <w:rPr>
          <w:lang w:val="cs-CZ"/>
        </w:rPr>
        <w:t xml:space="preserve">ynů DNSH, včetně pořádání </w:t>
      </w:r>
      <w:r w:rsidR="00DF12A2" w:rsidRPr="00ED3950">
        <w:rPr>
          <w:lang w:val="cs-CZ"/>
        </w:rPr>
        <w:t xml:space="preserve">internetových seminářů </w:t>
      </w:r>
      <w:r w:rsidRPr="00ED3950">
        <w:rPr>
          <w:lang w:val="cs-CZ"/>
        </w:rPr>
        <w:t xml:space="preserve">za účelem zvyšování povědomí a sdílení zkušeností na vnitrostátní úrovni a na úrovni EU. </w:t>
      </w:r>
    </w:p>
    <w:p w:rsidR="006D1046" w:rsidRPr="00ED3950" w:rsidRDefault="006D1046" w:rsidP="00037384">
      <w:pPr>
        <w:rPr>
          <w:lang w:val="cs-CZ"/>
        </w:rPr>
      </w:pPr>
    </w:p>
    <w:p w:rsidR="005840C5" w:rsidRPr="00ED3950" w:rsidRDefault="00ED3950">
      <w:pPr>
        <w:rPr>
          <w:lang w:val="cs-CZ"/>
        </w:rPr>
      </w:pPr>
      <w:r w:rsidRPr="00ED3950">
        <w:rPr>
          <w:lang w:val="cs-CZ"/>
        </w:rPr>
        <w:t xml:space="preserve">Jak již bylo uvedeno výše, </w:t>
      </w:r>
      <w:r w:rsidR="00E03B4E" w:rsidRPr="00ED3950">
        <w:rPr>
          <w:lang w:val="cs-CZ"/>
        </w:rPr>
        <w:t xml:space="preserve">projekt přispívá k implementaci Zelené dohody, a </w:t>
      </w:r>
      <w:r w:rsidR="00E21BE4" w:rsidRPr="00ED3950">
        <w:rPr>
          <w:lang w:val="cs-CZ"/>
        </w:rPr>
        <w:t xml:space="preserve">proto </w:t>
      </w:r>
      <w:r w:rsidR="003F2F13" w:rsidRPr="00ED3950">
        <w:rPr>
          <w:lang w:val="cs-CZ"/>
        </w:rPr>
        <w:t xml:space="preserve">by výsledky projektu měly být </w:t>
      </w:r>
      <w:r w:rsidR="00470494" w:rsidRPr="00ED3950">
        <w:rPr>
          <w:lang w:val="cs-CZ"/>
        </w:rPr>
        <w:t xml:space="preserve">dvojího druhu: </w:t>
      </w:r>
      <w:r w:rsidR="001C31D6" w:rsidRPr="00ED3950">
        <w:rPr>
          <w:lang w:val="cs-CZ"/>
        </w:rPr>
        <w:t xml:space="preserve">poskytnout </w:t>
      </w:r>
      <w:r w:rsidR="00470494" w:rsidRPr="00ED3950">
        <w:rPr>
          <w:lang w:val="cs-CZ"/>
        </w:rPr>
        <w:t xml:space="preserve">českým </w:t>
      </w:r>
      <w:r w:rsidR="001C31D6" w:rsidRPr="00ED3950">
        <w:rPr>
          <w:lang w:val="cs-CZ"/>
        </w:rPr>
        <w:t xml:space="preserve">orgánům praktické a použitelné výsledky a </w:t>
      </w:r>
      <w:r w:rsidR="00D44882" w:rsidRPr="00ED3950">
        <w:rPr>
          <w:lang w:val="cs-CZ"/>
        </w:rPr>
        <w:t xml:space="preserve">prokázat přidanou hodnotu sdílení zkušeností </w:t>
      </w:r>
      <w:r w:rsidR="00105851" w:rsidRPr="00ED3950">
        <w:rPr>
          <w:lang w:val="cs-CZ"/>
        </w:rPr>
        <w:t xml:space="preserve">mezi členskými státy EU a </w:t>
      </w:r>
      <w:r w:rsidR="006449E4" w:rsidRPr="00ED3950">
        <w:rPr>
          <w:lang w:val="cs-CZ"/>
        </w:rPr>
        <w:t xml:space="preserve">Evropskou komisí. Dopad </w:t>
      </w:r>
      <w:r w:rsidR="00EC73C1" w:rsidRPr="00ED3950">
        <w:rPr>
          <w:lang w:val="cs-CZ"/>
        </w:rPr>
        <w:t xml:space="preserve">a </w:t>
      </w:r>
      <w:r w:rsidR="006449E4" w:rsidRPr="00ED3950">
        <w:rPr>
          <w:lang w:val="cs-CZ"/>
        </w:rPr>
        <w:t>cíle tohoto projektu jsou chápány následovně:</w:t>
      </w:r>
    </w:p>
    <w:p w:rsidR="005840C5" w:rsidRPr="00ED3950" w:rsidRDefault="00ED3950">
      <w:pPr>
        <w:pStyle w:val="Odstavecseseznamem"/>
        <w:ind w:left="851" w:hanging="284"/>
        <w:rPr>
          <w:lang w:val="cs-CZ"/>
        </w:rPr>
      </w:pPr>
      <w:r w:rsidRPr="00ED3950">
        <w:rPr>
          <w:lang w:val="cs-CZ"/>
        </w:rPr>
        <w:t xml:space="preserve">Posílení schopnosti </w:t>
      </w:r>
      <w:r w:rsidR="006449E4" w:rsidRPr="00ED3950">
        <w:rPr>
          <w:lang w:val="cs-CZ"/>
        </w:rPr>
        <w:t xml:space="preserve">českých orgánů </w:t>
      </w:r>
      <w:r w:rsidRPr="00ED3950">
        <w:rPr>
          <w:lang w:val="cs-CZ"/>
        </w:rPr>
        <w:t>zač</w:t>
      </w:r>
      <w:r w:rsidRPr="00ED3950">
        <w:rPr>
          <w:lang w:val="cs-CZ"/>
        </w:rPr>
        <w:t xml:space="preserve">lenit uplatňování zásady DNSH a pokynů pro </w:t>
      </w:r>
      <w:r w:rsidR="00EB6E74" w:rsidRPr="00ED3950">
        <w:rPr>
          <w:lang w:val="cs-CZ"/>
        </w:rPr>
        <w:t xml:space="preserve">ochranu klimatu do </w:t>
      </w:r>
      <w:r w:rsidRPr="00ED3950">
        <w:rPr>
          <w:lang w:val="cs-CZ"/>
        </w:rPr>
        <w:t>veřejných investic; a</w:t>
      </w:r>
    </w:p>
    <w:p w:rsidR="005840C5" w:rsidRPr="00ED3950" w:rsidRDefault="00ED3950">
      <w:pPr>
        <w:pStyle w:val="Odstavecseseznamem"/>
        <w:ind w:left="851" w:hanging="284"/>
        <w:rPr>
          <w:lang w:val="cs-CZ"/>
        </w:rPr>
      </w:pPr>
      <w:r w:rsidRPr="00ED3950">
        <w:rPr>
          <w:lang w:val="cs-CZ"/>
        </w:rPr>
        <w:t xml:space="preserve">Schopnost přijímajících orgánů začlenit princip DNSH a uplatňování ochrany </w:t>
      </w:r>
      <w:r w:rsidR="00303FA4" w:rsidRPr="00ED3950">
        <w:rPr>
          <w:lang w:val="cs-CZ"/>
        </w:rPr>
        <w:t>proti</w:t>
      </w:r>
      <w:r w:rsidRPr="00ED3950">
        <w:rPr>
          <w:lang w:val="cs-CZ"/>
        </w:rPr>
        <w:t xml:space="preserve"> klimatickým změnám jako součást svých standardních postupů. Za tímto účelem </w:t>
      </w:r>
      <w:r w:rsidR="001F18D0" w:rsidRPr="00ED3950">
        <w:rPr>
          <w:lang w:val="cs-CZ"/>
        </w:rPr>
        <w:t xml:space="preserve">projekt vypracovává jasný soubor pokynů a nástrojů, aby usnadnil jejich používání </w:t>
      </w:r>
      <w:r w:rsidR="00303FA4" w:rsidRPr="00ED3950">
        <w:rPr>
          <w:lang w:val="cs-CZ"/>
        </w:rPr>
        <w:t xml:space="preserve">příslušnými zúčastněnými stranami </w:t>
      </w:r>
      <w:r w:rsidR="001F18D0" w:rsidRPr="00ED3950">
        <w:rPr>
          <w:lang w:val="cs-CZ"/>
        </w:rPr>
        <w:t xml:space="preserve">(jak příslušnými orgány, tak soukromými zúčastněnými stranami), </w:t>
      </w:r>
      <w:r w:rsidR="00303FA4" w:rsidRPr="00ED3950">
        <w:rPr>
          <w:lang w:val="cs-CZ"/>
        </w:rPr>
        <w:t xml:space="preserve">včetně případných školení těchto zúčastněných stran.  </w:t>
      </w:r>
    </w:p>
    <w:p w:rsidR="00110F76" w:rsidRPr="00ED3950" w:rsidRDefault="00110F76" w:rsidP="00037384">
      <w:pPr>
        <w:rPr>
          <w:highlight w:val="yellow"/>
          <w:lang w:val="cs-CZ"/>
        </w:rPr>
      </w:pPr>
    </w:p>
    <w:p w:rsidR="005840C5" w:rsidRPr="00ED3950" w:rsidRDefault="00ED3950">
      <w:pPr>
        <w:rPr>
          <w:lang w:val="cs-CZ"/>
        </w:rPr>
      </w:pPr>
      <w:r w:rsidRPr="00ED3950">
        <w:rPr>
          <w:lang w:val="cs-CZ"/>
        </w:rPr>
        <w:t xml:space="preserve">Celkově lze říci, že </w:t>
      </w:r>
      <w:r w:rsidR="00EC73C1" w:rsidRPr="00ED3950">
        <w:rPr>
          <w:lang w:val="cs-CZ"/>
        </w:rPr>
        <w:t xml:space="preserve">díky </w:t>
      </w:r>
      <w:r w:rsidRPr="00ED3950">
        <w:rPr>
          <w:lang w:val="cs-CZ"/>
        </w:rPr>
        <w:t>tomuto pr</w:t>
      </w:r>
      <w:r w:rsidRPr="00ED3950">
        <w:rPr>
          <w:lang w:val="cs-CZ"/>
        </w:rPr>
        <w:t xml:space="preserve">ojektu </w:t>
      </w:r>
      <w:r w:rsidR="006B1F87" w:rsidRPr="00ED3950">
        <w:rPr>
          <w:lang w:val="cs-CZ"/>
        </w:rPr>
        <w:t xml:space="preserve">budou mít české orgány dobrou představu o tom, jak jsou v současné době veřejné prostředky směřovány na pomoc při dosahování cílů v oblasti klimatu a energetiky. Budou mít možnost rychle a spolehlivě přijímat rozhodnutí o financování, která urychlí zelený přechod a nepoškodí životní prostředí. </w:t>
      </w:r>
      <w:r w:rsidR="00AE4494" w:rsidRPr="00ED3950">
        <w:rPr>
          <w:lang w:val="cs-CZ"/>
        </w:rPr>
        <w:t xml:space="preserve"> </w:t>
      </w:r>
    </w:p>
    <w:p w:rsidR="00EA353A" w:rsidRPr="00ED3950" w:rsidRDefault="008A0799" w:rsidP="00110F76">
      <w:pPr>
        <w:ind w:left="0"/>
        <w:rPr>
          <w:lang w:val="cs-CZ"/>
        </w:rPr>
      </w:pPr>
      <w:r w:rsidRPr="00ED3950">
        <w:rPr>
          <w:lang w:val="cs-CZ"/>
        </w:rPr>
        <w:br w:type="page"/>
      </w:r>
    </w:p>
    <w:p w:rsidR="005840C5" w:rsidRPr="00ED3950" w:rsidRDefault="00ED3950">
      <w:pPr>
        <w:pStyle w:val="Nadpis2"/>
        <w:rPr>
          <w:lang w:val="cs-CZ"/>
        </w:rPr>
      </w:pPr>
      <w:bookmarkStart w:id="7" w:name="_Toc131775826"/>
      <w:r w:rsidRPr="00ED3950">
        <w:rPr>
          <w:lang w:val="cs-CZ"/>
        </w:rPr>
        <w:lastRenderedPageBreak/>
        <w:t xml:space="preserve">Cíle a struktura </w:t>
      </w:r>
      <w:r w:rsidR="00C54B61" w:rsidRPr="00ED3950">
        <w:rPr>
          <w:lang w:val="cs-CZ"/>
        </w:rPr>
        <w:t xml:space="preserve">této </w:t>
      </w:r>
      <w:r w:rsidRPr="00ED3950">
        <w:rPr>
          <w:lang w:val="cs-CZ"/>
        </w:rPr>
        <w:t>zprávy</w:t>
      </w:r>
      <w:bookmarkEnd w:id="7"/>
    </w:p>
    <w:p w:rsidR="005840C5" w:rsidRPr="00ED3950" w:rsidRDefault="00ED3950">
      <w:pPr>
        <w:rPr>
          <w:lang w:val="cs-CZ"/>
        </w:rPr>
      </w:pPr>
      <w:r w:rsidRPr="00ED3950">
        <w:rPr>
          <w:lang w:val="cs-CZ"/>
        </w:rPr>
        <w:t xml:space="preserve">Cílem </w:t>
      </w:r>
      <w:r w:rsidR="00E35128" w:rsidRPr="00ED3950">
        <w:rPr>
          <w:lang w:val="cs-CZ"/>
        </w:rPr>
        <w:t xml:space="preserve">vzájemného učení </w:t>
      </w:r>
      <w:r w:rsidR="004C47FE" w:rsidRPr="00ED3950">
        <w:rPr>
          <w:lang w:val="cs-CZ"/>
        </w:rPr>
        <w:t xml:space="preserve">je identifikovat </w:t>
      </w:r>
      <w:r w:rsidRPr="00ED3950">
        <w:rPr>
          <w:lang w:val="cs-CZ"/>
        </w:rPr>
        <w:t xml:space="preserve">získané zkušenosti a </w:t>
      </w:r>
      <w:r w:rsidR="00EC73C1" w:rsidRPr="00ED3950">
        <w:rPr>
          <w:lang w:val="cs-CZ"/>
        </w:rPr>
        <w:t xml:space="preserve">sdílet poznatky o </w:t>
      </w:r>
      <w:r w:rsidR="005E2E01" w:rsidRPr="00ED3950">
        <w:rPr>
          <w:lang w:val="cs-CZ"/>
        </w:rPr>
        <w:t xml:space="preserve">stávajících postupech </w:t>
      </w:r>
      <w:r w:rsidR="00060334" w:rsidRPr="00ED3950">
        <w:rPr>
          <w:lang w:val="cs-CZ"/>
        </w:rPr>
        <w:t xml:space="preserve">srovnatelných </w:t>
      </w:r>
      <w:r w:rsidR="002E5EA6" w:rsidRPr="00ED3950">
        <w:rPr>
          <w:lang w:val="cs-CZ"/>
        </w:rPr>
        <w:t xml:space="preserve">členských států </w:t>
      </w:r>
      <w:r w:rsidR="00060334" w:rsidRPr="00ED3950">
        <w:rPr>
          <w:lang w:val="cs-CZ"/>
        </w:rPr>
        <w:t xml:space="preserve">EU </w:t>
      </w:r>
      <w:r w:rsidR="002E5EA6" w:rsidRPr="00ED3950">
        <w:rPr>
          <w:lang w:val="cs-CZ"/>
        </w:rPr>
        <w:t xml:space="preserve">se </w:t>
      </w:r>
      <w:r w:rsidR="00017DE5" w:rsidRPr="00ED3950">
        <w:rPr>
          <w:lang w:val="cs-CZ"/>
        </w:rPr>
        <w:t xml:space="preserve">zaměřením na ty, které </w:t>
      </w:r>
      <w:r w:rsidR="002E5EA6" w:rsidRPr="00ED3950">
        <w:rPr>
          <w:lang w:val="cs-CZ"/>
        </w:rPr>
        <w:t xml:space="preserve">jsou relevantní pro český kontext. Hlavním cílem tohoto výstupu je </w:t>
      </w:r>
      <w:r w:rsidR="00017DE5" w:rsidRPr="00ED3950">
        <w:rPr>
          <w:lang w:val="cs-CZ"/>
        </w:rPr>
        <w:t xml:space="preserve">však </w:t>
      </w:r>
      <w:r w:rsidR="00F44426" w:rsidRPr="00ED3950">
        <w:rPr>
          <w:lang w:val="cs-CZ"/>
        </w:rPr>
        <w:t xml:space="preserve">shromáždit </w:t>
      </w:r>
      <w:r w:rsidR="00BD2F0B" w:rsidRPr="00ED3950">
        <w:rPr>
          <w:lang w:val="cs-CZ"/>
        </w:rPr>
        <w:t xml:space="preserve">získané poznatky a stávající (osvědčené) postupy použitelné pro všechny členské státy. </w:t>
      </w:r>
    </w:p>
    <w:p w:rsidR="00312DDF" w:rsidRPr="00ED3950" w:rsidRDefault="00312DDF" w:rsidP="009E2DA5">
      <w:pPr>
        <w:rPr>
          <w:lang w:val="cs-CZ"/>
        </w:rPr>
      </w:pPr>
    </w:p>
    <w:p w:rsidR="005840C5" w:rsidRPr="00ED3950" w:rsidRDefault="00ED3950">
      <w:pPr>
        <w:rPr>
          <w:lang w:val="cs-CZ"/>
        </w:rPr>
      </w:pPr>
      <w:r w:rsidRPr="00ED3950">
        <w:rPr>
          <w:lang w:val="cs-CZ"/>
        </w:rPr>
        <w:t xml:space="preserve">Tato </w:t>
      </w:r>
      <w:r w:rsidR="00256054" w:rsidRPr="00ED3950">
        <w:rPr>
          <w:lang w:val="cs-CZ"/>
        </w:rPr>
        <w:t xml:space="preserve">zpráva </w:t>
      </w:r>
      <w:r w:rsidR="002037CF" w:rsidRPr="00ED3950">
        <w:rPr>
          <w:lang w:val="cs-CZ"/>
        </w:rPr>
        <w:t xml:space="preserve">se má </w:t>
      </w:r>
      <w:r w:rsidR="00B90625" w:rsidRPr="00ED3950">
        <w:rPr>
          <w:lang w:val="cs-CZ"/>
        </w:rPr>
        <w:t xml:space="preserve">rovněž </w:t>
      </w:r>
      <w:r w:rsidR="002037CF" w:rsidRPr="00ED3950">
        <w:rPr>
          <w:lang w:val="cs-CZ"/>
        </w:rPr>
        <w:t>stát referenčním dokumentem pro širší komunitu DNSH v rámci EU a očekává se, že ji bude možné sdílet i po skončení tohoto projektu. Má následující strukturu</w:t>
      </w:r>
      <w:r w:rsidR="00EC73C1" w:rsidRPr="00ED3950">
        <w:rPr>
          <w:lang w:val="cs-CZ"/>
        </w:rPr>
        <w:t>.</w:t>
      </w:r>
    </w:p>
    <w:p w:rsidR="005840C5" w:rsidRPr="00ED3950" w:rsidRDefault="00ED3950">
      <w:pPr>
        <w:pStyle w:val="Odstavecseseznamem"/>
        <w:numPr>
          <w:ilvl w:val="0"/>
          <w:numId w:val="11"/>
        </w:numPr>
        <w:ind w:left="851" w:hanging="284"/>
        <w:rPr>
          <w:lang w:val="cs-CZ"/>
        </w:rPr>
      </w:pPr>
      <w:r w:rsidRPr="00ED3950">
        <w:rPr>
          <w:b/>
          <w:bCs/>
          <w:lang w:val="cs-CZ"/>
        </w:rPr>
        <w:t>Shrnutí</w:t>
      </w:r>
      <w:r w:rsidRPr="00ED3950">
        <w:rPr>
          <w:lang w:val="cs-CZ"/>
        </w:rPr>
        <w:t>;</w:t>
      </w:r>
    </w:p>
    <w:p w:rsidR="005840C5" w:rsidRPr="00ED3950" w:rsidRDefault="00ED3950">
      <w:pPr>
        <w:pStyle w:val="Odstavecseseznamem"/>
        <w:numPr>
          <w:ilvl w:val="0"/>
          <w:numId w:val="11"/>
        </w:numPr>
        <w:ind w:left="851" w:hanging="284"/>
        <w:rPr>
          <w:lang w:val="cs-CZ"/>
        </w:rPr>
      </w:pPr>
      <w:r w:rsidRPr="00ED3950">
        <w:rPr>
          <w:b/>
          <w:bCs/>
          <w:lang w:val="cs-CZ"/>
        </w:rPr>
        <w:t xml:space="preserve">Úvod </w:t>
      </w:r>
      <w:r w:rsidR="00CE0B46" w:rsidRPr="00ED3950">
        <w:rPr>
          <w:lang w:val="cs-CZ"/>
        </w:rPr>
        <w:t xml:space="preserve">- </w:t>
      </w:r>
      <w:r w:rsidRPr="00ED3950">
        <w:rPr>
          <w:b/>
          <w:bCs/>
          <w:lang w:val="cs-CZ"/>
        </w:rPr>
        <w:t xml:space="preserve">úvodní </w:t>
      </w:r>
      <w:r w:rsidRPr="00ED3950">
        <w:rPr>
          <w:lang w:val="cs-CZ"/>
        </w:rPr>
        <w:t>kapitola, která uvádí na scénu a do kontextu celého projektu i tohoto výstupu;</w:t>
      </w:r>
    </w:p>
    <w:p w:rsidR="005840C5" w:rsidRPr="00ED3950" w:rsidRDefault="00ED3950">
      <w:pPr>
        <w:pStyle w:val="Odstavecseseznamem"/>
        <w:numPr>
          <w:ilvl w:val="0"/>
          <w:numId w:val="11"/>
        </w:numPr>
        <w:ind w:left="851" w:hanging="284"/>
        <w:rPr>
          <w:lang w:val="cs-CZ"/>
        </w:rPr>
      </w:pPr>
      <w:r w:rsidRPr="00ED3950">
        <w:rPr>
          <w:b/>
          <w:bCs/>
          <w:lang w:val="cs-CZ"/>
        </w:rPr>
        <w:t xml:space="preserve">Identifikace </w:t>
      </w:r>
      <w:r w:rsidR="00CE0B46" w:rsidRPr="00ED3950">
        <w:rPr>
          <w:b/>
          <w:bCs/>
          <w:lang w:val="cs-CZ"/>
        </w:rPr>
        <w:t xml:space="preserve">osvědčených postupů a získaných zkušeností </w:t>
      </w:r>
      <w:r w:rsidR="00CE0B46" w:rsidRPr="00ED3950">
        <w:rPr>
          <w:lang w:val="cs-CZ"/>
        </w:rPr>
        <w:t xml:space="preserve">- </w:t>
      </w:r>
      <w:r w:rsidR="00EC73C1" w:rsidRPr="00ED3950">
        <w:rPr>
          <w:lang w:val="cs-CZ"/>
        </w:rPr>
        <w:t xml:space="preserve">tento oddíl </w:t>
      </w:r>
      <w:r w:rsidR="00CE0B46" w:rsidRPr="00ED3950">
        <w:rPr>
          <w:lang w:val="cs-CZ"/>
        </w:rPr>
        <w:t xml:space="preserve">poskytuje přehled procesu přezkumu a výběru až </w:t>
      </w:r>
      <w:r w:rsidR="00EC73C1" w:rsidRPr="00ED3950">
        <w:rPr>
          <w:lang w:val="cs-CZ"/>
        </w:rPr>
        <w:t xml:space="preserve">pěti </w:t>
      </w:r>
      <w:r w:rsidR="00CE0B46" w:rsidRPr="00ED3950">
        <w:rPr>
          <w:lang w:val="cs-CZ"/>
        </w:rPr>
        <w:t xml:space="preserve">dalších členských států EU z hlediska jejich osvědčených postupů (a příkladů) a získaných zkušeností </w:t>
      </w:r>
      <w:r w:rsidR="00EC73C1" w:rsidRPr="00ED3950">
        <w:rPr>
          <w:lang w:val="cs-CZ"/>
        </w:rPr>
        <w:t xml:space="preserve">s </w:t>
      </w:r>
      <w:r w:rsidR="00CE0B46" w:rsidRPr="00ED3950">
        <w:rPr>
          <w:lang w:val="cs-CZ"/>
        </w:rPr>
        <w:t>uplatňováním zásady DNSH v rámci RRF i mimo něj</w:t>
      </w:r>
      <w:r w:rsidR="003513B4" w:rsidRPr="00ED3950">
        <w:rPr>
          <w:lang w:val="cs-CZ"/>
        </w:rPr>
        <w:t>;</w:t>
      </w:r>
    </w:p>
    <w:p w:rsidR="005840C5" w:rsidRPr="00ED3950" w:rsidRDefault="00ED3950">
      <w:pPr>
        <w:pStyle w:val="Odstavecseseznamem"/>
        <w:numPr>
          <w:ilvl w:val="0"/>
          <w:numId w:val="11"/>
        </w:numPr>
        <w:ind w:left="851" w:hanging="284"/>
        <w:rPr>
          <w:lang w:val="cs-CZ"/>
        </w:rPr>
      </w:pPr>
      <w:r w:rsidRPr="00ED3950">
        <w:rPr>
          <w:b/>
          <w:bCs/>
          <w:lang w:val="cs-CZ"/>
        </w:rPr>
        <w:t xml:space="preserve">Analýza osvědčených postupů a získaných zkušeností </w:t>
      </w:r>
      <w:r w:rsidR="00A47676" w:rsidRPr="00ED3950">
        <w:rPr>
          <w:lang w:val="cs-CZ"/>
        </w:rPr>
        <w:t xml:space="preserve">- </w:t>
      </w:r>
      <w:r w:rsidR="00EC73C1" w:rsidRPr="00ED3950">
        <w:rPr>
          <w:lang w:val="cs-CZ"/>
        </w:rPr>
        <w:t xml:space="preserve">tato část </w:t>
      </w:r>
      <w:r w:rsidR="00A47676" w:rsidRPr="00ED3950">
        <w:rPr>
          <w:lang w:val="cs-CZ"/>
        </w:rPr>
        <w:t>poskytuje přehled výzev souvisejících s uplatňováním zásady DNSH z hlediska správy, podrobného a zjednodušeného hodnocení a výzkumu a vývoje a ekologických technologií;</w:t>
      </w:r>
    </w:p>
    <w:p w:rsidR="005840C5" w:rsidRPr="00ED3950" w:rsidRDefault="00ED3950">
      <w:pPr>
        <w:pStyle w:val="Odstavecseseznamem"/>
        <w:numPr>
          <w:ilvl w:val="0"/>
          <w:numId w:val="11"/>
        </w:numPr>
        <w:ind w:left="851" w:hanging="284"/>
        <w:rPr>
          <w:lang w:val="cs-CZ"/>
        </w:rPr>
      </w:pPr>
      <w:proofErr w:type="spellStart"/>
      <w:r w:rsidRPr="00ED3950">
        <w:rPr>
          <w:b/>
          <w:bCs/>
          <w:lang w:val="cs-CZ"/>
        </w:rPr>
        <w:t>Webináře</w:t>
      </w:r>
      <w:proofErr w:type="spellEnd"/>
      <w:r w:rsidRPr="00ED3950">
        <w:rPr>
          <w:b/>
          <w:bCs/>
          <w:lang w:val="cs-CZ"/>
        </w:rPr>
        <w:t xml:space="preserve"> pro vzájemnou výměnu zkušeností </w:t>
      </w:r>
      <w:r w:rsidR="00A47676" w:rsidRPr="00ED3950">
        <w:rPr>
          <w:b/>
          <w:bCs/>
          <w:lang w:val="cs-CZ"/>
        </w:rPr>
        <w:t xml:space="preserve">- </w:t>
      </w:r>
      <w:r w:rsidR="00EC73C1" w:rsidRPr="00ED3950">
        <w:rPr>
          <w:lang w:val="cs-CZ"/>
        </w:rPr>
        <w:t xml:space="preserve">v této části jsou uvedeny </w:t>
      </w:r>
      <w:r w:rsidR="00A47676" w:rsidRPr="00ED3950">
        <w:rPr>
          <w:lang w:val="cs-CZ"/>
        </w:rPr>
        <w:t xml:space="preserve">úvahy o procesu pořádání </w:t>
      </w:r>
      <w:proofErr w:type="spellStart"/>
      <w:r w:rsidR="00A47676" w:rsidRPr="00ED3950">
        <w:rPr>
          <w:lang w:val="cs-CZ"/>
        </w:rPr>
        <w:t>webinářů</w:t>
      </w:r>
      <w:proofErr w:type="spellEnd"/>
      <w:r w:rsidR="00A47676" w:rsidRPr="00ED3950">
        <w:rPr>
          <w:lang w:val="cs-CZ"/>
        </w:rPr>
        <w:t xml:space="preserve"> a </w:t>
      </w:r>
      <w:r w:rsidR="00EC73C1" w:rsidRPr="00ED3950">
        <w:rPr>
          <w:lang w:val="cs-CZ"/>
        </w:rPr>
        <w:t xml:space="preserve">hodnocení </w:t>
      </w:r>
      <w:r w:rsidR="00195337" w:rsidRPr="00ED3950">
        <w:rPr>
          <w:lang w:val="cs-CZ"/>
        </w:rPr>
        <w:t xml:space="preserve">jejich </w:t>
      </w:r>
      <w:r w:rsidR="00A47676" w:rsidRPr="00ED3950">
        <w:rPr>
          <w:lang w:val="cs-CZ"/>
        </w:rPr>
        <w:t>výsledků</w:t>
      </w:r>
      <w:r w:rsidR="009D7800" w:rsidRPr="00ED3950">
        <w:rPr>
          <w:lang w:val="cs-CZ"/>
        </w:rPr>
        <w:t xml:space="preserve">. Ukazuje také, </w:t>
      </w:r>
      <w:r w:rsidR="00A47676" w:rsidRPr="00ED3950">
        <w:rPr>
          <w:lang w:val="cs-CZ"/>
        </w:rPr>
        <w:t xml:space="preserve">jak mohou/budou </w:t>
      </w:r>
      <w:proofErr w:type="spellStart"/>
      <w:r w:rsidR="00A47676" w:rsidRPr="00ED3950">
        <w:rPr>
          <w:lang w:val="cs-CZ"/>
        </w:rPr>
        <w:t>webináře</w:t>
      </w:r>
      <w:proofErr w:type="spellEnd"/>
      <w:r w:rsidR="00A47676" w:rsidRPr="00ED3950">
        <w:rPr>
          <w:lang w:val="cs-CZ"/>
        </w:rPr>
        <w:t xml:space="preserve"> vzájemného učení sloužit jako podklad pro další výsledky</w:t>
      </w:r>
      <w:r w:rsidRPr="00ED3950">
        <w:rPr>
          <w:lang w:val="cs-CZ"/>
        </w:rPr>
        <w:t>; a</w:t>
      </w:r>
    </w:p>
    <w:p w:rsidR="005840C5" w:rsidRPr="00ED3950" w:rsidRDefault="00ED3950">
      <w:pPr>
        <w:pStyle w:val="Odstavecseseznamem"/>
        <w:numPr>
          <w:ilvl w:val="0"/>
          <w:numId w:val="11"/>
        </w:numPr>
        <w:ind w:left="851" w:hanging="284"/>
        <w:rPr>
          <w:lang w:val="cs-CZ"/>
        </w:rPr>
      </w:pPr>
      <w:r w:rsidRPr="00ED3950">
        <w:rPr>
          <w:b/>
          <w:bCs/>
          <w:lang w:val="cs-CZ"/>
        </w:rPr>
        <w:t>Příloha</w:t>
      </w:r>
      <w:r w:rsidR="00A47676" w:rsidRPr="00ED3950">
        <w:rPr>
          <w:lang w:val="cs-CZ"/>
        </w:rPr>
        <w:t xml:space="preserve">, </w:t>
      </w:r>
      <w:r w:rsidR="00990838" w:rsidRPr="00ED3950">
        <w:rPr>
          <w:lang w:val="cs-CZ"/>
        </w:rPr>
        <w:t xml:space="preserve">včetně </w:t>
      </w:r>
      <w:r w:rsidR="00A47676" w:rsidRPr="00ED3950">
        <w:rPr>
          <w:lang w:val="cs-CZ"/>
        </w:rPr>
        <w:t xml:space="preserve">podpůrných materiálů, které byly účastníkům předány před každým </w:t>
      </w:r>
      <w:proofErr w:type="spellStart"/>
      <w:r w:rsidR="00A47676" w:rsidRPr="00ED3950">
        <w:rPr>
          <w:lang w:val="cs-CZ"/>
        </w:rPr>
        <w:t>webinářem</w:t>
      </w:r>
      <w:proofErr w:type="spellEnd"/>
      <w:r w:rsidR="00990838" w:rsidRPr="00ED3950">
        <w:rPr>
          <w:lang w:val="cs-CZ"/>
        </w:rPr>
        <w:t>.</w:t>
      </w:r>
    </w:p>
    <w:p w:rsidR="00256054" w:rsidRPr="00ED3950" w:rsidRDefault="00256054" w:rsidP="00256054">
      <w:pPr>
        <w:rPr>
          <w:lang w:val="cs-CZ"/>
        </w:rPr>
      </w:pPr>
    </w:p>
    <w:p w:rsidR="005840C5" w:rsidRPr="00ED3950" w:rsidRDefault="00ED3950">
      <w:pPr>
        <w:rPr>
          <w:lang w:val="cs-CZ"/>
        </w:rPr>
      </w:pPr>
      <w:r w:rsidRPr="00ED3950">
        <w:rPr>
          <w:lang w:val="cs-CZ"/>
        </w:rPr>
        <w:t xml:space="preserve">Závěry </w:t>
      </w:r>
      <w:r w:rsidR="00650388" w:rsidRPr="00ED3950">
        <w:rPr>
          <w:lang w:val="cs-CZ"/>
        </w:rPr>
        <w:t xml:space="preserve">této </w:t>
      </w:r>
      <w:r w:rsidR="002858BA" w:rsidRPr="00ED3950">
        <w:rPr>
          <w:lang w:val="cs-CZ"/>
        </w:rPr>
        <w:t xml:space="preserve">zprávy o </w:t>
      </w:r>
      <w:r w:rsidR="00AD31B3" w:rsidRPr="00ED3950">
        <w:rPr>
          <w:lang w:val="cs-CZ"/>
        </w:rPr>
        <w:t xml:space="preserve">vzájemném učení </w:t>
      </w:r>
      <w:r w:rsidR="00AB08CA" w:rsidRPr="00ED3950">
        <w:rPr>
          <w:lang w:val="cs-CZ"/>
        </w:rPr>
        <w:t xml:space="preserve">(DVL 3) </w:t>
      </w:r>
      <w:r w:rsidR="002858BA" w:rsidRPr="00ED3950">
        <w:rPr>
          <w:lang w:val="cs-CZ"/>
        </w:rPr>
        <w:t xml:space="preserve">budou využity v </w:t>
      </w:r>
      <w:r w:rsidR="00EC73C1" w:rsidRPr="00ED3950">
        <w:rPr>
          <w:lang w:val="cs-CZ"/>
        </w:rPr>
        <w:t xml:space="preserve">nadcházejících </w:t>
      </w:r>
      <w:r w:rsidR="00BA0413" w:rsidRPr="00ED3950">
        <w:rPr>
          <w:lang w:val="cs-CZ"/>
        </w:rPr>
        <w:t>výstupech</w:t>
      </w:r>
      <w:r w:rsidR="00230F99" w:rsidRPr="00ED3950">
        <w:rPr>
          <w:lang w:val="cs-CZ"/>
        </w:rPr>
        <w:t xml:space="preserve">. Nejdůležitějším výstupem, který bude vycházet ze </w:t>
      </w:r>
      <w:r w:rsidR="00CA4DD4" w:rsidRPr="00ED3950">
        <w:rPr>
          <w:lang w:val="cs-CZ"/>
        </w:rPr>
        <w:t xml:space="preserve">závěrů této zprávy, </w:t>
      </w:r>
      <w:r w:rsidR="00FD3036" w:rsidRPr="00ED3950">
        <w:rPr>
          <w:lang w:val="cs-CZ"/>
        </w:rPr>
        <w:t xml:space="preserve">bude </w:t>
      </w:r>
      <w:r w:rsidR="00576FA2" w:rsidRPr="00ED3950">
        <w:rPr>
          <w:lang w:val="cs-CZ"/>
        </w:rPr>
        <w:t xml:space="preserve">vypracování </w:t>
      </w:r>
      <w:r w:rsidR="006637C3" w:rsidRPr="00ED3950">
        <w:rPr>
          <w:lang w:val="cs-CZ"/>
        </w:rPr>
        <w:t xml:space="preserve">aktuálních národních pokynů DNSH pro Česko </w:t>
      </w:r>
      <w:r w:rsidR="00576FA2" w:rsidRPr="00ED3950">
        <w:rPr>
          <w:lang w:val="cs-CZ"/>
        </w:rPr>
        <w:t>(DVL5)</w:t>
      </w:r>
      <w:r w:rsidR="00EC73C1" w:rsidRPr="00ED3950">
        <w:rPr>
          <w:lang w:val="cs-CZ"/>
        </w:rPr>
        <w:t xml:space="preserve">: </w:t>
      </w:r>
      <w:r w:rsidR="000F07B1" w:rsidRPr="00ED3950">
        <w:rPr>
          <w:lang w:val="cs-CZ"/>
        </w:rPr>
        <w:t xml:space="preserve">zastřešujících metodických pokynů k uplatňování principu DNSH </w:t>
      </w:r>
      <w:r w:rsidR="006A10A4" w:rsidRPr="00ED3950">
        <w:rPr>
          <w:lang w:val="cs-CZ"/>
        </w:rPr>
        <w:t xml:space="preserve">jak </w:t>
      </w:r>
      <w:r w:rsidR="000F07B1" w:rsidRPr="00ED3950">
        <w:rPr>
          <w:lang w:val="cs-CZ"/>
        </w:rPr>
        <w:t xml:space="preserve">pro orgány řídící veřejné investice, tak pro realizátory projektů/příjemce dotací. </w:t>
      </w:r>
      <w:r w:rsidR="001420E6" w:rsidRPr="00ED3950">
        <w:rPr>
          <w:lang w:val="cs-CZ"/>
        </w:rPr>
        <w:t xml:space="preserve">Je však třeba upozornit, že tato zpráva </w:t>
      </w:r>
      <w:r w:rsidR="00224368" w:rsidRPr="00ED3950">
        <w:rPr>
          <w:lang w:val="cs-CZ"/>
        </w:rPr>
        <w:t xml:space="preserve">reflektuje pouze aktuální situaci v době jejího vydání (únor 2023), zatímco </w:t>
      </w:r>
      <w:r w:rsidR="00EC73C1" w:rsidRPr="00ED3950">
        <w:rPr>
          <w:lang w:val="cs-CZ"/>
        </w:rPr>
        <w:t xml:space="preserve">uplatňování a implementace principu </w:t>
      </w:r>
      <w:r w:rsidR="00224368" w:rsidRPr="00ED3950">
        <w:rPr>
          <w:lang w:val="cs-CZ"/>
        </w:rPr>
        <w:t xml:space="preserve">DNSH </w:t>
      </w:r>
      <w:r w:rsidR="00A04646" w:rsidRPr="00ED3950">
        <w:rPr>
          <w:lang w:val="cs-CZ"/>
        </w:rPr>
        <w:t xml:space="preserve">je </w:t>
      </w:r>
      <w:r w:rsidR="00082A81" w:rsidRPr="00ED3950">
        <w:rPr>
          <w:lang w:val="cs-CZ"/>
        </w:rPr>
        <w:t xml:space="preserve">záležitostí trvalou a vyvíjející se. </w:t>
      </w:r>
    </w:p>
    <w:p w:rsidR="0039352F" w:rsidRPr="00ED3950" w:rsidRDefault="0039352F" w:rsidP="006A2AFA">
      <w:pPr>
        <w:rPr>
          <w:lang w:val="cs-CZ"/>
        </w:rPr>
      </w:pPr>
    </w:p>
    <w:p w:rsidR="006A2AFA" w:rsidRPr="00ED3950" w:rsidRDefault="006A2AFA" w:rsidP="006A2AFA">
      <w:pPr>
        <w:rPr>
          <w:lang w:val="cs-CZ"/>
        </w:rPr>
      </w:pPr>
      <w:r w:rsidRPr="00ED3950">
        <w:rPr>
          <w:lang w:val="cs-CZ"/>
        </w:rPr>
        <w:br w:type="page"/>
      </w:r>
    </w:p>
    <w:p w:rsidR="005840C5" w:rsidRPr="00ED3950" w:rsidRDefault="00ED3950">
      <w:pPr>
        <w:pStyle w:val="Nadpis1"/>
        <w:tabs>
          <w:tab w:val="clear" w:pos="851"/>
          <w:tab w:val="left" w:pos="567"/>
        </w:tabs>
        <w:ind w:left="567" w:hanging="567"/>
        <w:rPr>
          <w:lang w:val="cs-CZ"/>
        </w:rPr>
      </w:pPr>
      <w:bookmarkStart w:id="8" w:name="_Toc131775827"/>
      <w:r w:rsidRPr="00ED3950">
        <w:rPr>
          <w:lang w:val="cs-CZ"/>
        </w:rPr>
        <w:lastRenderedPageBreak/>
        <w:t xml:space="preserve">Identifikace </w:t>
      </w:r>
      <w:r w:rsidR="008F0A11" w:rsidRPr="00ED3950">
        <w:rPr>
          <w:lang w:val="cs-CZ"/>
        </w:rPr>
        <w:t xml:space="preserve">osvědčených postupů </w:t>
      </w:r>
      <w:r w:rsidR="00347C25" w:rsidRPr="00ED3950">
        <w:rPr>
          <w:lang w:val="cs-CZ"/>
        </w:rPr>
        <w:t>a získaných zkušeností</w:t>
      </w:r>
      <w:bookmarkEnd w:id="8"/>
    </w:p>
    <w:p w:rsidR="005840C5" w:rsidRPr="00ED3950" w:rsidRDefault="00ED3950">
      <w:pPr>
        <w:rPr>
          <w:lang w:val="cs-CZ"/>
        </w:rPr>
      </w:pPr>
      <w:r w:rsidRPr="00ED3950">
        <w:rPr>
          <w:lang w:val="cs-CZ"/>
        </w:rPr>
        <w:t xml:space="preserve">Tato kapitola </w:t>
      </w:r>
      <w:r w:rsidR="00E86E5E" w:rsidRPr="00ED3950">
        <w:rPr>
          <w:lang w:val="cs-CZ"/>
        </w:rPr>
        <w:t xml:space="preserve">poskytuje přehled </w:t>
      </w:r>
      <w:r w:rsidR="00363273" w:rsidRPr="00ED3950">
        <w:rPr>
          <w:lang w:val="cs-CZ"/>
        </w:rPr>
        <w:t xml:space="preserve">procesu </w:t>
      </w:r>
      <w:r w:rsidR="005C5550" w:rsidRPr="00ED3950">
        <w:rPr>
          <w:lang w:val="cs-CZ"/>
        </w:rPr>
        <w:t xml:space="preserve">přezkumu a </w:t>
      </w:r>
      <w:r w:rsidR="00363273" w:rsidRPr="00ED3950">
        <w:rPr>
          <w:lang w:val="cs-CZ"/>
        </w:rPr>
        <w:t xml:space="preserve">výběru </w:t>
      </w:r>
      <w:r w:rsidR="004506A8" w:rsidRPr="00ED3950">
        <w:rPr>
          <w:lang w:val="cs-CZ"/>
        </w:rPr>
        <w:t xml:space="preserve">až </w:t>
      </w:r>
      <w:r w:rsidR="008A6BD8" w:rsidRPr="00ED3950">
        <w:rPr>
          <w:lang w:val="cs-CZ"/>
        </w:rPr>
        <w:t>pěti (</w:t>
      </w:r>
      <w:r w:rsidR="004506A8" w:rsidRPr="00ED3950">
        <w:rPr>
          <w:lang w:val="cs-CZ"/>
        </w:rPr>
        <w:t xml:space="preserve">5) </w:t>
      </w:r>
      <w:r w:rsidR="008A6BD8" w:rsidRPr="00ED3950">
        <w:rPr>
          <w:lang w:val="cs-CZ"/>
        </w:rPr>
        <w:t xml:space="preserve">srovnatelných </w:t>
      </w:r>
      <w:r w:rsidR="004506A8" w:rsidRPr="00ED3950">
        <w:rPr>
          <w:lang w:val="cs-CZ"/>
        </w:rPr>
        <w:t xml:space="preserve">členských států EU </w:t>
      </w:r>
      <w:r w:rsidR="00671164" w:rsidRPr="00ED3950">
        <w:rPr>
          <w:lang w:val="cs-CZ"/>
        </w:rPr>
        <w:t xml:space="preserve">s </w:t>
      </w:r>
      <w:r w:rsidR="005C5550" w:rsidRPr="00ED3950">
        <w:rPr>
          <w:lang w:val="cs-CZ"/>
        </w:rPr>
        <w:t>osvědčenými postupy</w:t>
      </w:r>
      <w:r w:rsidR="008A6BD8" w:rsidRPr="00ED3950">
        <w:rPr>
          <w:lang w:val="cs-CZ"/>
        </w:rPr>
        <w:t xml:space="preserve">, </w:t>
      </w:r>
      <w:r w:rsidR="005C5550" w:rsidRPr="00ED3950">
        <w:rPr>
          <w:lang w:val="cs-CZ"/>
        </w:rPr>
        <w:t xml:space="preserve">příklady a zkušenostmi týkajícími </w:t>
      </w:r>
      <w:r w:rsidR="00EC73C1" w:rsidRPr="00ED3950">
        <w:rPr>
          <w:lang w:val="cs-CZ"/>
        </w:rPr>
        <w:t xml:space="preserve">se </w:t>
      </w:r>
      <w:r w:rsidR="00B311D6" w:rsidRPr="00ED3950">
        <w:rPr>
          <w:lang w:val="cs-CZ"/>
        </w:rPr>
        <w:t>uplatňování zásady DNSH v rámci RRF</w:t>
      </w:r>
      <w:r w:rsidR="00152CDF" w:rsidRPr="00ED3950">
        <w:rPr>
          <w:lang w:val="cs-CZ"/>
        </w:rPr>
        <w:t xml:space="preserve">, fondů politiky soudržnosti (CPF) </w:t>
      </w:r>
      <w:r w:rsidR="00B311D6" w:rsidRPr="00ED3950">
        <w:rPr>
          <w:lang w:val="cs-CZ"/>
        </w:rPr>
        <w:t>a dalších</w:t>
      </w:r>
      <w:r w:rsidR="000D2BC5" w:rsidRPr="00ED3950">
        <w:rPr>
          <w:lang w:val="cs-CZ"/>
        </w:rPr>
        <w:t xml:space="preserve">. </w:t>
      </w:r>
      <w:proofErr w:type="spellStart"/>
      <w:r w:rsidR="00FC1E69" w:rsidRPr="00ED3950">
        <w:rPr>
          <w:lang w:val="cs-CZ"/>
        </w:rPr>
        <w:t>Webináře</w:t>
      </w:r>
      <w:proofErr w:type="spellEnd"/>
      <w:r w:rsidR="00FC1E69" w:rsidRPr="00ED3950">
        <w:rPr>
          <w:lang w:val="cs-CZ"/>
        </w:rPr>
        <w:t xml:space="preserve"> pro výměnu zkušeností v rámci vzájemného učení </w:t>
      </w:r>
      <w:r w:rsidR="000D2BC5" w:rsidRPr="00ED3950">
        <w:rPr>
          <w:lang w:val="cs-CZ"/>
        </w:rPr>
        <w:t xml:space="preserve">byly specificky přizpůsobeny </w:t>
      </w:r>
      <w:r w:rsidR="00C540D2" w:rsidRPr="00ED3950">
        <w:rPr>
          <w:lang w:val="cs-CZ"/>
        </w:rPr>
        <w:t xml:space="preserve">potřebám </w:t>
      </w:r>
      <w:r w:rsidR="000D7176" w:rsidRPr="00ED3950">
        <w:rPr>
          <w:lang w:val="cs-CZ"/>
        </w:rPr>
        <w:t xml:space="preserve">českých orgánů, </w:t>
      </w:r>
      <w:r w:rsidR="003100E2" w:rsidRPr="00ED3950">
        <w:rPr>
          <w:lang w:val="cs-CZ"/>
        </w:rPr>
        <w:t>které byly součástí výběrového řízení</w:t>
      </w:r>
      <w:r w:rsidR="00B311D6" w:rsidRPr="00ED3950">
        <w:rPr>
          <w:lang w:val="cs-CZ"/>
        </w:rPr>
        <w:t xml:space="preserve">. </w:t>
      </w:r>
      <w:r w:rsidR="00461743" w:rsidRPr="00ED3950">
        <w:rPr>
          <w:lang w:val="cs-CZ"/>
        </w:rPr>
        <w:t xml:space="preserve">V kapitole bude zejména stručně popsán přístup projektového týmu k </w:t>
      </w:r>
      <w:r w:rsidR="002537C9" w:rsidRPr="00ED3950">
        <w:rPr>
          <w:lang w:val="cs-CZ"/>
        </w:rPr>
        <w:t xml:space="preserve">horizontálnímu průzkumu relevantních postupů DNSH v rámci EU </w:t>
      </w:r>
      <w:r w:rsidR="00EC73C1" w:rsidRPr="00ED3950">
        <w:rPr>
          <w:lang w:val="cs-CZ"/>
        </w:rPr>
        <w:t xml:space="preserve">a </w:t>
      </w:r>
      <w:r w:rsidR="009119E9" w:rsidRPr="00ED3950">
        <w:rPr>
          <w:lang w:val="cs-CZ"/>
        </w:rPr>
        <w:t xml:space="preserve">způsob, jakým byla výběrová matice upravena </w:t>
      </w:r>
      <w:r w:rsidR="001C309A" w:rsidRPr="00ED3950">
        <w:rPr>
          <w:lang w:val="cs-CZ"/>
        </w:rPr>
        <w:t xml:space="preserve">a aktualizována </w:t>
      </w:r>
      <w:r w:rsidR="009119E9" w:rsidRPr="00ED3950">
        <w:rPr>
          <w:lang w:val="cs-CZ"/>
        </w:rPr>
        <w:t xml:space="preserve">oproti úvodní zprávě (DLV1) </w:t>
      </w:r>
      <w:r w:rsidR="001C309A" w:rsidRPr="00ED3950">
        <w:rPr>
          <w:lang w:val="cs-CZ"/>
        </w:rPr>
        <w:t>pro vlastní proces výběru partnerských členských států EU</w:t>
      </w:r>
      <w:r w:rsidR="00B311D6" w:rsidRPr="00ED3950">
        <w:rPr>
          <w:lang w:val="cs-CZ"/>
        </w:rPr>
        <w:t>.</w:t>
      </w:r>
    </w:p>
    <w:p w:rsidR="00B311D6" w:rsidRPr="00ED3950" w:rsidRDefault="00B311D6" w:rsidP="00162245">
      <w:pPr>
        <w:rPr>
          <w:lang w:val="cs-CZ"/>
        </w:rPr>
      </w:pPr>
    </w:p>
    <w:p w:rsidR="005840C5" w:rsidRPr="00ED3950" w:rsidRDefault="00ED3950">
      <w:pPr>
        <w:pStyle w:val="Nadpis2"/>
        <w:rPr>
          <w:lang w:val="cs-CZ"/>
        </w:rPr>
      </w:pPr>
      <w:bookmarkStart w:id="9" w:name="_Toc131775828"/>
      <w:r w:rsidRPr="00ED3950">
        <w:rPr>
          <w:lang w:val="cs-CZ"/>
        </w:rPr>
        <w:t>Přístup</w:t>
      </w:r>
      <w:bookmarkEnd w:id="9"/>
    </w:p>
    <w:p w:rsidR="005840C5" w:rsidRPr="00ED3950" w:rsidRDefault="007F2C07">
      <w:pPr>
        <w:pStyle w:val="Nadpis4"/>
        <w:rPr>
          <w:lang w:val="cs-CZ"/>
        </w:rPr>
      </w:pPr>
      <w:r w:rsidRPr="00ED3950">
        <w:rPr>
          <w:lang w:val="cs-CZ"/>
        </w:rPr>
        <w:t xml:space="preserve">Přístup ke shromažďování </w:t>
      </w:r>
      <w:r w:rsidR="001B459F" w:rsidRPr="00ED3950">
        <w:rPr>
          <w:lang w:val="cs-CZ"/>
        </w:rPr>
        <w:t xml:space="preserve">poznatků o </w:t>
      </w:r>
      <w:r w:rsidR="000471C3" w:rsidRPr="00ED3950">
        <w:rPr>
          <w:lang w:val="cs-CZ"/>
        </w:rPr>
        <w:t>osvědčených postupech a získaných zkušenostech</w:t>
      </w:r>
    </w:p>
    <w:p w:rsidR="005840C5" w:rsidRPr="00ED3950" w:rsidRDefault="00ED3950">
      <w:pPr>
        <w:rPr>
          <w:lang w:val="cs-CZ"/>
        </w:rPr>
      </w:pPr>
      <w:r w:rsidRPr="00ED3950">
        <w:rPr>
          <w:lang w:val="cs-CZ"/>
        </w:rPr>
        <w:t xml:space="preserve">S cílem informovat o </w:t>
      </w:r>
      <w:r w:rsidR="00FC651A" w:rsidRPr="00ED3950">
        <w:rPr>
          <w:lang w:val="cs-CZ"/>
        </w:rPr>
        <w:t xml:space="preserve">procesu </w:t>
      </w:r>
      <w:r w:rsidRPr="00ED3950">
        <w:rPr>
          <w:lang w:val="cs-CZ"/>
        </w:rPr>
        <w:t xml:space="preserve">identifikace </w:t>
      </w:r>
      <w:r w:rsidR="00FC651A" w:rsidRPr="00ED3950">
        <w:rPr>
          <w:lang w:val="cs-CZ"/>
        </w:rPr>
        <w:t xml:space="preserve">relevantních osvědčených postupů, </w:t>
      </w:r>
      <w:r w:rsidR="00694BC9" w:rsidRPr="00ED3950">
        <w:rPr>
          <w:lang w:val="cs-CZ"/>
        </w:rPr>
        <w:t xml:space="preserve">příkladů a zkušeností získaných při uplatňování zásady DNSH v ostatních členských státech </w:t>
      </w:r>
      <w:r w:rsidR="00896B44" w:rsidRPr="00ED3950">
        <w:rPr>
          <w:lang w:val="cs-CZ"/>
        </w:rPr>
        <w:t>provedl</w:t>
      </w:r>
      <w:r w:rsidR="00694BC9" w:rsidRPr="00ED3950">
        <w:rPr>
          <w:lang w:val="cs-CZ"/>
        </w:rPr>
        <w:t xml:space="preserve"> projektový tým </w:t>
      </w:r>
      <w:r w:rsidR="00726FBB" w:rsidRPr="00ED3950">
        <w:rPr>
          <w:lang w:val="cs-CZ"/>
        </w:rPr>
        <w:t xml:space="preserve">následující </w:t>
      </w:r>
      <w:r w:rsidR="00847A98" w:rsidRPr="00ED3950">
        <w:rPr>
          <w:lang w:val="cs-CZ"/>
        </w:rPr>
        <w:t xml:space="preserve">přezkumné činnosti </w:t>
      </w:r>
      <w:r w:rsidR="00BF03D4" w:rsidRPr="00ED3950">
        <w:rPr>
          <w:lang w:val="cs-CZ"/>
        </w:rPr>
        <w:t>a kroky</w:t>
      </w:r>
      <w:r w:rsidR="00EC73C1" w:rsidRPr="00ED3950">
        <w:rPr>
          <w:lang w:val="cs-CZ"/>
        </w:rPr>
        <w:t>.</w:t>
      </w:r>
    </w:p>
    <w:p w:rsidR="005840C5" w:rsidRPr="00ED3950" w:rsidRDefault="00ED3950">
      <w:pPr>
        <w:pStyle w:val="Odstavecseseznamem"/>
        <w:ind w:left="851" w:hanging="284"/>
        <w:rPr>
          <w:lang w:val="cs-CZ"/>
        </w:rPr>
      </w:pPr>
      <w:r w:rsidRPr="00ED3950">
        <w:rPr>
          <w:b/>
          <w:bCs/>
          <w:color w:val="005962"/>
          <w:lang w:val="cs-CZ"/>
        </w:rPr>
        <w:t xml:space="preserve">[Krok 1] </w:t>
      </w:r>
      <w:proofErr w:type="spellStart"/>
      <w:r w:rsidR="008B2D04" w:rsidRPr="00ED3950">
        <w:rPr>
          <w:b/>
          <w:bCs/>
          <w:color w:val="005962"/>
          <w:lang w:val="cs-CZ"/>
        </w:rPr>
        <w:t>Desk</w:t>
      </w:r>
      <w:proofErr w:type="spellEnd"/>
      <w:r w:rsidR="008B2D04" w:rsidRPr="00ED3950">
        <w:rPr>
          <w:b/>
          <w:bCs/>
          <w:color w:val="005962"/>
          <w:lang w:val="cs-CZ"/>
        </w:rPr>
        <w:t xml:space="preserve"> </w:t>
      </w:r>
      <w:proofErr w:type="spellStart"/>
      <w:r w:rsidR="008B2D04" w:rsidRPr="00ED3950">
        <w:rPr>
          <w:b/>
          <w:bCs/>
          <w:color w:val="005962"/>
          <w:lang w:val="cs-CZ"/>
        </w:rPr>
        <w:t>review</w:t>
      </w:r>
      <w:proofErr w:type="spellEnd"/>
      <w:r w:rsidR="00352E71" w:rsidRPr="00ED3950">
        <w:rPr>
          <w:b/>
          <w:bCs/>
          <w:color w:val="005962"/>
          <w:lang w:val="cs-CZ"/>
        </w:rPr>
        <w:t xml:space="preserve">: </w:t>
      </w:r>
      <w:r w:rsidR="00F60B98" w:rsidRPr="00ED3950">
        <w:rPr>
          <w:lang w:val="cs-CZ"/>
        </w:rPr>
        <w:t xml:space="preserve">projektový tým provedl </w:t>
      </w:r>
      <w:r w:rsidR="006314FB" w:rsidRPr="00ED3950">
        <w:rPr>
          <w:b/>
          <w:lang w:val="cs-CZ"/>
        </w:rPr>
        <w:t xml:space="preserve">horizontální analýzu </w:t>
      </w:r>
      <w:r w:rsidR="00F60B98" w:rsidRPr="00ED3950">
        <w:rPr>
          <w:lang w:val="cs-CZ"/>
        </w:rPr>
        <w:t xml:space="preserve">relevantních </w:t>
      </w:r>
      <w:r w:rsidR="00EA6CA7" w:rsidRPr="00ED3950">
        <w:rPr>
          <w:lang w:val="cs-CZ"/>
        </w:rPr>
        <w:t xml:space="preserve">stávajících </w:t>
      </w:r>
      <w:r w:rsidR="00B909D3" w:rsidRPr="00ED3950">
        <w:rPr>
          <w:lang w:val="cs-CZ"/>
        </w:rPr>
        <w:t xml:space="preserve">dokumentů </w:t>
      </w:r>
      <w:r w:rsidR="00EA6CA7" w:rsidRPr="00ED3950">
        <w:rPr>
          <w:lang w:val="cs-CZ"/>
        </w:rPr>
        <w:t xml:space="preserve">a pokynů EU týkajících </w:t>
      </w:r>
      <w:r w:rsidR="00504B45" w:rsidRPr="00ED3950">
        <w:rPr>
          <w:lang w:val="cs-CZ"/>
        </w:rPr>
        <w:t xml:space="preserve">se </w:t>
      </w:r>
      <w:r w:rsidR="00EA6CA7" w:rsidRPr="00ED3950">
        <w:rPr>
          <w:lang w:val="cs-CZ"/>
        </w:rPr>
        <w:t xml:space="preserve">provádění </w:t>
      </w:r>
      <w:r w:rsidR="00CF11B0" w:rsidRPr="00ED3950">
        <w:rPr>
          <w:lang w:val="cs-CZ"/>
        </w:rPr>
        <w:t>DNSH (jako jsou "</w:t>
      </w:r>
      <w:r w:rsidR="00CF11B0" w:rsidRPr="00ED3950">
        <w:rPr>
          <w:i/>
          <w:iCs/>
          <w:lang w:val="cs-CZ"/>
        </w:rPr>
        <w:t xml:space="preserve">Technické pokyny k uplatňování zásady DNSH podle </w:t>
      </w:r>
      <w:r w:rsidR="00D50B84" w:rsidRPr="00ED3950">
        <w:rPr>
          <w:i/>
          <w:iCs/>
          <w:lang w:val="cs-CZ"/>
        </w:rPr>
        <w:t>nařízení o</w:t>
      </w:r>
      <w:r w:rsidR="00CF11B0" w:rsidRPr="00ED3950">
        <w:rPr>
          <w:i/>
          <w:iCs/>
          <w:lang w:val="cs-CZ"/>
        </w:rPr>
        <w:t xml:space="preserve"> RRF</w:t>
      </w:r>
      <w:r w:rsidR="00440048" w:rsidRPr="00ED3950">
        <w:rPr>
          <w:lang w:val="cs-CZ"/>
        </w:rPr>
        <w:t>"</w:t>
      </w:r>
      <w:r w:rsidR="00FA6D7B" w:rsidRPr="00ED3950">
        <w:rPr>
          <w:vertAlign w:val="superscript"/>
          <w:lang w:val="cs-CZ"/>
        </w:rPr>
        <w:footnoteReference w:id="2"/>
      </w:r>
      <w:r w:rsidR="00440048" w:rsidRPr="00ED3950">
        <w:rPr>
          <w:lang w:val="cs-CZ"/>
        </w:rPr>
        <w:t xml:space="preserve"> )</w:t>
      </w:r>
      <w:r w:rsidR="00847A98" w:rsidRPr="00ED3950">
        <w:rPr>
          <w:color w:val="005962"/>
          <w:lang w:val="cs-CZ"/>
        </w:rPr>
        <w:t xml:space="preserve">, aby </w:t>
      </w:r>
      <w:r w:rsidR="0061557E" w:rsidRPr="00ED3950">
        <w:rPr>
          <w:lang w:val="cs-CZ"/>
        </w:rPr>
        <w:t xml:space="preserve">vytvořil seznam </w:t>
      </w:r>
      <w:r w:rsidR="00BF553B" w:rsidRPr="00ED3950">
        <w:rPr>
          <w:lang w:val="cs-CZ"/>
        </w:rPr>
        <w:t xml:space="preserve">hlavních zásad a </w:t>
      </w:r>
      <w:r w:rsidR="000D3A35" w:rsidRPr="00ED3950">
        <w:rPr>
          <w:lang w:val="cs-CZ"/>
        </w:rPr>
        <w:t>"</w:t>
      </w:r>
      <w:r w:rsidR="00EE1CB8" w:rsidRPr="00ED3950">
        <w:rPr>
          <w:lang w:val="cs-CZ"/>
        </w:rPr>
        <w:t xml:space="preserve">potenciálních" </w:t>
      </w:r>
      <w:r w:rsidR="000D3A35" w:rsidRPr="00ED3950">
        <w:rPr>
          <w:lang w:val="cs-CZ"/>
        </w:rPr>
        <w:t xml:space="preserve">problémů, které </w:t>
      </w:r>
      <w:r w:rsidR="00547797" w:rsidRPr="00ED3950">
        <w:rPr>
          <w:lang w:val="cs-CZ"/>
        </w:rPr>
        <w:t xml:space="preserve">již </w:t>
      </w:r>
      <w:r w:rsidR="00F161BE" w:rsidRPr="00ED3950">
        <w:rPr>
          <w:lang w:val="cs-CZ"/>
        </w:rPr>
        <w:t xml:space="preserve">Komise </w:t>
      </w:r>
      <w:r w:rsidR="00547797" w:rsidRPr="00ED3950">
        <w:rPr>
          <w:lang w:val="cs-CZ"/>
        </w:rPr>
        <w:t xml:space="preserve">identifikovala </w:t>
      </w:r>
      <w:r w:rsidR="003B353F" w:rsidRPr="00ED3950">
        <w:rPr>
          <w:lang w:val="cs-CZ"/>
        </w:rPr>
        <w:t>ve svých pokynech k uplatňování</w:t>
      </w:r>
      <w:r w:rsidRPr="00ED3950">
        <w:rPr>
          <w:lang w:val="cs-CZ"/>
        </w:rPr>
        <w:t xml:space="preserve">. </w:t>
      </w:r>
    </w:p>
    <w:p w:rsidR="005840C5" w:rsidRPr="00ED3950" w:rsidRDefault="00ED3950">
      <w:pPr>
        <w:pStyle w:val="2ndlevelbulletpoint"/>
        <w:ind w:left="1134" w:hanging="283"/>
        <w:rPr>
          <w:lang w:val="cs-CZ"/>
        </w:rPr>
      </w:pPr>
      <w:r w:rsidRPr="00ED3950">
        <w:rPr>
          <w:lang w:val="cs-CZ"/>
        </w:rPr>
        <w:t xml:space="preserve">Přezkum dokumentace </w:t>
      </w:r>
      <w:r w:rsidR="000F1CAD" w:rsidRPr="00ED3950">
        <w:rPr>
          <w:lang w:val="cs-CZ"/>
        </w:rPr>
        <w:t xml:space="preserve">poskytl poznatky pro relevantní </w:t>
      </w:r>
      <w:r w:rsidR="00E11A81" w:rsidRPr="00ED3950">
        <w:rPr>
          <w:lang w:val="cs-CZ"/>
        </w:rPr>
        <w:t xml:space="preserve">stanovení a upřesnění </w:t>
      </w:r>
      <w:r w:rsidR="000F1CAD" w:rsidRPr="00ED3950">
        <w:rPr>
          <w:b/>
          <w:bCs/>
          <w:lang w:val="cs-CZ"/>
        </w:rPr>
        <w:t xml:space="preserve">výběrových kritérií </w:t>
      </w:r>
      <w:r w:rsidR="00A00BB4" w:rsidRPr="00ED3950">
        <w:rPr>
          <w:lang w:val="cs-CZ"/>
        </w:rPr>
        <w:t xml:space="preserve">v rámci konsolidované </w:t>
      </w:r>
      <w:r w:rsidR="00193573" w:rsidRPr="00ED3950">
        <w:rPr>
          <w:lang w:val="cs-CZ"/>
        </w:rPr>
        <w:t xml:space="preserve">matice </w:t>
      </w:r>
      <w:r w:rsidR="00A00BB4" w:rsidRPr="00ED3950">
        <w:rPr>
          <w:lang w:val="cs-CZ"/>
        </w:rPr>
        <w:t xml:space="preserve">výběrových kritérií </w:t>
      </w:r>
      <w:r w:rsidR="00E11A81" w:rsidRPr="00ED3950">
        <w:rPr>
          <w:lang w:val="cs-CZ"/>
        </w:rPr>
        <w:t>(viz oddíl 3.2)</w:t>
      </w:r>
      <w:r w:rsidR="00EC73C1" w:rsidRPr="00ED3950">
        <w:rPr>
          <w:lang w:val="cs-CZ"/>
        </w:rPr>
        <w:t>.</w:t>
      </w:r>
    </w:p>
    <w:p w:rsidR="005400B9" w:rsidRPr="00ED3950" w:rsidRDefault="005400B9" w:rsidP="005400B9">
      <w:pPr>
        <w:pStyle w:val="3rdlevelbulletpoint"/>
        <w:numPr>
          <w:ilvl w:val="0"/>
          <w:numId w:val="0"/>
        </w:numPr>
        <w:rPr>
          <w:lang w:val="cs-CZ"/>
        </w:rPr>
      </w:pPr>
    </w:p>
    <w:p w:rsidR="005840C5" w:rsidRPr="00ED3950" w:rsidRDefault="00ED3950">
      <w:pPr>
        <w:pStyle w:val="Odstavecseseznamem"/>
        <w:ind w:left="851" w:hanging="284"/>
        <w:rPr>
          <w:lang w:val="cs-CZ"/>
        </w:rPr>
      </w:pPr>
      <w:r w:rsidRPr="00ED3950">
        <w:rPr>
          <w:b/>
          <w:bCs/>
          <w:color w:val="005962"/>
          <w:lang w:val="cs-CZ"/>
        </w:rPr>
        <w:t xml:space="preserve">[Krok 2] Poznatky z </w:t>
      </w:r>
      <w:r w:rsidR="006D6A64" w:rsidRPr="00ED3950">
        <w:rPr>
          <w:b/>
          <w:bCs/>
          <w:color w:val="005962"/>
          <w:lang w:val="cs-CZ"/>
        </w:rPr>
        <w:t xml:space="preserve">diagnostické analýzy (DLV2): </w:t>
      </w:r>
      <w:r w:rsidR="001B5714" w:rsidRPr="00ED3950">
        <w:rPr>
          <w:lang w:val="cs-CZ"/>
        </w:rPr>
        <w:t xml:space="preserve">Díky technickým konzultacím a rozhovorům, které projektový tým provedl v rámci úvodní fáze a diagnostické analýzy (DLV2) týkající se zavádění DNSH v České republice, </w:t>
      </w:r>
      <w:r w:rsidR="00920469" w:rsidRPr="00ED3950">
        <w:rPr>
          <w:lang w:val="cs-CZ"/>
        </w:rPr>
        <w:t xml:space="preserve">získal </w:t>
      </w:r>
      <w:r w:rsidR="001966D3" w:rsidRPr="00ED3950">
        <w:rPr>
          <w:lang w:val="cs-CZ"/>
        </w:rPr>
        <w:t xml:space="preserve">tým </w:t>
      </w:r>
      <w:r w:rsidR="008D3DAC" w:rsidRPr="00ED3950">
        <w:rPr>
          <w:lang w:val="cs-CZ"/>
        </w:rPr>
        <w:t xml:space="preserve">užitečné poznatky a </w:t>
      </w:r>
      <w:r w:rsidR="00EC73C1" w:rsidRPr="00ED3950">
        <w:rPr>
          <w:lang w:val="cs-CZ"/>
        </w:rPr>
        <w:t xml:space="preserve">lépe porozuměl </w:t>
      </w:r>
      <w:r w:rsidR="003E11F8" w:rsidRPr="00ED3950">
        <w:rPr>
          <w:lang w:val="cs-CZ"/>
        </w:rPr>
        <w:t xml:space="preserve">hlavním výzvám, kterým </w:t>
      </w:r>
      <w:r w:rsidR="005F7C33" w:rsidRPr="00ED3950">
        <w:rPr>
          <w:lang w:val="cs-CZ"/>
        </w:rPr>
        <w:t xml:space="preserve">čelí </w:t>
      </w:r>
      <w:r w:rsidR="00664A4B" w:rsidRPr="00ED3950">
        <w:rPr>
          <w:lang w:val="cs-CZ"/>
        </w:rPr>
        <w:t xml:space="preserve">různé </w:t>
      </w:r>
      <w:r w:rsidR="003952FA" w:rsidRPr="00ED3950">
        <w:rPr>
          <w:lang w:val="cs-CZ"/>
        </w:rPr>
        <w:t>české orgány</w:t>
      </w:r>
      <w:r w:rsidR="00411A37" w:rsidRPr="00ED3950">
        <w:rPr>
          <w:lang w:val="cs-CZ"/>
        </w:rPr>
        <w:t>.</w:t>
      </w:r>
    </w:p>
    <w:p w:rsidR="005840C5" w:rsidRPr="00ED3950" w:rsidRDefault="00ED3950">
      <w:pPr>
        <w:pStyle w:val="2ndlevelbulletpoint"/>
        <w:ind w:left="1134" w:hanging="283"/>
        <w:rPr>
          <w:lang w:val="cs-CZ"/>
        </w:rPr>
      </w:pPr>
      <w:r w:rsidRPr="00ED3950">
        <w:rPr>
          <w:lang w:val="cs-CZ"/>
        </w:rPr>
        <w:t xml:space="preserve">Vstupy z práce v rámci DLV2 </w:t>
      </w:r>
      <w:r w:rsidR="004860E5" w:rsidRPr="00ED3950">
        <w:rPr>
          <w:lang w:val="cs-CZ"/>
        </w:rPr>
        <w:t xml:space="preserve">podpořily </w:t>
      </w:r>
      <w:r w:rsidR="004860E5" w:rsidRPr="00ED3950">
        <w:rPr>
          <w:b/>
          <w:bCs/>
          <w:lang w:val="cs-CZ"/>
        </w:rPr>
        <w:t xml:space="preserve">stanovení priorit </w:t>
      </w:r>
      <w:r w:rsidR="003338A3" w:rsidRPr="00ED3950">
        <w:rPr>
          <w:b/>
          <w:bCs/>
          <w:lang w:val="cs-CZ"/>
        </w:rPr>
        <w:t xml:space="preserve">klíčových výzev DNSH </w:t>
      </w:r>
      <w:r w:rsidR="004F47E3" w:rsidRPr="00ED3950">
        <w:rPr>
          <w:b/>
          <w:bCs/>
          <w:lang w:val="cs-CZ"/>
        </w:rPr>
        <w:t xml:space="preserve">na </w:t>
      </w:r>
      <w:r w:rsidR="002D57FE" w:rsidRPr="00ED3950">
        <w:rPr>
          <w:lang w:val="cs-CZ"/>
        </w:rPr>
        <w:t xml:space="preserve">základě </w:t>
      </w:r>
      <w:r w:rsidR="003338A3" w:rsidRPr="00ED3950">
        <w:rPr>
          <w:lang w:val="cs-CZ"/>
        </w:rPr>
        <w:t xml:space="preserve">českých zkušeností pro </w:t>
      </w:r>
      <w:r w:rsidR="002D57FE" w:rsidRPr="00ED3950">
        <w:rPr>
          <w:lang w:val="cs-CZ"/>
        </w:rPr>
        <w:t>analýzu (</w:t>
      </w:r>
      <w:r w:rsidR="00D656EF" w:rsidRPr="00ED3950">
        <w:rPr>
          <w:lang w:val="cs-CZ"/>
        </w:rPr>
        <w:t>podobných) výzev, dobré praxe a příkladů srovnatelných členských států</w:t>
      </w:r>
      <w:r w:rsidR="002D57FE" w:rsidRPr="00ED3950">
        <w:rPr>
          <w:lang w:val="cs-CZ"/>
        </w:rPr>
        <w:t xml:space="preserve">, </w:t>
      </w:r>
      <w:r w:rsidR="00801DE1" w:rsidRPr="00ED3950">
        <w:rPr>
          <w:lang w:val="cs-CZ"/>
        </w:rPr>
        <w:t>které doplnily analýzu kroku 1</w:t>
      </w:r>
      <w:r w:rsidR="00EC73C1" w:rsidRPr="00ED3950">
        <w:rPr>
          <w:lang w:val="cs-CZ"/>
        </w:rPr>
        <w:t>.</w:t>
      </w:r>
    </w:p>
    <w:p w:rsidR="005400B9" w:rsidRPr="00ED3950" w:rsidRDefault="005400B9" w:rsidP="005400B9">
      <w:pPr>
        <w:pStyle w:val="3rdlevelbulletpoint"/>
        <w:numPr>
          <w:ilvl w:val="0"/>
          <w:numId w:val="0"/>
        </w:numPr>
        <w:rPr>
          <w:lang w:val="cs-CZ"/>
        </w:rPr>
      </w:pPr>
    </w:p>
    <w:p w:rsidR="005840C5" w:rsidRPr="00ED3950" w:rsidRDefault="00ED3950">
      <w:pPr>
        <w:pStyle w:val="Odstavecseseznamem"/>
        <w:numPr>
          <w:ilvl w:val="0"/>
          <w:numId w:val="34"/>
        </w:numPr>
        <w:ind w:left="851" w:hanging="284"/>
        <w:rPr>
          <w:lang w:val="cs-CZ"/>
        </w:rPr>
      </w:pPr>
      <w:r w:rsidRPr="00ED3950">
        <w:rPr>
          <w:b/>
          <w:bCs/>
          <w:color w:val="005962"/>
          <w:lang w:val="cs-CZ"/>
        </w:rPr>
        <w:t xml:space="preserve">[Krok 3] </w:t>
      </w:r>
      <w:r w:rsidR="006314FB" w:rsidRPr="00ED3950">
        <w:rPr>
          <w:b/>
          <w:bCs/>
          <w:color w:val="005962"/>
          <w:lang w:val="cs-CZ"/>
        </w:rPr>
        <w:t xml:space="preserve">Zkušenosti ze spolupráce s ostatními členskými státy EU při zavádění DNSH: </w:t>
      </w:r>
      <w:r w:rsidR="00244B44" w:rsidRPr="00ED3950">
        <w:rPr>
          <w:lang w:val="cs-CZ"/>
        </w:rPr>
        <w:t xml:space="preserve">Společnost </w:t>
      </w:r>
      <w:proofErr w:type="spellStart"/>
      <w:r w:rsidR="00244B44" w:rsidRPr="00ED3950">
        <w:rPr>
          <w:lang w:val="cs-CZ"/>
        </w:rPr>
        <w:t>Trinomics</w:t>
      </w:r>
      <w:proofErr w:type="spellEnd"/>
      <w:r w:rsidR="00244B44" w:rsidRPr="00ED3950">
        <w:rPr>
          <w:lang w:val="cs-CZ"/>
        </w:rPr>
        <w:t xml:space="preserve"> provádí různé </w:t>
      </w:r>
      <w:r w:rsidR="00A80332" w:rsidRPr="00ED3950">
        <w:rPr>
          <w:lang w:val="cs-CZ"/>
        </w:rPr>
        <w:t xml:space="preserve">další projekty technické podpory pro GŘ REFORM v jiných členských státech EU, které se týkají </w:t>
      </w:r>
      <w:r w:rsidR="001E033F" w:rsidRPr="00ED3950">
        <w:rPr>
          <w:lang w:val="cs-CZ"/>
        </w:rPr>
        <w:t xml:space="preserve">konkrétně vývoje pokynů </w:t>
      </w:r>
      <w:r w:rsidR="005D5A0E" w:rsidRPr="00ED3950">
        <w:rPr>
          <w:lang w:val="cs-CZ"/>
        </w:rPr>
        <w:t xml:space="preserve">DNSH </w:t>
      </w:r>
      <w:r w:rsidR="001E033F" w:rsidRPr="00ED3950">
        <w:rPr>
          <w:lang w:val="cs-CZ"/>
        </w:rPr>
        <w:t xml:space="preserve">(např. </w:t>
      </w:r>
      <w:r w:rsidR="00B31825" w:rsidRPr="00ED3950">
        <w:rPr>
          <w:lang w:val="cs-CZ"/>
        </w:rPr>
        <w:t>Finsko</w:t>
      </w:r>
      <w:r w:rsidR="00D06C4C" w:rsidRPr="00ED3950">
        <w:rPr>
          <w:lang w:val="cs-CZ"/>
        </w:rPr>
        <w:t xml:space="preserve">) </w:t>
      </w:r>
      <w:r w:rsidR="00F42644" w:rsidRPr="00ED3950">
        <w:rPr>
          <w:lang w:val="cs-CZ"/>
        </w:rPr>
        <w:t xml:space="preserve">nebo jejichž podpora DNSH je </w:t>
      </w:r>
      <w:r w:rsidR="0098303A" w:rsidRPr="00ED3950">
        <w:rPr>
          <w:lang w:val="cs-CZ"/>
        </w:rPr>
        <w:t xml:space="preserve">součástí konkrétních výstupů nebo úkolů v rámci </w:t>
      </w:r>
      <w:r w:rsidR="008708AC" w:rsidRPr="00ED3950">
        <w:rPr>
          <w:lang w:val="cs-CZ"/>
        </w:rPr>
        <w:t>činností podpory provádění a monitorování RRP (</w:t>
      </w:r>
      <w:r w:rsidR="00EC73C1" w:rsidRPr="00ED3950">
        <w:rPr>
          <w:lang w:val="cs-CZ"/>
        </w:rPr>
        <w:t xml:space="preserve">např. </w:t>
      </w:r>
      <w:r w:rsidR="0027515E" w:rsidRPr="00ED3950">
        <w:rPr>
          <w:lang w:val="cs-CZ"/>
        </w:rPr>
        <w:t>Španělsko, Slovensko</w:t>
      </w:r>
      <w:r w:rsidR="003E2E92" w:rsidRPr="00ED3950">
        <w:rPr>
          <w:lang w:val="cs-CZ"/>
        </w:rPr>
        <w:t>, Belgie)</w:t>
      </w:r>
      <w:r w:rsidR="003952FA" w:rsidRPr="00ED3950">
        <w:rPr>
          <w:lang w:val="cs-CZ"/>
        </w:rPr>
        <w:t xml:space="preserve">. </w:t>
      </w:r>
      <w:r w:rsidR="006476C7" w:rsidRPr="00ED3950">
        <w:rPr>
          <w:lang w:val="cs-CZ"/>
        </w:rPr>
        <w:t xml:space="preserve">Díky </w:t>
      </w:r>
      <w:r w:rsidR="00553757" w:rsidRPr="00ED3950">
        <w:rPr>
          <w:lang w:val="cs-CZ"/>
        </w:rPr>
        <w:t xml:space="preserve">těmto dalším projektům TSI má projektový tým </w:t>
      </w:r>
      <w:r w:rsidR="00A05B90" w:rsidRPr="00ED3950">
        <w:rPr>
          <w:b/>
          <w:lang w:val="cs-CZ"/>
        </w:rPr>
        <w:t xml:space="preserve">dobré </w:t>
      </w:r>
      <w:r w:rsidR="00BE20E8" w:rsidRPr="00ED3950">
        <w:rPr>
          <w:b/>
          <w:lang w:val="cs-CZ"/>
        </w:rPr>
        <w:t xml:space="preserve">znalosti o </w:t>
      </w:r>
      <w:r w:rsidR="00A05B90" w:rsidRPr="00ED3950">
        <w:rPr>
          <w:b/>
          <w:lang w:val="cs-CZ"/>
        </w:rPr>
        <w:t xml:space="preserve">(podobných) výzvách v jiných členských státech EU v </w:t>
      </w:r>
      <w:r w:rsidR="00A05B90" w:rsidRPr="00ED3950">
        <w:rPr>
          <w:lang w:val="cs-CZ"/>
        </w:rPr>
        <w:t xml:space="preserve">porovnání s </w:t>
      </w:r>
      <w:r w:rsidR="00426498" w:rsidRPr="00ED3950">
        <w:rPr>
          <w:lang w:val="cs-CZ"/>
        </w:rPr>
        <w:t xml:space="preserve">výzvami, </w:t>
      </w:r>
      <w:r w:rsidR="00A05B90" w:rsidRPr="00ED3950">
        <w:rPr>
          <w:lang w:val="cs-CZ"/>
        </w:rPr>
        <w:t xml:space="preserve">se </w:t>
      </w:r>
      <w:r w:rsidR="00426498" w:rsidRPr="00ED3950">
        <w:rPr>
          <w:lang w:val="cs-CZ"/>
        </w:rPr>
        <w:t xml:space="preserve">kterými </w:t>
      </w:r>
      <w:r w:rsidR="00A05B90" w:rsidRPr="00ED3950">
        <w:rPr>
          <w:lang w:val="cs-CZ"/>
        </w:rPr>
        <w:t xml:space="preserve">se potýkají </w:t>
      </w:r>
      <w:r w:rsidR="00D6028C" w:rsidRPr="00ED3950">
        <w:rPr>
          <w:lang w:val="cs-CZ"/>
        </w:rPr>
        <w:t>české orgány</w:t>
      </w:r>
      <w:r w:rsidR="00411A37" w:rsidRPr="00ED3950">
        <w:rPr>
          <w:lang w:val="cs-CZ"/>
        </w:rPr>
        <w:t>.</w:t>
      </w:r>
    </w:p>
    <w:p w:rsidR="005840C5" w:rsidRPr="00ED3950" w:rsidRDefault="00D352C9">
      <w:pPr>
        <w:pStyle w:val="Odstavecseseznamem"/>
        <w:numPr>
          <w:ilvl w:val="1"/>
          <w:numId w:val="34"/>
        </w:numPr>
        <w:ind w:left="1134" w:hanging="283"/>
        <w:rPr>
          <w:lang w:val="cs-CZ"/>
        </w:rPr>
      </w:pPr>
      <w:r w:rsidRPr="00ED3950">
        <w:rPr>
          <w:lang w:val="cs-CZ"/>
        </w:rPr>
        <w:t>Díky</w:t>
      </w:r>
      <w:r w:rsidR="00ED3950" w:rsidRPr="00ED3950">
        <w:rPr>
          <w:lang w:val="cs-CZ"/>
        </w:rPr>
        <w:t xml:space="preserve"> předchozím a pokračujícím zkušenostem společnosti </w:t>
      </w:r>
      <w:proofErr w:type="spellStart"/>
      <w:r w:rsidR="00ED3950" w:rsidRPr="00ED3950">
        <w:rPr>
          <w:lang w:val="cs-CZ"/>
        </w:rPr>
        <w:t>Trinomics</w:t>
      </w:r>
      <w:proofErr w:type="spellEnd"/>
      <w:r w:rsidR="00ED3950" w:rsidRPr="00ED3950">
        <w:rPr>
          <w:lang w:val="cs-CZ"/>
        </w:rPr>
        <w:t xml:space="preserve"> s podporou jiných členských států EU na jejich cestě </w:t>
      </w:r>
      <w:r w:rsidR="00742B9D" w:rsidRPr="00ED3950">
        <w:rPr>
          <w:lang w:val="cs-CZ"/>
        </w:rPr>
        <w:t xml:space="preserve">k </w:t>
      </w:r>
      <w:r w:rsidR="00ED3950" w:rsidRPr="00ED3950">
        <w:rPr>
          <w:lang w:val="cs-CZ"/>
        </w:rPr>
        <w:t xml:space="preserve">pochopení a rozpracování </w:t>
      </w:r>
      <w:r w:rsidR="00742B9D" w:rsidRPr="00ED3950">
        <w:rPr>
          <w:lang w:val="cs-CZ"/>
        </w:rPr>
        <w:t xml:space="preserve">principu </w:t>
      </w:r>
      <w:r w:rsidR="00ED3950" w:rsidRPr="00ED3950">
        <w:rPr>
          <w:lang w:val="cs-CZ"/>
        </w:rPr>
        <w:t xml:space="preserve">DNSH </w:t>
      </w:r>
      <w:r w:rsidR="00DE4F27" w:rsidRPr="00ED3950">
        <w:rPr>
          <w:lang w:val="cs-CZ"/>
        </w:rPr>
        <w:t xml:space="preserve">mohl projektový tým do </w:t>
      </w:r>
      <w:r w:rsidR="005A7905" w:rsidRPr="00ED3950">
        <w:rPr>
          <w:lang w:val="cs-CZ"/>
        </w:rPr>
        <w:t xml:space="preserve">matice </w:t>
      </w:r>
      <w:r w:rsidR="00DE4F27" w:rsidRPr="00ED3950">
        <w:rPr>
          <w:lang w:val="cs-CZ"/>
        </w:rPr>
        <w:t xml:space="preserve">výběrových </w:t>
      </w:r>
      <w:r w:rsidR="005A7905" w:rsidRPr="00ED3950">
        <w:rPr>
          <w:lang w:val="cs-CZ"/>
        </w:rPr>
        <w:t xml:space="preserve">kritérií zahrnout </w:t>
      </w:r>
      <w:r w:rsidR="00DE4F27" w:rsidRPr="00ED3950">
        <w:rPr>
          <w:b/>
          <w:lang w:val="cs-CZ"/>
        </w:rPr>
        <w:t xml:space="preserve">relevantní příklady a zkušenosti </w:t>
      </w:r>
      <w:r w:rsidR="005A7905" w:rsidRPr="00ED3950">
        <w:rPr>
          <w:lang w:val="cs-CZ"/>
        </w:rPr>
        <w:t xml:space="preserve">a "porovnat" </w:t>
      </w:r>
      <w:r w:rsidR="00161B85" w:rsidRPr="00ED3950">
        <w:rPr>
          <w:lang w:val="cs-CZ"/>
        </w:rPr>
        <w:t>(národní) příklady s výzvami DNSH identifikovanými v rámci kroků 1 a 2 výše</w:t>
      </w:r>
      <w:r w:rsidR="00EC73C1" w:rsidRPr="00ED3950">
        <w:rPr>
          <w:lang w:val="cs-CZ"/>
        </w:rPr>
        <w:t>.</w:t>
      </w:r>
    </w:p>
    <w:p w:rsidR="005400B9" w:rsidRPr="00ED3950" w:rsidRDefault="005400B9" w:rsidP="005400B9">
      <w:pPr>
        <w:rPr>
          <w:lang w:val="cs-CZ"/>
        </w:rPr>
      </w:pPr>
    </w:p>
    <w:p w:rsidR="005840C5" w:rsidRPr="00ED3950" w:rsidRDefault="00ED3950">
      <w:pPr>
        <w:pStyle w:val="Odstavecseseznamem"/>
        <w:numPr>
          <w:ilvl w:val="0"/>
          <w:numId w:val="0"/>
        </w:numPr>
        <w:ind w:left="851"/>
        <w:rPr>
          <w:lang w:val="cs-CZ"/>
        </w:rPr>
      </w:pPr>
      <w:r w:rsidRPr="00ED3950">
        <w:rPr>
          <w:b/>
          <w:bCs/>
          <w:color w:val="005962"/>
          <w:lang w:val="cs-CZ"/>
        </w:rPr>
        <w:t xml:space="preserve">[Krok 4] </w:t>
      </w:r>
      <w:r w:rsidR="00A221EB" w:rsidRPr="00ED3950">
        <w:rPr>
          <w:b/>
          <w:bCs/>
          <w:color w:val="005962"/>
          <w:lang w:val="cs-CZ"/>
        </w:rPr>
        <w:t xml:space="preserve">Konzultace s </w:t>
      </w:r>
      <w:r w:rsidR="000E7C66" w:rsidRPr="00ED3950">
        <w:rPr>
          <w:b/>
          <w:bCs/>
          <w:color w:val="005962"/>
          <w:lang w:val="cs-CZ"/>
        </w:rPr>
        <w:t>útvary EK</w:t>
      </w:r>
      <w:r w:rsidR="000E7C66" w:rsidRPr="00ED3950">
        <w:rPr>
          <w:lang w:val="cs-CZ"/>
        </w:rPr>
        <w:t xml:space="preserve">: </w:t>
      </w:r>
      <w:r w:rsidR="00BE20E8" w:rsidRPr="00ED3950">
        <w:rPr>
          <w:lang w:val="cs-CZ"/>
        </w:rPr>
        <w:t xml:space="preserve">projektový tým se spojil s </w:t>
      </w:r>
      <w:r w:rsidR="00863665" w:rsidRPr="00ED3950">
        <w:rPr>
          <w:lang w:val="cs-CZ"/>
        </w:rPr>
        <w:t xml:space="preserve">různými útvary Komise </w:t>
      </w:r>
      <w:r w:rsidR="00330868" w:rsidRPr="00ED3950">
        <w:rPr>
          <w:lang w:val="cs-CZ"/>
        </w:rPr>
        <w:t xml:space="preserve">(tj. </w:t>
      </w:r>
      <w:r w:rsidR="00BE20E8" w:rsidRPr="00ED3950">
        <w:rPr>
          <w:lang w:val="cs-CZ"/>
        </w:rPr>
        <w:t xml:space="preserve">s </w:t>
      </w:r>
      <w:r w:rsidR="00330868" w:rsidRPr="00ED3950">
        <w:rPr>
          <w:lang w:val="cs-CZ"/>
        </w:rPr>
        <w:t xml:space="preserve">GŘ REFORM, GŘ CLIMA, GŘ ENV, GŘ REGIO, GŘ ECFIN, GŘ REGIO, </w:t>
      </w:r>
      <w:r w:rsidR="00CB2369" w:rsidRPr="00ED3950">
        <w:rPr>
          <w:lang w:val="cs-CZ"/>
        </w:rPr>
        <w:t>JRC</w:t>
      </w:r>
      <w:r w:rsidR="00FD5DE2" w:rsidRPr="00ED3950">
        <w:rPr>
          <w:lang w:val="cs-CZ"/>
        </w:rPr>
        <w:t>)</w:t>
      </w:r>
      <w:r w:rsidR="00D06C4C" w:rsidRPr="00ED3950">
        <w:rPr>
          <w:lang w:val="cs-CZ"/>
        </w:rPr>
        <w:t xml:space="preserve">, </w:t>
      </w:r>
      <w:r w:rsidR="00214455" w:rsidRPr="00ED3950">
        <w:rPr>
          <w:lang w:val="cs-CZ"/>
        </w:rPr>
        <w:t xml:space="preserve">aby zjistil, </w:t>
      </w:r>
      <w:r w:rsidR="0060407F" w:rsidRPr="00ED3950">
        <w:rPr>
          <w:lang w:val="cs-CZ"/>
        </w:rPr>
        <w:t xml:space="preserve">zda jsou určité osvědčené </w:t>
      </w:r>
      <w:r w:rsidR="0035293B" w:rsidRPr="00ED3950">
        <w:rPr>
          <w:lang w:val="cs-CZ"/>
        </w:rPr>
        <w:t xml:space="preserve">postupy, získané zkušenosti a příklady v </w:t>
      </w:r>
      <w:r w:rsidR="001E2E32" w:rsidRPr="00ED3950">
        <w:rPr>
          <w:lang w:val="cs-CZ"/>
        </w:rPr>
        <w:t xml:space="preserve">členských státech EU </w:t>
      </w:r>
      <w:r w:rsidR="005A7881" w:rsidRPr="00ED3950">
        <w:rPr>
          <w:lang w:val="cs-CZ"/>
        </w:rPr>
        <w:t xml:space="preserve">Komisi známy nebo </w:t>
      </w:r>
      <w:r w:rsidR="0060407F" w:rsidRPr="00ED3950">
        <w:rPr>
          <w:lang w:val="cs-CZ"/>
        </w:rPr>
        <w:t xml:space="preserve">zda je </w:t>
      </w:r>
      <w:r w:rsidR="005A7881" w:rsidRPr="00ED3950">
        <w:rPr>
          <w:lang w:val="cs-CZ"/>
        </w:rPr>
        <w:t xml:space="preserve">již </w:t>
      </w:r>
      <w:r w:rsidR="00FB50FB" w:rsidRPr="00ED3950">
        <w:rPr>
          <w:lang w:val="cs-CZ"/>
        </w:rPr>
        <w:t xml:space="preserve">zaznamenala </w:t>
      </w:r>
      <w:r w:rsidR="00781AFF" w:rsidRPr="00ED3950">
        <w:rPr>
          <w:lang w:val="cs-CZ"/>
        </w:rPr>
        <w:t xml:space="preserve">spíše neoficiálním </w:t>
      </w:r>
      <w:r w:rsidR="00EC73C1" w:rsidRPr="00ED3950">
        <w:rPr>
          <w:lang w:val="cs-CZ"/>
        </w:rPr>
        <w:t xml:space="preserve">či ad hoc </w:t>
      </w:r>
      <w:r w:rsidR="00781AFF" w:rsidRPr="00ED3950">
        <w:rPr>
          <w:lang w:val="cs-CZ"/>
        </w:rPr>
        <w:t>způsobem. Projektový tým konzultoval útvary Komise prostřednictvím:</w:t>
      </w:r>
    </w:p>
    <w:p w:rsidR="005840C5" w:rsidRPr="00ED3950" w:rsidRDefault="00ED3950">
      <w:pPr>
        <w:pStyle w:val="2ndlevelbulletpoint"/>
        <w:ind w:left="1134" w:hanging="283"/>
        <w:rPr>
          <w:lang w:val="cs-CZ"/>
        </w:rPr>
      </w:pPr>
      <w:r w:rsidRPr="00ED3950">
        <w:rPr>
          <w:b/>
          <w:bCs/>
          <w:lang w:val="cs-CZ"/>
        </w:rPr>
        <w:t xml:space="preserve">Dotazník </w:t>
      </w:r>
      <w:r w:rsidRPr="00ED3950">
        <w:rPr>
          <w:lang w:val="cs-CZ"/>
        </w:rPr>
        <w:t xml:space="preserve">rozeslaný všem výše uvedeným útvarům EK s technickými </w:t>
      </w:r>
      <w:r w:rsidR="00685EFE" w:rsidRPr="00ED3950">
        <w:rPr>
          <w:lang w:val="cs-CZ"/>
        </w:rPr>
        <w:t xml:space="preserve">(vysvětlujícími) otázkami týkajícími </w:t>
      </w:r>
      <w:r w:rsidR="002C34CE" w:rsidRPr="00ED3950">
        <w:rPr>
          <w:lang w:val="cs-CZ"/>
        </w:rPr>
        <w:t xml:space="preserve">se uplatňování </w:t>
      </w:r>
      <w:r w:rsidR="00B81DE9" w:rsidRPr="00ED3950">
        <w:rPr>
          <w:lang w:val="cs-CZ"/>
        </w:rPr>
        <w:t xml:space="preserve">DNSH </w:t>
      </w:r>
      <w:r w:rsidR="00031D54" w:rsidRPr="00ED3950">
        <w:rPr>
          <w:lang w:val="cs-CZ"/>
        </w:rPr>
        <w:t xml:space="preserve">(a také odolnosti vůči klimatickým změnám, </w:t>
      </w:r>
      <w:r w:rsidR="006F6BA0" w:rsidRPr="00ED3950">
        <w:rPr>
          <w:lang w:val="cs-CZ"/>
        </w:rPr>
        <w:t>jako příspěvek k práci na DLV2</w:t>
      </w:r>
      <w:r w:rsidR="00031D54" w:rsidRPr="00ED3950">
        <w:rPr>
          <w:lang w:val="cs-CZ"/>
        </w:rPr>
        <w:t xml:space="preserve">), </w:t>
      </w:r>
      <w:r w:rsidR="0023771E" w:rsidRPr="00ED3950">
        <w:rPr>
          <w:lang w:val="cs-CZ"/>
        </w:rPr>
        <w:t xml:space="preserve">spolu s </w:t>
      </w:r>
      <w:r w:rsidR="00594FAE" w:rsidRPr="00ED3950">
        <w:rPr>
          <w:lang w:val="cs-CZ"/>
        </w:rPr>
        <w:t xml:space="preserve">postupy a příklady zjištěnými v </w:t>
      </w:r>
      <w:r w:rsidR="00F96052" w:rsidRPr="00ED3950">
        <w:rPr>
          <w:lang w:val="cs-CZ"/>
        </w:rPr>
        <w:t>členských státech EU</w:t>
      </w:r>
      <w:r w:rsidR="00F96052" w:rsidRPr="00ED3950" w:rsidDel="00EC73C1">
        <w:rPr>
          <w:lang w:val="cs-CZ"/>
        </w:rPr>
        <w:t>;</w:t>
      </w:r>
    </w:p>
    <w:p w:rsidR="005840C5" w:rsidRPr="00ED3950" w:rsidRDefault="00ED3950">
      <w:pPr>
        <w:pStyle w:val="3rdlevelbulletpoint"/>
        <w:numPr>
          <w:ilvl w:val="0"/>
          <w:numId w:val="33"/>
        </w:numPr>
        <w:ind w:left="1134" w:hanging="283"/>
        <w:rPr>
          <w:lang w:val="cs-CZ"/>
        </w:rPr>
      </w:pPr>
      <w:r w:rsidRPr="00ED3950">
        <w:rPr>
          <w:b/>
          <w:bCs/>
          <w:lang w:val="cs-CZ"/>
        </w:rPr>
        <w:t xml:space="preserve">Plenární schůzka </w:t>
      </w:r>
      <w:r w:rsidRPr="00ED3950">
        <w:rPr>
          <w:lang w:val="cs-CZ"/>
        </w:rPr>
        <w:t xml:space="preserve">s </w:t>
      </w:r>
      <w:r w:rsidR="00A75149" w:rsidRPr="00ED3950">
        <w:rPr>
          <w:lang w:val="cs-CZ"/>
        </w:rPr>
        <w:t xml:space="preserve">výše uvedenými útvary Komise, kterou svolalo GŘ REFORM </w:t>
      </w:r>
      <w:r w:rsidR="002427E5" w:rsidRPr="00ED3950">
        <w:rPr>
          <w:lang w:val="cs-CZ"/>
        </w:rPr>
        <w:t xml:space="preserve">na 10. </w:t>
      </w:r>
      <w:proofErr w:type="spellStart"/>
      <w:r w:rsidR="002427E5" w:rsidRPr="00ED3950">
        <w:rPr>
          <w:lang w:val="cs-CZ"/>
        </w:rPr>
        <w:t>listopadu</w:t>
      </w:r>
      <w:r w:rsidR="002427E5" w:rsidRPr="00ED3950">
        <w:rPr>
          <w:vertAlign w:val="superscript"/>
          <w:lang w:val="cs-CZ"/>
        </w:rPr>
        <w:t>th</w:t>
      </w:r>
      <w:proofErr w:type="spellEnd"/>
      <w:r w:rsidR="002427E5" w:rsidRPr="00ED3950">
        <w:rPr>
          <w:lang w:val="cs-CZ"/>
        </w:rPr>
        <w:t xml:space="preserve"> 2022, </w:t>
      </w:r>
      <w:r w:rsidR="00A75149" w:rsidRPr="00ED3950">
        <w:rPr>
          <w:lang w:val="cs-CZ"/>
        </w:rPr>
        <w:t xml:space="preserve">s </w:t>
      </w:r>
      <w:r w:rsidR="007F5136" w:rsidRPr="00ED3950">
        <w:rPr>
          <w:lang w:val="cs-CZ"/>
        </w:rPr>
        <w:t xml:space="preserve">cílem projednat klíčové výzvy týkající se </w:t>
      </w:r>
      <w:r w:rsidR="00F741AC" w:rsidRPr="00ED3950">
        <w:rPr>
          <w:lang w:val="cs-CZ"/>
        </w:rPr>
        <w:t xml:space="preserve">provádění </w:t>
      </w:r>
      <w:r w:rsidR="00892CF2" w:rsidRPr="00ED3950">
        <w:rPr>
          <w:lang w:val="cs-CZ"/>
        </w:rPr>
        <w:t xml:space="preserve">DNSH </w:t>
      </w:r>
      <w:r w:rsidR="005C32B1" w:rsidRPr="00ED3950">
        <w:rPr>
          <w:lang w:val="cs-CZ"/>
        </w:rPr>
        <w:t xml:space="preserve">a (vznikající) osvědčené postupy na úrovni členských států </w:t>
      </w:r>
      <w:r w:rsidR="00F741AC" w:rsidRPr="00ED3950">
        <w:rPr>
          <w:lang w:val="cs-CZ"/>
        </w:rPr>
        <w:t>z pohledu EK</w:t>
      </w:r>
      <w:r w:rsidR="00A14D0A" w:rsidRPr="00ED3950" w:rsidDel="00EC73C1">
        <w:rPr>
          <w:lang w:val="cs-CZ"/>
        </w:rPr>
        <w:t>;</w:t>
      </w:r>
    </w:p>
    <w:p w:rsidR="005840C5" w:rsidRPr="00ED3950" w:rsidRDefault="00ED3950">
      <w:pPr>
        <w:pStyle w:val="3rdlevelbulletpoint"/>
        <w:numPr>
          <w:ilvl w:val="0"/>
          <w:numId w:val="33"/>
        </w:numPr>
        <w:ind w:left="1134" w:hanging="283"/>
        <w:rPr>
          <w:lang w:val="cs-CZ"/>
        </w:rPr>
      </w:pPr>
      <w:r w:rsidRPr="00ED3950">
        <w:rPr>
          <w:lang w:val="cs-CZ"/>
        </w:rPr>
        <w:t xml:space="preserve">V návaznosti na plenární zasedání se konala různá </w:t>
      </w:r>
      <w:r w:rsidRPr="00ED3950">
        <w:rPr>
          <w:b/>
          <w:bCs/>
          <w:lang w:val="cs-CZ"/>
        </w:rPr>
        <w:t xml:space="preserve">specializovaná setkání pro </w:t>
      </w:r>
      <w:r w:rsidR="00BB58E3" w:rsidRPr="00ED3950">
        <w:rPr>
          <w:b/>
          <w:bCs/>
          <w:lang w:val="cs-CZ"/>
        </w:rPr>
        <w:t xml:space="preserve">sdílení </w:t>
      </w:r>
      <w:r w:rsidR="00B2121F" w:rsidRPr="00ED3950">
        <w:rPr>
          <w:b/>
          <w:bCs/>
          <w:lang w:val="cs-CZ"/>
        </w:rPr>
        <w:t xml:space="preserve">technických </w:t>
      </w:r>
      <w:r w:rsidR="00BB58E3" w:rsidRPr="00ED3950">
        <w:rPr>
          <w:b/>
          <w:bCs/>
          <w:lang w:val="cs-CZ"/>
        </w:rPr>
        <w:t xml:space="preserve">znalostí </w:t>
      </w:r>
      <w:r w:rsidRPr="00ED3950">
        <w:rPr>
          <w:lang w:val="cs-CZ"/>
        </w:rPr>
        <w:t xml:space="preserve">(online, hybridní nebo </w:t>
      </w:r>
      <w:r w:rsidR="00EF3126" w:rsidRPr="00ED3950">
        <w:rPr>
          <w:lang w:val="cs-CZ"/>
        </w:rPr>
        <w:t xml:space="preserve">fyzicky v Bruselu) s </w:t>
      </w:r>
      <w:r w:rsidR="00772C5B" w:rsidRPr="00ED3950">
        <w:rPr>
          <w:lang w:val="cs-CZ"/>
        </w:rPr>
        <w:t xml:space="preserve">GŘ REGIO, SG-RECOVER </w:t>
      </w:r>
      <w:r w:rsidR="00BB58E3" w:rsidRPr="00ED3950">
        <w:rPr>
          <w:lang w:val="cs-CZ"/>
        </w:rPr>
        <w:t xml:space="preserve">a zejména s týmem EU pro taxonomii v rámci JRC, a to </w:t>
      </w:r>
      <w:r w:rsidR="00BD785C" w:rsidRPr="00ED3950">
        <w:rPr>
          <w:lang w:val="cs-CZ"/>
        </w:rPr>
        <w:t xml:space="preserve">od konce listopadu </w:t>
      </w:r>
      <w:r w:rsidR="00EC73C1" w:rsidRPr="00ED3950">
        <w:rPr>
          <w:lang w:val="cs-CZ"/>
        </w:rPr>
        <w:t xml:space="preserve">2022 </w:t>
      </w:r>
      <w:r w:rsidR="00BD785C" w:rsidRPr="00ED3950">
        <w:rPr>
          <w:lang w:val="cs-CZ"/>
        </w:rPr>
        <w:t>až do první poloviny ledna 2023</w:t>
      </w:r>
      <w:r w:rsidR="00BB58E3" w:rsidRPr="00ED3950">
        <w:rPr>
          <w:lang w:val="cs-CZ"/>
        </w:rPr>
        <w:t>.</w:t>
      </w:r>
    </w:p>
    <w:p w:rsidR="00EA0277" w:rsidRPr="00ED3950" w:rsidRDefault="00EA0277" w:rsidP="00D36BAF">
      <w:pPr>
        <w:rPr>
          <w:lang w:val="cs-CZ"/>
        </w:rPr>
      </w:pPr>
    </w:p>
    <w:p w:rsidR="005840C5" w:rsidRPr="00ED3950" w:rsidRDefault="00ED3950">
      <w:pPr>
        <w:rPr>
          <w:lang w:val="cs-CZ"/>
        </w:rPr>
      </w:pPr>
      <w:r w:rsidRPr="00ED3950">
        <w:rPr>
          <w:lang w:val="cs-CZ"/>
        </w:rPr>
        <w:t xml:space="preserve">Výše uvedené kroky pomohly projektovému týmu identifikovat </w:t>
      </w:r>
      <w:r w:rsidRPr="00ED3950">
        <w:rPr>
          <w:b/>
          <w:bCs/>
          <w:lang w:val="cs-CZ"/>
        </w:rPr>
        <w:t xml:space="preserve">klíčové výzvy DNSH </w:t>
      </w:r>
      <w:r w:rsidR="00F024D3" w:rsidRPr="00ED3950">
        <w:rPr>
          <w:lang w:val="cs-CZ"/>
        </w:rPr>
        <w:t xml:space="preserve">zjištěné obecně a konkrétně v České republice </w:t>
      </w:r>
      <w:r w:rsidR="00915BC3" w:rsidRPr="00ED3950">
        <w:rPr>
          <w:lang w:val="cs-CZ"/>
        </w:rPr>
        <w:t xml:space="preserve">a </w:t>
      </w:r>
      <w:r w:rsidR="00915BC3" w:rsidRPr="00ED3950">
        <w:rPr>
          <w:b/>
          <w:bCs/>
          <w:lang w:val="cs-CZ"/>
        </w:rPr>
        <w:t xml:space="preserve">"porovnat" </w:t>
      </w:r>
      <w:r w:rsidR="00915BC3" w:rsidRPr="00ED3950">
        <w:rPr>
          <w:lang w:val="cs-CZ"/>
        </w:rPr>
        <w:t xml:space="preserve">je s podobnými výzvami </w:t>
      </w:r>
      <w:r w:rsidR="007E04B8" w:rsidRPr="00ED3950">
        <w:rPr>
          <w:lang w:val="cs-CZ"/>
        </w:rPr>
        <w:t xml:space="preserve">v jiných členských státech EU a s tím, jak </w:t>
      </w:r>
      <w:r w:rsidR="000471C3" w:rsidRPr="00ED3950">
        <w:rPr>
          <w:lang w:val="cs-CZ"/>
        </w:rPr>
        <w:t xml:space="preserve">se s danou výzvou </w:t>
      </w:r>
      <w:r w:rsidR="00F54788" w:rsidRPr="00ED3950">
        <w:rPr>
          <w:lang w:val="cs-CZ"/>
        </w:rPr>
        <w:t xml:space="preserve">(doposud) </w:t>
      </w:r>
      <w:r w:rsidR="000471C3" w:rsidRPr="00ED3950">
        <w:rPr>
          <w:lang w:val="cs-CZ"/>
        </w:rPr>
        <w:t xml:space="preserve">vypořádaly, a to prostřednictvím sdílení </w:t>
      </w:r>
      <w:r w:rsidR="000471C3" w:rsidRPr="00ED3950">
        <w:rPr>
          <w:b/>
          <w:bCs/>
          <w:lang w:val="cs-CZ"/>
        </w:rPr>
        <w:t xml:space="preserve">svých (praktických) zkušeností a příkladů, které byly </w:t>
      </w:r>
      <w:r w:rsidR="00D15E10" w:rsidRPr="00ED3950">
        <w:rPr>
          <w:lang w:val="cs-CZ"/>
        </w:rPr>
        <w:t>vstupem do konsolidované matice výběrových kritérií (viz oddíl 3.2)</w:t>
      </w:r>
      <w:r w:rsidR="00E52719" w:rsidRPr="00ED3950">
        <w:rPr>
          <w:lang w:val="cs-CZ"/>
        </w:rPr>
        <w:t xml:space="preserve">. </w:t>
      </w:r>
    </w:p>
    <w:p w:rsidR="00FF03F9" w:rsidRPr="00ED3950" w:rsidRDefault="00FF03F9" w:rsidP="00D36BAF">
      <w:pPr>
        <w:rPr>
          <w:lang w:val="cs-CZ"/>
        </w:rPr>
      </w:pPr>
    </w:p>
    <w:p w:rsidR="005840C5" w:rsidRPr="00ED3950" w:rsidRDefault="00ED3950">
      <w:pPr>
        <w:rPr>
          <w:lang w:val="cs-CZ"/>
        </w:rPr>
      </w:pPr>
      <w:r w:rsidRPr="00ED3950">
        <w:rPr>
          <w:lang w:val="cs-CZ"/>
        </w:rPr>
        <w:t xml:space="preserve">Přístup k analýze </w:t>
      </w:r>
      <w:r w:rsidR="006F4B79" w:rsidRPr="00ED3950">
        <w:rPr>
          <w:lang w:val="cs-CZ"/>
        </w:rPr>
        <w:t xml:space="preserve">příkladů a zkušeností z jiných srovnatelných členských států EU, jakož i </w:t>
      </w:r>
      <w:r w:rsidRPr="00ED3950">
        <w:rPr>
          <w:lang w:val="cs-CZ"/>
        </w:rPr>
        <w:t xml:space="preserve">organizace tří (3) online </w:t>
      </w:r>
      <w:proofErr w:type="spellStart"/>
      <w:r w:rsidRPr="00ED3950">
        <w:rPr>
          <w:lang w:val="cs-CZ"/>
        </w:rPr>
        <w:t>webinářů</w:t>
      </w:r>
      <w:proofErr w:type="spellEnd"/>
      <w:r w:rsidRPr="00ED3950">
        <w:rPr>
          <w:lang w:val="cs-CZ"/>
        </w:rPr>
        <w:t xml:space="preserve"> </w:t>
      </w:r>
      <w:r w:rsidR="006F4B79" w:rsidRPr="00ED3950">
        <w:rPr>
          <w:lang w:val="cs-CZ"/>
        </w:rPr>
        <w:t xml:space="preserve">jsou </w:t>
      </w:r>
      <w:r w:rsidRPr="00ED3950">
        <w:rPr>
          <w:lang w:val="cs-CZ"/>
        </w:rPr>
        <w:t xml:space="preserve">podrobněji popsány v </w:t>
      </w:r>
      <w:r w:rsidR="006F4B79" w:rsidRPr="00ED3950">
        <w:rPr>
          <w:lang w:val="cs-CZ"/>
        </w:rPr>
        <w:t xml:space="preserve">kapitolách 4 a 5 </w:t>
      </w:r>
      <w:r w:rsidRPr="00ED3950">
        <w:rPr>
          <w:lang w:val="cs-CZ"/>
        </w:rPr>
        <w:t>této zprávy DLV3.</w:t>
      </w:r>
    </w:p>
    <w:p w:rsidR="00E17E3D" w:rsidRPr="00ED3950" w:rsidRDefault="00E17E3D" w:rsidP="00E17E3D">
      <w:pPr>
        <w:rPr>
          <w:lang w:val="cs-CZ"/>
        </w:rPr>
      </w:pPr>
    </w:p>
    <w:p w:rsidR="005840C5" w:rsidRPr="00ED3950" w:rsidRDefault="00ED3950">
      <w:pPr>
        <w:pStyle w:val="Nadpis2"/>
        <w:rPr>
          <w:lang w:val="cs-CZ"/>
        </w:rPr>
      </w:pPr>
      <w:bookmarkStart w:id="10" w:name="_Toc131775829"/>
      <w:r w:rsidRPr="00ED3950">
        <w:rPr>
          <w:lang w:val="cs-CZ"/>
        </w:rPr>
        <w:t xml:space="preserve">Konsolidovaná </w:t>
      </w:r>
      <w:r w:rsidR="00700533" w:rsidRPr="00ED3950">
        <w:rPr>
          <w:lang w:val="cs-CZ"/>
        </w:rPr>
        <w:t>matice výběrových kritérií</w:t>
      </w:r>
      <w:bookmarkEnd w:id="10"/>
    </w:p>
    <w:p w:rsidR="005840C5" w:rsidRPr="00ED3950" w:rsidRDefault="00ED3950">
      <w:pPr>
        <w:rPr>
          <w:lang w:val="cs-CZ"/>
        </w:rPr>
      </w:pPr>
      <w:r w:rsidRPr="00ED3950">
        <w:rPr>
          <w:lang w:val="cs-CZ"/>
        </w:rPr>
        <w:t xml:space="preserve">Úvodní zpráva </w:t>
      </w:r>
      <w:r w:rsidRPr="00ED3950">
        <w:rPr>
          <w:lang w:val="cs-CZ"/>
        </w:rPr>
        <w:t xml:space="preserve">tohoto projektu TSI (DLV1) </w:t>
      </w:r>
      <w:r w:rsidR="005301E1" w:rsidRPr="00ED3950">
        <w:rPr>
          <w:lang w:val="cs-CZ"/>
        </w:rPr>
        <w:t xml:space="preserve">obsahovala předběžnou matici výběrových kritérií, </w:t>
      </w:r>
      <w:r w:rsidR="006A36D4" w:rsidRPr="00ED3950">
        <w:rPr>
          <w:lang w:val="cs-CZ"/>
        </w:rPr>
        <w:t>která zase vycházela z návrhu týmu na matici bodového hodnocení</w:t>
      </w:r>
      <w:r w:rsidR="00FF2F88" w:rsidRPr="00ED3950">
        <w:rPr>
          <w:lang w:val="cs-CZ"/>
        </w:rPr>
        <w:t xml:space="preserve">, aby </w:t>
      </w:r>
      <w:r w:rsidR="003325EB" w:rsidRPr="00ED3950">
        <w:rPr>
          <w:lang w:val="cs-CZ"/>
        </w:rPr>
        <w:t xml:space="preserve">poskytla rámec pro to, jak </w:t>
      </w:r>
      <w:r w:rsidR="007E36A7" w:rsidRPr="00ED3950">
        <w:rPr>
          <w:lang w:val="cs-CZ"/>
        </w:rPr>
        <w:t xml:space="preserve">budou analyzovány </w:t>
      </w:r>
      <w:r w:rsidR="003325EB" w:rsidRPr="00ED3950">
        <w:rPr>
          <w:lang w:val="cs-CZ"/>
        </w:rPr>
        <w:t xml:space="preserve">problémy DNSH a </w:t>
      </w:r>
      <w:r w:rsidR="00CD23F6" w:rsidRPr="00ED3950">
        <w:rPr>
          <w:lang w:val="cs-CZ"/>
        </w:rPr>
        <w:t>osvědčené postupy a získané zkušenosti (tj. "hlavní případy</w:t>
      </w:r>
      <w:r w:rsidR="00EC73C1" w:rsidRPr="00ED3950">
        <w:rPr>
          <w:lang w:val="cs-CZ"/>
        </w:rPr>
        <w:t xml:space="preserve">") </w:t>
      </w:r>
      <w:r w:rsidR="007E36A7" w:rsidRPr="00ED3950">
        <w:rPr>
          <w:lang w:val="cs-CZ"/>
        </w:rPr>
        <w:t xml:space="preserve">a jak budou předány </w:t>
      </w:r>
      <w:r w:rsidR="00FA6B0D" w:rsidRPr="00ED3950">
        <w:rPr>
          <w:lang w:val="cs-CZ"/>
        </w:rPr>
        <w:t xml:space="preserve">na </w:t>
      </w:r>
      <w:proofErr w:type="spellStart"/>
      <w:r w:rsidR="007E36A7" w:rsidRPr="00ED3950">
        <w:rPr>
          <w:lang w:val="cs-CZ"/>
        </w:rPr>
        <w:t>webináře</w:t>
      </w:r>
      <w:proofErr w:type="spellEnd"/>
      <w:r w:rsidR="007E36A7" w:rsidRPr="00ED3950">
        <w:rPr>
          <w:lang w:val="cs-CZ"/>
        </w:rPr>
        <w:t xml:space="preserve"> pro výměnu zkušeností</w:t>
      </w:r>
      <w:r w:rsidR="00DF0537" w:rsidRPr="00ED3950">
        <w:rPr>
          <w:lang w:val="cs-CZ"/>
        </w:rPr>
        <w:t xml:space="preserve">. </w:t>
      </w:r>
      <w:r w:rsidR="0025337A" w:rsidRPr="00ED3950">
        <w:rPr>
          <w:lang w:val="cs-CZ"/>
        </w:rPr>
        <w:t xml:space="preserve">Matice výběrových kritérií byla </w:t>
      </w:r>
      <w:r w:rsidR="00547CEA" w:rsidRPr="00ED3950">
        <w:rPr>
          <w:lang w:val="cs-CZ"/>
        </w:rPr>
        <w:t xml:space="preserve">po kontrole dokumentů a konzultačních činnostech s útvary EK a českými orgány </w:t>
      </w:r>
      <w:r w:rsidR="00E236B1" w:rsidRPr="00ED3950">
        <w:rPr>
          <w:lang w:val="cs-CZ"/>
        </w:rPr>
        <w:t xml:space="preserve">dále </w:t>
      </w:r>
      <w:r w:rsidR="0025337A" w:rsidRPr="00ED3950">
        <w:rPr>
          <w:lang w:val="cs-CZ"/>
        </w:rPr>
        <w:t xml:space="preserve">upřesněna, </w:t>
      </w:r>
      <w:r w:rsidR="00EA357B" w:rsidRPr="00ED3950">
        <w:rPr>
          <w:lang w:val="cs-CZ"/>
        </w:rPr>
        <w:t xml:space="preserve">jak je uvedeno níže. </w:t>
      </w:r>
      <w:r w:rsidR="00303065" w:rsidRPr="00ED3950">
        <w:rPr>
          <w:lang w:val="cs-CZ"/>
        </w:rPr>
        <w:t xml:space="preserve">Projektový tým se v tomto procesu </w:t>
      </w:r>
      <w:r w:rsidR="00841F4E" w:rsidRPr="00ED3950">
        <w:rPr>
          <w:lang w:val="cs-CZ"/>
        </w:rPr>
        <w:t xml:space="preserve">a v rámci možností </w:t>
      </w:r>
      <w:r w:rsidR="00303065" w:rsidRPr="00ED3950">
        <w:rPr>
          <w:lang w:val="cs-CZ"/>
        </w:rPr>
        <w:t xml:space="preserve">zaměřil na členské státy s podobným politickým a správním kontextem jako Česko, aby byla zajištěna využitelnost získaných poznatků </w:t>
      </w:r>
      <w:r w:rsidR="00EC73C1" w:rsidRPr="00ED3950">
        <w:rPr>
          <w:lang w:val="cs-CZ"/>
        </w:rPr>
        <w:t xml:space="preserve">v </w:t>
      </w:r>
      <w:r w:rsidR="00303065" w:rsidRPr="00ED3950">
        <w:rPr>
          <w:lang w:val="cs-CZ"/>
        </w:rPr>
        <w:t>českém kontextu.</w:t>
      </w:r>
    </w:p>
    <w:p w:rsidR="00C34F8A" w:rsidRPr="00ED3950" w:rsidRDefault="00C34F8A" w:rsidP="00FF03F9">
      <w:pPr>
        <w:rPr>
          <w:lang w:val="cs-CZ"/>
        </w:rPr>
      </w:pPr>
    </w:p>
    <w:p w:rsidR="005840C5" w:rsidRPr="00ED3950" w:rsidRDefault="00ED3950">
      <w:pPr>
        <w:rPr>
          <w:lang w:val="cs-CZ"/>
        </w:rPr>
      </w:pPr>
      <w:r w:rsidRPr="00ED3950">
        <w:rPr>
          <w:lang w:val="cs-CZ"/>
        </w:rPr>
        <w:t xml:space="preserve">Hlavní změny upřesnění by měly (lépe) odrážet klíčové výzvy DNSH identifikované v rámci Česka, </w:t>
      </w:r>
      <w:r w:rsidR="00796142" w:rsidRPr="00ED3950">
        <w:rPr>
          <w:lang w:val="cs-CZ"/>
        </w:rPr>
        <w:t xml:space="preserve">které byly vybrány pro analýzu a </w:t>
      </w:r>
      <w:r w:rsidR="009323B3" w:rsidRPr="00ED3950">
        <w:rPr>
          <w:lang w:val="cs-CZ"/>
        </w:rPr>
        <w:t xml:space="preserve">slouží jako ústřední témata pro jednotlivé </w:t>
      </w:r>
      <w:proofErr w:type="spellStart"/>
      <w:r w:rsidR="009323B3" w:rsidRPr="00ED3950">
        <w:rPr>
          <w:lang w:val="cs-CZ"/>
        </w:rPr>
        <w:t>webináře</w:t>
      </w:r>
      <w:proofErr w:type="spellEnd"/>
      <w:r w:rsidR="009323B3" w:rsidRPr="00ED3950">
        <w:rPr>
          <w:lang w:val="cs-CZ"/>
        </w:rPr>
        <w:t xml:space="preserve">, jak bylo dohodnuto mezi projektovým týmem a </w:t>
      </w:r>
      <w:r w:rsidR="00F4345E" w:rsidRPr="00ED3950">
        <w:rPr>
          <w:lang w:val="cs-CZ"/>
        </w:rPr>
        <w:t xml:space="preserve">řídícím výborem </w:t>
      </w:r>
      <w:r w:rsidR="00360431" w:rsidRPr="00ED3950">
        <w:rPr>
          <w:lang w:val="cs-CZ"/>
        </w:rPr>
        <w:t xml:space="preserve">(ŘV) </w:t>
      </w:r>
      <w:r w:rsidR="00F4345E" w:rsidRPr="00ED3950">
        <w:rPr>
          <w:lang w:val="cs-CZ"/>
        </w:rPr>
        <w:t xml:space="preserve">dne </w:t>
      </w:r>
      <w:r w:rsidR="00300EE5" w:rsidRPr="00ED3950">
        <w:rPr>
          <w:lang w:val="cs-CZ"/>
        </w:rPr>
        <w:t xml:space="preserve">15. </w:t>
      </w:r>
      <w:proofErr w:type="spellStart"/>
      <w:r w:rsidR="00300EE5" w:rsidRPr="00ED3950">
        <w:rPr>
          <w:lang w:val="cs-CZ"/>
        </w:rPr>
        <w:t>prosince</w:t>
      </w:r>
      <w:r w:rsidR="00300EE5" w:rsidRPr="00ED3950">
        <w:rPr>
          <w:vertAlign w:val="superscript"/>
          <w:lang w:val="cs-CZ"/>
        </w:rPr>
        <w:t>th</w:t>
      </w:r>
      <w:proofErr w:type="spellEnd"/>
      <w:r w:rsidR="00300EE5" w:rsidRPr="00ED3950">
        <w:rPr>
          <w:lang w:val="cs-CZ"/>
        </w:rPr>
        <w:t xml:space="preserve"> 2022</w:t>
      </w:r>
      <w:r w:rsidR="00F4345E" w:rsidRPr="00ED3950">
        <w:rPr>
          <w:lang w:val="cs-CZ"/>
        </w:rPr>
        <w:t xml:space="preserve">. </w:t>
      </w:r>
      <w:r w:rsidR="00D37858" w:rsidRPr="00ED3950">
        <w:rPr>
          <w:lang w:val="cs-CZ"/>
        </w:rPr>
        <w:t xml:space="preserve">Klíčové výzvy </w:t>
      </w:r>
      <w:r w:rsidR="00AD6BD4" w:rsidRPr="00ED3950">
        <w:rPr>
          <w:lang w:val="cs-CZ"/>
        </w:rPr>
        <w:t xml:space="preserve">identifikované v </w:t>
      </w:r>
      <w:r w:rsidR="0000251B" w:rsidRPr="00ED3950">
        <w:rPr>
          <w:lang w:val="cs-CZ"/>
        </w:rPr>
        <w:t xml:space="preserve">souvislosti s implementací DNSH </w:t>
      </w:r>
      <w:r w:rsidR="00CF6499" w:rsidRPr="00ED3950">
        <w:rPr>
          <w:lang w:val="cs-CZ"/>
        </w:rPr>
        <w:t xml:space="preserve">se soustředí </w:t>
      </w:r>
      <w:proofErr w:type="gramStart"/>
      <w:r w:rsidR="00CF6499" w:rsidRPr="00ED3950">
        <w:rPr>
          <w:lang w:val="cs-CZ"/>
        </w:rPr>
        <w:t>na</w:t>
      </w:r>
      <w:proofErr w:type="gramEnd"/>
      <w:r w:rsidR="00CF6499" w:rsidRPr="00ED3950">
        <w:rPr>
          <w:lang w:val="cs-CZ"/>
        </w:rPr>
        <w:t>:</w:t>
      </w:r>
    </w:p>
    <w:p w:rsidR="005840C5" w:rsidRPr="00ED3950" w:rsidRDefault="00CF6499">
      <w:pPr>
        <w:pStyle w:val="Odstavecseseznamem"/>
        <w:numPr>
          <w:ilvl w:val="0"/>
          <w:numId w:val="34"/>
        </w:numPr>
        <w:ind w:left="851" w:hanging="284"/>
        <w:rPr>
          <w:lang w:val="cs-CZ"/>
        </w:rPr>
      </w:pPr>
      <w:r w:rsidRPr="00ED3950">
        <w:rPr>
          <w:b/>
          <w:bCs/>
          <w:lang w:val="cs-CZ"/>
        </w:rPr>
        <w:t xml:space="preserve">Procesy </w:t>
      </w:r>
      <w:r w:rsidR="00ED3950" w:rsidRPr="00ED3950">
        <w:rPr>
          <w:b/>
          <w:bCs/>
          <w:lang w:val="cs-CZ"/>
        </w:rPr>
        <w:t>a p</w:t>
      </w:r>
      <w:r w:rsidR="00ED3950" w:rsidRPr="00ED3950">
        <w:rPr>
          <w:b/>
          <w:bCs/>
          <w:lang w:val="cs-CZ"/>
        </w:rPr>
        <w:t xml:space="preserve">ostupy řízení v </w:t>
      </w:r>
      <w:r w:rsidRPr="00ED3950">
        <w:rPr>
          <w:lang w:val="cs-CZ"/>
        </w:rPr>
        <w:t>souvislosti s uplatňováním zásady DNSH</w:t>
      </w:r>
      <w:r w:rsidR="002F0156" w:rsidRPr="00ED3950">
        <w:rPr>
          <w:lang w:val="cs-CZ"/>
        </w:rPr>
        <w:t>;</w:t>
      </w:r>
    </w:p>
    <w:p w:rsidR="005840C5" w:rsidRPr="00ED3950" w:rsidRDefault="00ED3950">
      <w:pPr>
        <w:numPr>
          <w:ilvl w:val="0"/>
          <w:numId w:val="35"/>
        </w:numPr>
        <w:tabs>
          <w:tab w:val="clear" w:pos="720"/>
          <w:tab w:val="left" w:pos="851"/>
        </w:tabs>
        <w:ind w:left="851" w:hanging="284"/>
        <w:rPr>
          <w:lang w:val="cs-CZ"/>
        </w:rPr>
      </w:pPr>
      <w:r w:rsidRPr="00ED3950">
        <w:rPr>
          <w:lang w:val="cs-CZ"/>
        </w:rPr>
        <w:t xml:space="preserve">Provádění (a monitorování) aplikace DNSH </w:t>
      </w:r>
      <w:r w:rsidR="00E70229" w:rsidRPr="00ED3950">
        <w:rPr>
          <w:b/>
          <w:bCs/>
          <w:lang w:val="cs-CZ"/>
        </w:rPr>
        <w:t xml:space="preserve">- </w:t>
      </w:r>
      <w:r w:rsidR="00F65D01" w:rsidRPr="00ED3950">
        <w:rPr>
          <w:b/>
          <w:bCs/>
          <w:lang w:val="cs-CZ"/>
        </w:rPr>
        <w:t xml:space="preserve">zjednodušené </w:t>
      </w:r>
      <w:r w:rsidR="00E70229" w:rsidRPr="00ED3950">
        <w:rPr>
          <w:b/>
          <w:bCs/>
          <w:lang w:val="cs-CZ"/>
        </w:rPr>
        <w:t>a podrobné hodnocení</w:t>
      </w:r>
      <w:r w:rsidR="002F0156" w:rsidRPr="00ED3950">
        <w:rPr>
          <w:b/>
          <w:bCs/>
          <w:lang w:val="cs-CZ"/>
        </w:rPr>
        <w:t>;</w:t>
      </w:r>
    </w:p>
    <w:p w:rsidR="005840C5" w:rsidRPr="00ED3950" w:rsidRDefault="00ED3950">
      <w:pPr>
        <w:numPr>
          <w:ilvl w:val="0"/>
          <w:numId w:val="35"/>
        </w:numPr>
        <w:tabs>
          <w:tab w:val="clear" w:pos="720"/>
          <w:tab w:val="left" w:pos="851"/>
        </w:tabs>
        <w:ind w:left="851" w:hanging="284"/>
        <w:rPr>
          <w:lang w:val="cs-CZ"/>
        </w:rPr>
      </w:pPr>
      <w:r w:rsidRPr="00ED3950">
        <w:rPr>
          <w:lang w:val="cs-CZ"/>
        </w:rPr>
        <w:t xml:space="preserve">Uplatnění principu DNSH na </w:t>
      </w:r>
      <w:r w:rsidRPr="00ED3950">
        <w:rPr>
          <w:b/>
          <w:bCs/>
          <w:lang w:val="cs-CZ"/>
        </w:rPr>
        <w:t xml:space="preserve">projekty </w:t>
      </w:r>
      <w:r w:rsidR="002F0156" w:rsidRPr="00ED3950">
        <w:rPr>
          <w:b/>
          <w:bCs/>
          <w:lang w:val="cs-CZ"/>
        </w:rPr>
        <w:t>výzkumu a vývoje (</w:t>
      </w:r>
      <w:proofErr w:type="spellStart"/>
      <w:r w:rsidRPr="00ED3950">
        <w:rPr>
          <w:b/>
          <w:bCs/>
          <w:lang w:val="cs-CZ"/>
        </w:rPr>
        <w:t>VaV</w:t>
      </w:r>
      <w:proofErr w:type="spellEnd"/>
      <w:r w:rsidR="002F0156" w:rsidRPr="00ED3950">
        <w:rPr>
          <w:b/>
          <w:bCs/>
          <w:lang w:val="cs-CZ"/>
        </w:rPr>
        <w:t xml:space="preserve">) </w:t>
      </w:r>
      <w:r w:rsidRPr="00ED3950">
        <w:rPr>
          <w:b/>
          <w:bCs/>
          <w:lang w:val="cs-CZ"/>
        </w:rPr>
        <w:t>a ekologické inovace</w:t>
      </w:r>
      <w:r w:rsidR="002F0156" w:rsidRPr="00ED3950">
        <w:rPr>
          <w:b/>
          <w:bCs/>
          <w:lang w:val="cs-CZ"/>
        </w:rPr>
        <w:t>.</w:t>
      </w:r>
    </w:p>
    <w:p w:rsidR="00D94B7A" w:rsidRPr="00ED3950" w:rsidRDefault="00D94B7A" w:rsidP="00DD0D15">
      <w:pPr>
        <w:tabs>
          <w:tab w:val="left" w:pos="1134"/>
        </w:tabs>
        <w:rPr>
          <w:lang w:val="cs-CZ"/>
        </w:rPr>
      </w:pPr>
    </w:p>
    <w:p w:rsidR="005840C5" w:rsidRPr="00ED3950" w:rsidRDefault="00ED3950">
      <w:pPr>
        <w:pStyle w:val="Titulek"/>
        <w:keepNext/>
        <w:rPr>
          <w:lang w:val="cs-CZ"/>
        </w:rPr>
      </w:pPr>
      <w:r w:rsidRPr="00ED3950">
        <w:rPr>
          <w:lang w:val="cs-CZ"/>
        </w:rPr>
        <w:t xml:space="preserve">Tabulka </w:t>
      </w:r>
      <w:r w:rsidR="0094316D" w:rsidRPr="00ED3950">
        <w:rPr>
          <w:lang w:val="cs-CZ"/>
        </w:rPr>
        <w:fldChar w:fldCharType="begin"/>
      </w:r>
      <w:r w:rsidR="0094316D" w:rsidRPr="00ED3950">
        <w:rPr>
          <w:lang w:val="cs-CZ"/>
        </w:rPr>
        <w:instrText xml:space="preserve"> SEQ Table \* ARABIC </w:instrText>
      </w:r>
      <w:r w:rsidR="0094316D" w:rsidRPr="00ED3950">
        <w:rPr>
          <w:lang w:val="cs-CZ"/>
        </w:rPr>
        <w:fldChar w:fldCharType="separate"/>
      </w:r>
      <w:r w:rsidR="003E3777" w:rsidRPr="00ED3950">
        <w:rPr>
          <w:lang w:val="cs-CZ"/>
        </w:rPr>
        <w:t>1</w:t>
      </w:r>
      <w:r w:rsidR="0094316D" w:rsidRPr="00ED3950">
        <w:rPr>
          <w:lang w:val="cs-CZ"/>
        </w:rPr>
        <w:fldChar w:fldCharType="end"/>
      </w:r>
      <w:r w:rsidRPr="00ED3950">
        <w:rPr>
          <w:lang w:val="cs-CZ"/>
        </w:rPr>
        <w:t xml:space="preserve"> Konsolidovaná matice výběrových kritérií pro analýzu získaných zkušeností</w:t>
      </w:r>
    </w:p>
    <w:tbl>
      <w:tblPr>
        <w:tblStyle w:val="Mkatabulky"/>
        <w:tblW w:w="0" w:type="auto"/>
        <w:tblInd w:w="562" w:type="dxa"/>
        <w:tblLook w:val="04A0" w:firstRow="1" w:lastRow="0" w:firstColumn="1" w:lastColumn="0" w:noHBand="0" w:noVBand="1"/>
      </w:tblPr>
      <w:tblGrid>
        <w:gridCol w:w="408"/>
        <w:gridCol w:w="2620"/>
        <w:gridCol w:w="3351"/>
        <w:gridCol w:w="2075"/>
      </w:tblGrid>
      <w:tr w:rsidR="006E5A57" w:rsidRPr="00ED3950" w:rsidTr="00871226">
        <w:tc>
          <w:tcPr>
            <w:tcW w:w="0" w:type="auto"/>
            <w:shd w:val="clear" w:color="auto" w:fill="002C54" w:themeFill="accent5"/>
          </w:tcPr>
          <w:p w:rsidR="002D0FB7" w:rsidRPr="00ED3950" w:rsidRDefault="002D0FB7" w:rsidP="00E15BF6">
            <w:pPr>
              <w:spacing w:line="240" w:lineRule="atLeast"/>
              <w:ind w:left="0"/>
              <w:jc w:val="both"/>
              <w:rPr>
                <w:b/>
                <w:color w:val="FFFFFF" w:themeColor="background1"/>
                <w:sz w:val="16"/>
                <w:lang w:val="cs-CZ"/>
              </w:rPr>
            </w:pPr>
          </w:p>
        </w:tc>
        <w:tc>
          <w:tcPr>
            <w:tcW w:w="0" w:type="auto"/>
            <w:shd w:val="clear" w:color="auto" w:fill="002C54" w:themeFill="accent5"/>
          </w:tcPr>
          <w:p w:rsidR="005840C5" w:rsidRPr="00ED3950" w:rsidRDefault="00ED3950">
            <w:pPr>
              <w:spacing w:line="240" w:lineRule="atLeast"/>
              <w:ind w:left="0"/>
              <w:jc w:val="both"/>
              <w:rPr>
                <w:b/>
                <w:color w:val="FFFFFF" w:themeColor="background1"/>
                <w:sz w:val="16"/>
                <w:lang w:val="cs-CZ"/>
              </w:rPr>
            </w:pPr>
            <w:r w:rsidRPr="00ED3950">
              <w:rPr>
                <w:b/>
                <w:color w:val="FFFFFF" w:themeColor="background1"/>
                <w:sz w:val="16"/>
                <w:lang w:val="cs-CZ"/>
              </w:rPr>
              <w:t xml:space="preserve">Prvky </w:t>
            </w:r>
            <w:r w:rsidR="00483E52" w:rsidRPr="00ED3950">
              <w:rPr>
                <w:b/>
                <w:color w:val="FFFFFF" w:themeColor="background1"/>
                <w:sz w:val="16"/>
                <w:lang w:val="cs-CZ"/>
              </w:rPr>
              <w:t xml:space="preserve">a výzvy pro </w:t>
            </w:r>
            <w:r w:rsidRPr="00ED3950">
              <w:rPr>
                <w:b/>
                <w:color w:val="FFFFFF" w:themeColor="background1"/>
                <w:sz w:val="16"/>
                <w:lang w:val="cs-CZ"/>
              </w:rPr>
              <w:t xml:space="preserve">výměnu zkušeností s partnerskými </w:t>
            </w:r>
            <w:r w:rsidRPr="00ED3950">
              <w:rPr>
                <w:b/>
                <w:color w:val="FFFFFF" w:themeColor="background1"/>
                <w:sz w:val="16"/>
                <w:lang w:val="cs-CZ"/>
              </w:rPr>
              <w:t>členskými státy</w:t>
            </w:r>
          </w:p>
        </w:tc>
        <w:tc>
          <w:tcPr>
            <w:tcW w:w="0" w:type="auto"/>
            <w:shd w:val="clear" w:color="auto" w:fill="002C54" w:themeFill="accent5"/>
          </w:tcPr>
          <w:p w:rsidR="005840C5" w:rsidRPr="00ED3950" w:rsidRDefault="00ED3950">
            <w:pPr>
              <w:spacing w:line="240" w:lineRule="atLeast"/>
              <w:ind w:left="0"/>
              <w:rPr>
                <w:b/>
                <w:color w:val="FFFFFF" w:themeColor="background1"/>
                <w:sz w:val="16"/>
                <w:lang w:val="cs-CZ"/>
              </w:rPr>
            </w:pPr>
            <w:r w:rsidRPr="00ED3950">
              <w:rPr>
                <w:b/>
                <w:color w:val="FFFFFF" w:themeColor="background1"/>
                <w:sz w:val="16"/>
                <w:lang w:val="cs-CZ"/>
              </w:rPr>
              <w:t xml:space="preserve">Odůvodnění </w:t>
            </w:r>
            <w:r w:rsidRPr="00ED3950">
              <w:rPr>
                <w:b/>
                <w:color w:val="FFFFFF" w:themeColor="background1"/>
                <w:sz w:val="16"/>
                <w:lang w:val="cs-CZ"/>
              </w:rPr>
              <w:t>výběru členských států</w:t>
            </w:r>
          </w:p>
        </w:tc>
        <w:tc>
          <w:tcPr>
            <w:tcW w:w="0" w:type="auto"/>
            <w:shd w:val="clear" w:color="auto" w:fill="002C54" w:themeFill="accent5"/>
          </w:tcPr>
          <w:p w:rsidR="005840C5" w:rsidRPr="00ED3950" w:rsidRDefault="00ED3950">
            <w:pPr>
              <w:spacing w:line="240" w:lineRule="atLeast"/>
              <w:ind w:left="0"/>
              <w:rPr>
                <w:b/>
                <w:color w:val="FFFFFF" w:themeColor="background1"/>
                <w:sz w:val="16"/>
                <w:lang w:val="cs-CZ"/>
              </w:rPr>
            </w:pPr>
            <w:r w:rsidRPr="00ED3950">
              <w:rPr>
                <w:b/>
                <w:color w:val="FFFFFF" w:themeColor="background1"/>
                <w:sz w:val="16"/>
                <w:lang w:val="cs-CZ"/>
              </w:rPr>
              <w:t>Změny na základě kroků 1 a 2</w:t>
            </w:r>
          </w:p>
        </w:tc>
      </w:tr>
      <w:tr w:rsidR="006E5A57" w:rsidRPr="00ED3950" w:rsidTr="00C54B61">
        <w:tc>
          <w:tcPr>
            <w:tcW w:w="0" w:type="auto"/>
            <w:shd w:val="clear" w:color="auto" w:fill="E0EBEB" w:themeFill="accent3" w:themeFillTint="66"/>
          </w:tcPr>
          <w:p w:rsidR="005840C5" w:rsidRPr="00ED3950" w:rsidRDefault="00ED3950">
            <w:pPr>
              <w:spacing w:line="240" w:lineRule="atLeast"/>
              <w:ind w:left="0"/>
              <w:rPr>
                <w:b/>
                <w:color w:val="000000" w:themeColor="text1"/>
                <w:sz w:val="16"/>
                <w:lang w:val="cs-CZ"/>
              </w:rPr>
            </w:pPr>
            <w:r w:rsidRPr="00ED3950">
              <w:rPr>
                <w:b/>
                <w:color w:val="000000" w:themeColor="text1"/>
                <w:sz w:val="16"/>
                <w:lang w:val="cs-CZ"/>
              </w:rPr>
              <w:lastRenderedPageBreak/>
              <w:t>C1</w:t>
            </w:r>
          </w:p>
        </w:tc>
        <w:tc>
          <w:tcPr>
            <w:tcW w:w="0" w:type="auto"/>
          </w:tcPr>
          <w:p w:rsidR="005840C5" w:rsidRPr="00ED3950" w:rsidRDefault="00ED3950">
            <w:pPr>
              <w:spacing w:line="240" w:lineRule="atLeast"/>
              <w:ind w:left="0"/>
              <w:rPr>
                <w:bCs/>
                <w:color w:val="000000" w:themeColor="text1"/>
                <w:sz w:val="16"/>
                <w:lang w:val="cs-CZ"/>
              </w:rPr>
            </w:pPr>
            <w:r w:rsidRPr="00ED3950">
              <w:rPr>
                <w:color w:val="000000" w:themeColor="text1"/>
                <w:sz w:val="16"/>
                <w:lang w:val="cs-CZ"/>
              </w:rPr>
              <w:t>Provádění zásady DNSH v projektech soukromých subjektů v podobném ekonomickém kontextu a v podobném prostředí správy a řízení.</w:t>
            </w:r>
          </w:p>
          <w:p w:rsidR="00CA723A" w:rsidRPr="00ED3950" w:rsidRDefault="00CA723A" w:rsidP="00E15BF6">
            <w:pPr>
              <w:spacing w:line="240" w:lineRule="atLeast"/>
              <w:ind w:left="0"/>
              <w:rPr>
                <w:bCs/>
                <w:color w:val="000000" w:themeColor="text1"/>
                <w:sz w:val="16"/>
                <w:lang w:val="cs-CZ"/>
              </w:rPr>
            </w:pPr>
          </w:p>
          <w:p w:rsidR="005840C5" w:rsidRPr="00ED3950" w:rsidRDefault="00CA723A">
            <w:pPr>
              <w:spacing w:line="240" w:lineRule="atLeast"/>
              <w:ind w:left="0"/>
              <w:rPr>
                <w:bCs/>
                <w:color w:val="000000" w:themeColor="text1"/>
                <w:sz w:val="16"/>
                <w:lang w:val="cs-CZ"/>
              </w:rPr>
            </w:pPr>
            <w:r w:rsidRPr="00ED3950">
              <w:rPr>
                <w:b/>
                <w:color w:val="000000" w:themeColor="text1"/>
                <w:sz w:val="16"/>
                <w:u w:val="single"/>
                <w:lang w:val="cs-CZ"/>
              </w:rPr>
              <w:t xml:space="preserve">Výzva: </w:t>
            </w:r>
            <w:r w:rsidRPr="00ED3950">
              <w:rPr>
                <w:color w:val="000000" w:themeColor="text1"/>
                <w:sz w:val="16"/>
                <w:lang w:val="cs-CZ"/>
              </w:rPr>
              <w:t xml:space="preserve">Procesy a </w:t>
            </w:r>
            <w:r w:rsidRPr="00ED3950">
              <w:rPr>
                <w:bCs/>
                <w:color w:val="000000" w:themeColor="text1"/>
                <w:sz w:val="16"/>
                <w:lang w:val="cs-CZ"/>
              </w:rPr>
              <w:t>postupy</w:t>
            </w:r>
            <w:r w:rsidRPr="00ED3950">
              <w:rPr>
                <w:color w:val="000000" w:themeColor="text1"/>
                <w:sz w:val="16"/>
                <w:lang w:val="cs-CZ"/>
              </w:rPr>
              <w:t xml:space="preserve"> řízení </w:t>
            </w:r>
          </w:p>
          <w:p w:rsidR="00D31676" w:rsidRPr="00ED3950" w:rsidRDefault="00D31676" w:rsidP="00CA723A">
            <w:pPr>
              <w:spacing w:line="240" w:lineRule="atLeast"/>
              <w:ind w:left="0"/>
              <w:rPr>
                <w:color w:val="000000" w:themeColor="text1"/>
                <w:sz w:val="16"/>
                <w:lang w:val="cs-CZ"/>
              </w:rPr>
            </w:pPr>
          </w:p>
        </w:tc>
        <w:tc>
          <w:tcPr>
            <w:tcW w:w="0" w:type="auto"/>
          </w:tcPr>
          <w:p w:rsidR="005840C5" w:rsidRPr="00ED3950" w:rsidRDefault="00ED3950">
            <w:pPr>
              <w:spacing w:line="240" w:lineRule="atLeast"/>
              <w:ind w:left="0"/>
              <w:rPr>
                <w:color w:val="000000" w:themeColor="text1"/>
                <w:sz w:val="16"/>
                <w:lang w:val="cs-CZ"/>
              </w:rPr>
            </w:pPr>
            <w:r w:rsidRPr="00ED3950">
              <w:rPr>
                <w:color w:val="000000" w:themeColor="text1"/>
                <w:sz w:val="16"/>
                <w:lang w:val="cs-CZ"/>
              </w:rPr>
              <w:t>Členský stát využívá Fond spravedlivého přechodu a/nebo vypracovává pokyny pro zásadu DNSH decentralizovaným způsobem (tj. za účasti rovnoměrně několika správních orgánů)</w:t>
            </w:r>
            <w:r w:rsidR="002471BE" w:rsidRPr="00ED3950">
              <w:rPr>
                <w:color w:val="000000" w:themeColor="text1"/>
                <w:sz w:val="16"/>
                <w:lang w:val="cs-CZ"/>
              </w:rPr>
              <w:t>.</w:t>
            </w:r>
          </w:p>
        </w:tc>
        <w:tc>
          <w:tcPr>
            <w:tcW w:w="0" w:type="auto"/>
          </w:tcPr>
          <w:p w:rsidR="005840C5" w:rsidRPr="00ED3950" w:rsidRDefault="00ED3950">
            <w:pPr>
              <w:spacing w:line="240" w:lineRule="atLeast"/>
              <w:ind w:left="0"/>
              <w:rPr>
                <w:color w:val="000000" w:themeColor="text1"/>
                <w:sz w:val="16"/>
                <w:lang w:val="cs-CZ"/>
              </w:rPr>
            </w:pPr>
            <w:r w:rsidRPr="00ED3950">
              <w:rPr>
                <w:b/>
                <w:color w:val="000000" w:themeColor="text1"/>
                <w:sz w:val="16"/>
                <w:lang w:val="cs-CZ"/>
              </w:rPr>
              <w:t xml:space="preserve">Sloučení </w:t>
            </w:r>
            <w:r w:rsidRPr="00ED3950">
              <w:rPr>
                <w:color w:val="000000" w:themeColor="text1"/>
                <w:sz w:val="16"/>
                <w:lang w:val="cs-CZ"/>
              </w:rPr>
              <w:t xml:space="preserve">kritérií týkajících se </w:t>
            </w:r>
            <w:r w:rsidRPr="00ED3950">
              <w:rPr>
                <w:b/>
                <w:color w:val="000000" w:themeColor="text1"/>
                <w:sz w:val="16"/>
                <w:lang w:val="cs-CZ"/>
              </w:rPr>
              <w:t xml:space="preserve">podobného hospodářského kontextu </w:t>
            </w:r>
            <w:r w:rsidRPr="00ED3950">
              <w:rPr>
                <w:color w:val="000000" w:themeColor="text1"/>
                <w:sz w:val="16"/>
                <w:lang w:val="cs-CZ"/>
              </w:rPr>
              <w:t>s kritérii týkající</w:t>
            </w:r>
            <w:r w:rsidRPr="00ED3950">
              <w:rPr>
                <w:color w:val="000000" w:themeColor="text1"/>
                <w:sz w:val="16"/>
                <w:lang w:val="cs-CZ"/>
              </w:rPr>
              <w:t xml:space="preserve">mi se </w:t>
            </w:r>
            <w:r w:rsidRPr="00ED3950">
              <w:rPr>
                <w:b/>
                <w:color w:val="000000" w:themeColor="text1"/>
                <w:sz w:val="16"/>
                <w:lang w:val="cs-CZ"/>
              </w:rPr>
              <w:t>podobného prostředí správy a řízení.</w:t>
            </w:r>
          </w:p>
        </w:tc>
      </w:tr>
      <w:tr w:rsidR="006E5A57" w:rsidRPr="00ED3950" w:rsidTr="00C54B61">
        <w:tc>
          <w:tcPr>
            <w:tcW w:w="0" w:type="auto"/>
            <w:shd w:val="clear" w:color="auto" w:fill="E0EBEB" w:themeFill="accent3" w:themeFillTint="66"/>
          </w:tcPr>
          <w:p w:rsidR="005840C5" w:rsidRPr="00ED3950" w:rsidRDefault="00ED3950">
            <w:pPr>
              <w:spacing w:line="240" w:lineRule="atLeast"/>
              <w:ind w:left="0"/>
              <w:rPr>
                <w:b/>
                <w:color w:val="000000" w:themeColor="text1"/>
                <w:sz w:val="16"/>
                <w:lang w:val="cs-CZ"/>
              </w:rPr>
            </w:pPr>
            <w:r w:rsidRPr="00ED3950">
              <w:rPr>
                <w:b/>
                <w:color w:val="000000" w:themeColor="text1"/>
                <w:sz w:val="16"/>
                <w:lang w:val="cs-CZ"/>
              </w:rPr>
              <w:t>C2</w:t>
            </w:r>
          </w:p>
        </w:tc>
        <w:tc>
          <w:tcPr>
            <w:tcW w:w="0" w:type="auto"/>
          </w:tcPr>
          <w:p w:rsidR="005840C5" w:rsidRPr="00ED3950" w:rsidRDefault="00ED3950">
            <w:pPr>
              <w:spacing w:line="240" w:lineRule="atLeast"/>
              <w:ind w:left="0"/>
              <w:rPr>
                <w:bCs/>
                <w:color w:val="000000" w:themeColor="text1"/>
                <w:sz w:val="16"/>
                <w:lang w:val="cs-CZ"/>
              </w:rPr>
            </w:pPr>
            <w:r w:rsidRPr="00ED3950">
              <w:rPr>
                <w:color w:val="000000" w:themeColor="text1"/>
                <w:sz w:val="16"/>
                <w:lang w:val="cs-CZ"/>
              </w:rPr>
              <w:t xml:space="preserve">Uplatňování principu DNSH v transformujících se odvětvích, která se nacházejí v podobné fázi vyspělosti jako </w:t>
            </w:r>
            <w:r w:rsidRPr="00ED3950">
              <w:rPr>
                <w:rFonts w:eastAsia="Trebuchet MS" w:cs="Trebuchet MS"/>
                <w:color w:val="000000" w:themeColor="text1"/>
                <w:sz w:val="16"/>
                <w:szCs w:val="16"/>
                <w:lang w:val="cs-CZ"/>
              </w:rPr>
              <w:t xml:space="preserve">v </w:t>
            </w:r>
            <w:r w:rsidRPr="00ED3950">
              <w:rPr>
                <w:color w:val="000000" w:themeColor="text1"/>
                <w:sz w:val="16"/>
                <w:lang w:val="cs-CZ"/>
              </w:rPr>
              <w:t>České republice.</w:t>
            </w:r>
          </w:p>
          <w:p w:rsidR="00CA723A" w:rsidRPr="00ED3950" w:rsidRDefault="00CA723A" w:rsidP="00E15BF6">
            <w:pPr>
              <w:spacing w:line="240" w:lineRule="atLeast"/>
              <w:ind w:left="0"/>
              <w:rPr>
                <w:bCs/>
                <w:color w:val="000000" w:themeColor="text1"/>
                <w:sz w:val="16"/>
                <w:lang w:val="cs-CZ"/>
              </w:rPr>
            </w:pPr>
          </w:p>
          <w:p w:rsidR="005840C5" w:rsidRPr="00ED3950" w:rsidRDefault="00ED3950">
            <w:pPr>
              <w:spacing w:line="240" w:lineRule="atLeast"/>
              <w:ind w:left="0"/>
              <w:rPr>
                <w:bCs/>
                <w:color w:val="000000" w:themeColor="text1"/>
                <w:sz w:val="16"/>
                <w:lang w:val="cs-CZ"/>
              </w:rPr>
            </w:pPr>
            <w:r w:rsidRPr="00ED3950">
              <w:rPr>
                <w:b/>
                <w:color w:val="000000" w:themeColor="text1"/>
                <w:sz w:val="16"/>
                <w:u w:val="single"/>
                <w:lang w:val="cs-CZ"/>
              </w:rPr>
              <w:t xml:space="preserve">Výzva: </w:t>
            </w:r>
            <w:r w:rsidRPr="00ED3950">
              <w:rPr>
                <w:bCs/>
                <w:color w:val="000000" w:themeColor="text1"/>
                <w:sz w:val="16"/>
                <w:lang w:val="cs-CZ"/>
              </w:rPr>
              <w:t xml:space="preserve">Zavedení aplikace DNSH </w:t>
            </w:r>
            <w:r w:rsidRPr="00ED3950">
              <w:rPr>
                <w:b/>
                <w:bCs/>
                <w:color w:val="000000" w:themeColor="text1"/>
                <w:sz w:val="16"/>
                <w:lang w:val="cs-CZ"/>
              </w:rPr>
              <w:t xml:space="preserve">- </w:t>
            </w:r>
            <w:r w:rsidRPr="00ED3950">
              <w:rPr>
                <w:color w:val="000000" w:themeColor="text1"/>
                <w:sz w:val="16"/>
                <w:lang w:val="cs-CZ"/>
              </w:rPr>
              <w:t xml:space="preserve">zjednodušené a podrobné </w:t>
            </w:r>
            <w:r w:rsidRPr="00ED3950">
              <w:rPr>
                <w:bCs/>
                <w:color w:val="000000" w:themeColor="text1"/>
                <w:sz w:val="16"/>
                <w:lang w:val="cs-CZ"/>
              </w:rPr>
              <w:t xml:space="preserve">posouzení </w:t>
            </w:r>
          </w:p>
          <w:p w:rsidR="00D31676" w:rsidRPr="00ED3950" w:rsidRDefault="00D31676" w:rsidP="00CA723A">
            <w:pPr>
              <w:spacing w:line="240" w:lineRule="atLeast"/>
              <w:ind w:left="0"/>
              <w:rPr>
                <w:color w:val="000000" w:themeColor="text1"/>
                <w:sz w:val="16"/>
                <w:lang w:val="cs-CZ"/>
              </w:rPr>
            </w:pPr>
          </w:p>
        </w:tc>
        <w:tc>
          <w:tcPr>
            <w:tcW w:w="0" w:type="auto"/>
          </w:tcPr>
          <w:p w:rsidR="005840C5" w:rsidRPr="00ED3950" w:rsidRDefault="00ED3950">
            <w:pPr>
              <w:spacing w:line="240" w:lineRule="atLeast"/>
              <w:ind w:left="0"/>
              <w:rPr>
                <w:color w:val="000000" w:themeColor="text1"/>
                <w:sz w:val="16"/>
                <w:lang w:val="cs-CZ"/>
              </w:rPr>
            </w:pPr>
            <w:r w:rsidRPr="00ED3950">
              <w:rPr>
                <w:color w:val="000000" w:themeColor="text1"/>
                <w:sz w:val="16"/>
                <w:lang w:val="cs-CZ"/>
              </w:rPr>
              <w:t xml:space="preserve">Členský stát </w:t>
            </w:r>
            <w:r w:rsidRPr="00ED3950">
              <w:rPr>
                <w:color w:val="000000" w:themeColor="text1"/>
                <w:sz w:val="16"/>
                <w:lang w:val="cs-CZ"/>
              </w:rPr>
              <w:t>uplatňuje zásadu DNSH na operace a projekty v oblasti kybernetické bezpečnosti, výzkumu a vývoje, konkurenceschopnosti, zdraví a sociálních věcí</w:t>
            </w:r>
            <w:r w:rsidR="002471BE" w:rsidRPr="00ED3950">
              <w:rPr>
                <w:color w:val="000000" w:themeColor="text1"/>
                <w:sz w:val="16"/>
                <w:lang w:val="cs-CZ"/>
              </w:rPr>
              <w:t>.</w:t>
            </w:r>
          </w:p>
        </w:tc>
        <w:tc>
          <w:tcPr>
            <w:tcW w:w="0" w:type="auto"/>
          </w:tcPr>
          <w:p w:rsidR="005840C5" w:rsidRPr="00ED3950" w:rsidRDefault="00ED3950">
            <w:pPr>
              <w:spacing w:line="240" w:lineRule="atLeast"/>
              <w:ind w:left="0"/>
              <w:rPr>
                <w:b/>
                <w:bCs/>
                <w:color w:val="000000" w:themeColor="text1"/>
                <w:sz w:val="16"/>
                <w:lang w:val="cs-CZ"/>
              </w:rPr>
            </w:pPr>
            <w:r w:rsidRPr="00ED3950">
              <w:rPr>
                <w:color w:val="000000" w:themeColor="text1"/>
                <w:sz w:val="16"/>
                <w:lang w:val="cs-CZ"/>
              </w:rPr>
              <w:t xml:space="preserve">Přechodná odvětví by se měla zaměřit především na odvětví, která vyžadují </w:t>
            </w:r>
            <w:r w:rsidRPr="00ED3950">
              <w:rPr>
                <w:b/>
                <w:color w:val="000000" w:themeColor="text1"/>
                <w:sz w:val="16"/>
                <w:lang w:val="cs-CZ"/>
              </w:rPr>
              <w:t>zjednodušené hodnocení.</w:t>
            </w:r>
          </w:p>
          <w:p w:rsidR="002471BE" w:rsidRPr="00ED3950" w:rsidRDefault="002471BE" w:rsidP="00E15BF6">
            <w:pPr>
              <w:spacing w:line="240" w:lineRule="atLeast"/>
              <w:ind w:left="0"/>
              <w:rPr>
                <w:color w:val="000000" w:themeColor="text1"/>
                <w:sz w:val="16"/>
                <w:lang w:val="cs-CZ"/>
              </w:rPr>
            </w:pPr>
          </w:p>
        </w:tc>
      </w:tr>
      <w:tr w:rsidR="006E5A57" w:rsidRPr="00ED3950" w:rsidTr="00C54B61">
        <w:tc>
          <w:tcPr>
            <w:tcW w:w="0" w:type="auto"/>
            <w:shd w:val="clear" w:color="auto" w:fill="E0EBEB" w:themeFill="accent3" w:themeFillTint="66"/>
          </w:tcPr>
          <w:p w:rsidR="005840C5" w:rsidRPr="00ED3950" w:rsidRDefault="00ED3950">
            <w:pPr>
              <w:spacing w:line="240" w:lineRule="atLeast"/>
              <w:ind w:left="0"/>
              <w:rPr>
                <w:b/>
                <w:color w:val="000000" w:themeColor="text1"/>
                <w:sz w:val="16"/>
                <w:lang w:val="cs-CZ"/>
              </w:rPr>
            </w:pPr>
            <w:r w:rsidRPr="00ED3950">
              <w:rPr>
                <w:b/>
                <w:color w:val="000000" w:themeColor="text1"/>
                <w:sz w:val="16"/>
                <w:lang w:val="cs-CZ"/>
              </w:rPr>
              <w:t>C3</w:t>
            </w:r>
          </w:p>
        </w:tc>
        <w:tc>
          <w:tcPr>
            <w:tcW w:w="0" w:type="auto"/>
          </w:tcPr>
          <w:p w:rsidR="005840C5" w:rsidRPr="00ED3950" w:rsidRDefault="00ED3950">
            <w:pPr>
              <w:spacing w:line="240" w:lineRule="atLeast"/>
              <w:ind w:left="0"/>
              <w:rPr>
                <w:bCs/>
                <w:color w:val="000000" w:themeColor="text1"/>
                <w:sz w:val="16"/>
                <w:lang w:val="cs-CZ"/>
              </w:rPr>
            </w:pPr>
            <w:r w:rsidRPr="00ED3950">
              <w:rPr>
                <w:color w:val="000000" w:themeColor="text1"/>
                <w:sz w:val="16"/>
                <w:lang w:val="cs-CZ"/>
              </w:rPr>
              <w:t>Provádění zásady DNSH v klíčových odvětvích, která byla identifikována v RRP a u nichž je nejpravděpodobnější, že budou představovat riziko závažné újmy na úrovni provádění.</w:t>
            </w:r>
          </w:p>
          <w:p w:rsidR="00CA723A" w:rsidRPr="00ED3950" w:rsidRDefault="00CA723A" w:rsidP="00E15BF6">
            <w:pPr>
              <w:spacing w:line="240" w:lineRule="atLeast"/>
              <w:ind w:left="0"/>
              <w:rPr>
                <w:bCs/>
                <w:color w:val="000000" w:themeColor="text1"/>
                <w:sz w:val="16"/>
                <w:lang w:val="cs-CZ"/>
              </w:rPr>
            </w:pPr>
          </w:p>
          <w:p w:rsidR="005840C5" w:rsidRPr="00ED3950" w:rsidRDefault="00ED3950">
            <w:pPr>
              <w:spacing w:line="240" w:lineRule="atLeast"/>
              <w:ind w:left="0"/>
              <w:rPr>
                <w:color w:val="000000" w:themeColor="text1"/>
                <w:sz w:val="16"/>
                <w:lang w:val="cs-CZ"/>
              </w:rPr>
            </w:pPr>
            <w:r w:rsidRPr="00ED3950">
              <w:rPr>
                <w:b/>
                <w:color w:val="000000" w:themeColor="text1"/>
                <w:sz w:val="16"/>
                <w:u w:val="single"/>
                <w:lang w:val="cs-CZ"/>
              </w:rPr>
              <w:t xml:space="preserve">Výzva: </w:t>
            </w:r>
            <w:r w:rsidRPr="00ED3950">
              <w:rPr>
                <w:bCs/>
                <w:color w:val="000000" w:themeColor="text1"/>
                <w:sz w:val="16"/>
                <w:lang w:val="cs-CZ"/>
              </w:rPr>
              <w:t xml:space="preserve">Aplikace principu DNSH na </w:t>
            </w:r>
            <w:r w:rsidRPr="00ED3950">
              <w:rPr>
                <w:color w:val="000000" w:themeColor="text1"/>
                <w:sz w:val="16"/>
                <w:lang w:val="cs-CZ"/>
              </w:rPr>
              <w:t>projekty výzkumu a vývoje a zelené inovace</w:t>
            </w:r>
          </w:p>
          <w:p w:rsidR="00D31676" w:rsidRPr="00ED3950" w:rsidRDefault="00D31676" w:rsidP="00CA723A">
            <w:pPr>
              <w:spacing w:line="240" w:lineRule="atLeast"/>
              <w:ind w:left="0"/>
              <w:rPr>
                <w:color w:val="000000" w:themeColor="text1"/>
                <w:sz w:val="16"/>
                <w:lang w:val="cs-CZ"/>
              </w:rPr>
            </w:pPr>
          </w:p>
        </w:tc>
        <w:tc>
          <w:tcPr>
            <w:tcW w:w="0" w:type="auto"/>
          </w:tcPr>
          <w:p w:rsidR="005840C5" w:rsidRPr="00ED3950" w:rsidRDefault="00ED3950">
            <w:pPr>
              <w:spacing w:line="240" w:lineRule="atLeast"/>
              <w:ind w:left="0"/>
              <w:rPr>
                <w:color w:val="000000" w:themeColor="text1"/>
                <w:sz w:val="16"/>
                <w:lang w:val="cs-CZ"/>
              </w:rPr>
            </w:pPr>
            <w:r w:rsidRPr="00ED3950">
              <w:rPr>
                <w:color w:val="000000" w:themeColor="text1"/>
                <w:sz w:val="16"/>
                <w:lang w:val="cs-CZ"/>
              </w:rPr>
              <w:t xml:space="preserve">Posouzení RRP členského státu identifikovalo rizika v oblasti ochrany přírody a přizpůsobení se změně klimatu v odvětví vodohospodářské infrastruktury, udržitelného využívání bioenergie, podpory vozidel s nulovými nebo nízkými emisemi a opětovného využití </w:t>
            </w:r>
            <w:r w:rsidRPr="00ED3950">
              <w:rPr>
                <w:color w:val="000000" w:themeColor="text1"/>
                <w:sz w:val="16"/>
                <w:lang w:val="cs-CZ"/>
              </w:rPr>
              <w:t>nebo recyklace stavebního odpadu</w:t>
            </w:r>
            <w:r w:rsidR="007347CA" w:rsidRPr="00ED3950">
              <w:rPr>
                <w:color w:val="000000" w:themeColor="text1"/>
                <w:sz w:val="16"/>
                <w:lang w:val="cs-CZ"/>
              </w:rPr>
              <w:t xml:space="preserve">; </w:t>
            </w:r>
            <w:r w:rsidR="007347CA" w:rsidRPr="00ED3950">
              <w:rPr>
                <w:i/>
                <w:iCs/>
                <w:color w:val="000000" w:themeColor="text1"/>
                <w:sz w:val="16"/>
                <w:lang w:val="cs-CZ"/>
              </w:rPr>
              <w:t>nebo</w:t>
            </w:r>
          </w:p>
          <w:p w:rsidR="005840C5" w:rsidRPr="00ED3950" w:rsidRDefault="00ED3950">
            <w:pPr>
              <w:spacing w:line="240" w:lineRule="atLeast"/>
              <w:ind w:left="0"/>
              <w:rPr>
                <w:color w:val="000000" w:themeColor="text1"/>
                <w:sz w:val="16"/>
                <w:lang w:val="cs-CZ"/>
              </w:rPr>
            </w:pPr>
            <w:r w:rsidRPr="00ED3950">
              <w:rPr>
                <w:color w:val="000000" w:themeColor="text1"/>
                <w:sz w:val="16"/>
                <w:lang w:val="cs-CZ"/>
              </w:rPr>
              <w:t xml:space="preserve">Krok 1 odhalil metodiku pro vytvoření </w:t>
            </w:r>
            <w:r w:rsidR="00DA77AD" w:rsidRPr="00ED3950">
              <w:rPr>
                <w:color w:val="000000" w:themeColor="text1"/>
                <w:sz w:val="16"/>
                <w:lang w:val="cs-CZ"/>
              </w:rPr>
              <w:t xml:space="preserve">specifických </w:t>
            </w:r>
            <w:r w:rsidRPr="00ED3950">
              <w:rPr>
                <w:color w:val="000000" w:themeColor="text1"/>
                <w:sz w:val="16"/>
                <w:lang w:val="cs-CZ"/>
              </w:rPr>
              <w:t xml:space="preserve">alternativních procesů a/nebo </w:t>
            </w:r>
            <w:r w:rsidR="00DA77AD" w:rsidRPr="00ED3950">
              <w:rPr>
                <w:color w:val="000000" w:themeColor="text1"/>
                <w:sz w:val="16"/>
                <w:lang w:val="cs-CZ"/>
              </w:rPr>
              <w:t>kritérií</w:t>
            </w:r>
            <w:r w:rsidRPr="00ED3950">
              <w:rPr>
                <w:color w:val="000000" w:themeColor="text1"/>
                <w:sz w:val="16"/>
                <w:lang w:val="cs-CZ"/>
              </w:rPr>
              <w:t xml:space="preserve"> DNSH. </w:t>
            </w:r>
          </w:p>
        </w:tc>
        <w:tc>
          <w:tcPr>
            <w:tcW w:w="0" w:type="auto"/>
          </w:tcPr>
          <w:p w:rsidR="005840C5" w:rsidRPr="00ED3950" w:rsidRDefault="00ED3950">
            <w:pPr>
              <w:spacing w:line="240" w:lineRule="atLeast"/>
              <w:ind w:left="0"/>
              <w:rPr>
                <w:color w:val="000000" w:themeColor="text1"/>
                <w:sz w:val="16"/>
                <w:lang w:val="cs-CZ"/>
              </w:rPr>
            </w:pPr>
            <w:r w:rsidRPr="00ED3950">
              <w:rPr>
                <w:color w:val="000000" w:themeColor="text1"/>
                <w:sz w:val="16"/>
                <w:lang w:val="cs-CZ"/>
              </w:rPr>
              <w:t xml:space="preserve">Je třeba se zaměřit na </w:t>
            </w:r>
            <w:r w:rsidRPr="00ED3950">
              <w:rPr>
                <w:b/>
                <w:color w:val="000000" w:themeColor="text1"/>
                <w:sz w:val="16"/>
                <w:lang w:val="cs-CZ"/>
              </w:rPr>
              <w:t xml:space="preserve">náročná odvětví </w:t>
            </w:r>
            <w:r w:rsidRPr="00ED3950">
              <w:rPr>
                <w:color w:val="000000" w:themeColor="text1"/>
                <w:sz w:val="16"/>
                <w:lang w:val="cs-CZ"/>
              </w:rPr>
              <w:t xml:space="preserve">(projekty související s biomasou a odpady v kritériích) </w:t>
            </w:r>
            <w:r w:rsidR="009252A1" w:rsidRPr="00ED3950">
              <w:rPr>
                <w:color w:val="000000" w:themeColor="text1"/>
                <w:sz w:val="16"/>
                <w:lang w:val="cs-CZ"/>
              </w:rPr>
              <w:t xml:space="preserve">a </w:t>
            </w:r>
            <w:r w:rsidR="006E5A57" w:rsidRPr="00ED3950">
              <w:rPr>
                <w:color w:val="000000" w:themeColor="text1"/>
                <w:sz w:val="16"/>
                <w:lang w:val="cs-CZ"/>
              </w:rPr>
              <w:t xml:space="preserve">diskutovat o </w:t>
            </w:r>
            <w:r w:rsidR="00384D85" w:rsidRPr="00ED3950">
              <w:rPr>
                <w:color w:val="000000" w:themeColor="text1"/>
                <w:sz w:val="16"/>
                <w:lang w:val="cs-CZ"/>
              </w:rPr>
              <w:t xml:space="preserve">alternativních </w:t>
            </w:r>
            <w:r w:rsidR="007A1912" w:rsidRPr="00ED3950">
              <w:rPr>
                <w:color w:val="000000" w:themeColor="text1"/>
                <w:sz w:val="16"/>
                <w:lang w:val="cs-CZ"/>
              </w:rPr>
              <w:t>kritériích a/nebo procesech.</w:t>
            </w:r>
          </w:p>
        </w:tc>
      </w:tr>
    </w:tbl>
    <w:p w:rsidR="005840C5" w:rsidRPr="00ED3950" w:rsidRDefault="00ED3950">
      <w:pPr>
        <w:rPr>
          <w:i/>
          <w:iCs/>
          <w:sz w:val="16"/>
          <w:szCs w:val="21"/>
          <w:lang w:val="cs-CZ"/>
        </w:rPr>
      </w:pPr>
      <w:r w:rsidRPr="00ED3950">
        <w:rPr>
          <w:i/>
          <w:iCs/>
          <w:sz w:val="16"/>
          <w:szCs w:val="21"/>
          <w:lang w:val="cs-CZ"/>
        </w:rPr>
        <w:t xml:space="preserve">Poznámka: Analýza </w:t>
      </w:r>
      <w:r w:rsidR="003A2C1F" w:rsidRPr="00ED3950">
        <w:rPr>
          <w:i/>
          <w:iCs/>
          <w:sz w:val="16"/>
          <w:szCs w:val="21"/>
          <w:lang w:val="cs-CZ"/>
        </w:rPr>
        <w:t xml:space="preserve">získaných zkušeností </w:t>
      </w:r>
      <w:r w:rsidRPr="00ED3950">
        <w:rPr>
          <w:i/>
          <w:iCs/>
          <w:sz w:val="16"/>
          <w:szCs w:val="21"/>
          <w:lang w:val="cs-CZ"/>
        </w:rPr>
        <w:t>zahrnuje jak dobré, tak špatné postupy a problémy, se kterými se potýkáme.</w:t>
      </w:r>
    </w:p>
    <w:p w:rsidR="00E15BF6" w:rsidRPr="00ED3950" w:rsidRDefault="00E15BF6" w:rsidP="00E15BF6">
      <w:pPr>
        <w:rPr>
          <w:lang w:val="cs-CZ"/>
        </w:rPr>
      </w:pPr>
    </w:p>
    <w:p w:rsidR="005840C5" w:rsidRPr="00ED3950" w:rsidRDefault="00ED3950">
      <w:pPr>
        <w:rPr>
          <w:lang w:val="cs-CZ"/>
        </w:rPr>
      </w:pPr>
      <w:r w:rsidRPr="00ED3950">
        <w:rPr>
          <w:lang w:val="cs-CZ"/>
        </w:rPr>
        <w:t xml:space="preserve">Ačkoli </w:t>
      </w:r>
      <w:r w:rsidR="006B276D" w:rsidRPr="00ED3950">
        <w:rPr>
          <w:lang w:val="cs-CZ"/>
        </w:rPr>
        <w:t xml:space="preserve">projektový tým </w:t>
      </w:r>
      <w:r w:rsidR="00A60168" w:rsidRPr="00ED3950">
        <w:rPr>
          <w:lang w:val="cs-CZ"/>
        </w:rPr>
        <w:t xml:space="preserve">původně navrhl </w:t>
      </w:r>
      <w:r w:rsidR="008166C8" w:rsidRPr="00ED3950">
        <w:rPr>
          <w:lang w:val="cs-CZ"/>
        </w:rPr>
        <w:t xml:space="preserve">vypracovat </w:t>
      </w:r>
      <w:r w:rsidR="00A60168" w:rsidRPr="00ED3950">
        <w:rPr>
          <w:lang w:val="cs-CZ"/>
        </w:rPr>
        <w:t xml:space="preserve">bodovací matici, která by hodnotila vývoj implementace DNSH </w:t>
      </w:r>
      <w:r w:rsidR="008166C8" w:rsidRPr="00ED3950">
        <w:rPr>
          <w:lang w:val="cs-CZ"/>
        </w:rPr>
        <w:t xml:space="preserve">podle každého z </w:t>
      </w:r>
      <w:r w:rsidR="000B50E6" w:rsidRPr="00ED3950">
        <w:rPr>
          <w:lang w:val="cs-CZ"/>
        </w:rPr>
        <w:t xml:space="preserve">výše uvedených kritérií a výzev DNSH, ukázalo se, že je to poměrně obtížné vzhledem k </w:t>
      </w:r>
      <w:r w:rsidR="00DA0545" w:rsidRPr="00ED3950">
        <w:rPr>
          <w:lang w:val="cs-CZ"/>
        </w:rPr>
        <w:t xml:space="preserve">poměrně omezené (nebo neexistující) </w:t>
      </w:r>
      <w:r w:rsidR="000B50E6" w:rsidRPr="00ED3950">
        <w:rPr>
          <w:lang w:val="cs-CZ"/>
        </w:rPr>
        <w:t xml:space="preserve">veřejně dostupné dokumentaci o </w:t>
      </w:r>
      <w:r w:rsidR="00DA0545" w:rsidRPr="00ED3950">
        <w:rPr>
          <w:lang w:val="cs-CZ"/>
        </w:rPr>
        <w:t xml:space="preserve">postupech, příkladech a zkušenostech z členských států EU v oblasti </w:t>
      </w:r>
      <w:r w:rsidR="00A00A88" w:rsidRPr="00ED3950">
        <w:rPr>
          <w:lang w:val="cs-CZ"/>
        </w:rPr>
        <w:t xml:space="preserve">implementace DNSH. Proto se projektový tým musel spoléhat především na osvědčené postupy, které </w:t>
      </w:r>
      <w:r w:rsidR="00671028" w:rsidRPr="00ED3950">
        <w:rPr>
          <w:lang w:val="cs-CZ"/>
        </w:rPr>
        <w:t xml:space="preserve">společnost </w:t>
      </w:r>
      <w:proofErr w:type="spellStart"/>
      <w:r w:rsidR="00671028" w:rsidRPr="00ED3950">
        <w:rPr>
          <w:lang w:val="cs-CZ"/>
        </w:rPr>
        <w:t>Trinomics</w:t>
      </w:r>
      <w:proofErr w:type="spellEnd"/>
      <w:r w:rsidR="00671028" w:rsidRPr="00ED3950">
        <w:rPr>
          <w:lang w:val="cs-CZ"/>
        </w:rPr>
        <w:t xml:space="preserve"> </w:t>
      </w:r>
      <w:r w:rsidRPr="00ED3950">
        <w:rPr>
          <w:lang w:val="cs-CZ"/>
        </w:rPr>
        <w:t xml:space="preserve">vypozorovala </w:t>
      </w:r>
      <w:r w:rsidR="00EC73C1" w:rsidRPr="00ED3950">
        <w:rPr>
          <w:lang w:val="cs-CZ"/>
        </w:rPr>
        <w:t xml:space="preserve">při práci v rámci TSI, prostřednictvím které </w:t>
      </w:r>
      <w:r w:rsidR="007C1E7A" w:rsidRPr="00ED3950">
        <w:rPr>
          <w:lang w:val="cs-CZ"/>
        </w:rPr>
        <w:t xml:space="preserve">poskytuje podporu při provádění a monitorování DNSH, v kombinaci s návrhy </w:t>
      </w:r>
      <w:r w:rsidR="00671028" w:rsidRPr="00ED3950">
        <w:rPr>
          <w:lang w:val="cs-CZ"/>
        </w:rPr>
        <w:t xml:space="preserve">útvarů Komise v </w:t>
      </w:r>
      <w:r w:rsidR="007C1E7A" w:rsidRPr="00ED3950">
        <w:rPr>
          <w:lang w:val="cs-CZ"/>
        </w:rPr>
        <w:t xml:space="preserve">rámci kol technických </w:t>
      </w:r>
      <w:r w:rsidR="00EC73C1" w:rsidRPr="00ED3950">
        <w:rPr>
          <w:lang w:val="cs-CZ"/>
        </w:rPr>
        <w:t>konzultací</w:t>
      </w:r>
      <w:r w:rsidR="0078420F" w:rsidRPr="00ED3950">
        <w:rPr>
          <w:lang w:val="cs-CZ"/>
        </w:rPr>
        <w:t>.</w:t>
      </w:r>
    </w:p>
    <w:p w:rsidR="00700533" w:rsidRPr="00ED3950" w:rsidRDefault="00700533" w:rsidP="00700533">
      <w:pPr>
        <w:rPr>
          <w:lang w:val="cs-CZ"/>
        </w:rPr>
      </w:pPr>
    </w:p>
    <w:p w:rsidR="005840C5" w:rsidRPr="00ED3950" w:rsidRDefault="00ED3950">
      <w:pPr>
        <w:pStyle w:val="Nadpis2"/>
        <w:rPr>
          <w:lang w:val="cs-CZ"/>
        </w:rPr>
      </w:pPr>
      <w:bookmarkStart w:id="11" w:name="_Toc131775830"/>
      <w:r w:rsidRPr="00ED3950">
        <w:rPr>
          <w:lang w:val="cs-CZ"/>
        </w:rPr>
        <w:t xml:space="preserve">Výběr </w:t>
      </w:r>
      <w:r w:rsidR="005F225D" w:rsidRPr="00ED3950">
        <w:rPr>
          <w:lang w:val="cs-CZ"/>
        </w:rPr>
        <w:t xml:space="preserve">postupů </w:t>
      </w:r>
      <w:r w:rsidRPr="00ED3950">
        <w:rPr>
          <w:lang w:val="cs-CZ"/>
        </w:rPr>
        <w:t xml:space="preserve">DNSH a </w:t>
      </w:r>
      <w:r w:rsidR="00ED3FAB" w:rsidRPr="00ED3950">
        <w:rPr>
          <w:lang w:val="cs-CZ"/>
        </w:rPr>
        <w:t xml:space="preserve">srovnatelných </w:t>
      </w:r>
      <w:r w:rsidRPr="00ED3950">
        <w:rPr>
          <w:lang w:val="cs-CZ"/>
        </w:rPr>
        <w:t>členských států EU</w:t>
      </w:r>
      <w:bookmarkEnd w:id="11"/>
    </w:p>
    <w:p w:rsidR="005840C5" w:rsidRPr="00ED3950" w:rsidRDefault="00ED3950">
      <w:pPr>
        <w:rPr>
          <w:lang w:val="cs-CZ"/>
        </w:rPr>
      </w:pPr>
      <w:r w:rsidRPr="00ED3950">
        <w:rPr>
          <w:lang w:val="cs-CZ"/>
        </w:rPr>
        <w:t>Na základě aktualizované matice výběrových kritérií shromáždil projektový tým příklady z jiných členských států EU, k</w:t>
      </w:r>
      <w:r w:rsidRPr="00ED3950">
        <w:rPr>
          <w:lang w:val="cs-CZ"/>
        </w:rPr>
        <w:t xml:space="preserve">teré odpovídají jednotlivým kritériím </w:t>
      </w:r>
      <w:r w:rsidR="00937AB1" w:rsidRPr="00ED3950">
        <w:rPr>
          <w:lang w:val="cs-CZ"/>
        </w:rPr>
        <w:t xml:space="preserve">a výzvám, </w:t>
      </w:r>
      <w:r w:rsidR="00EB464C" w:rsidRPr="00ED3950">
        <w:rPr>
          <w:lang w:val="cs-CZ"/>
        </w:rPr>
        <w:t xml:space="preserve">většinou z </w:t>
      </w:r>
      <w:r w:rsidR="00015A08" w:rsidRPr="00ED3950">
        <w:rPr>
          <w:lang w:val="cs-CZ"/>
        </w:rPr>
        <w:t xml:space="preserve">členských států, které jsou podporovány společností </w:t>
      </w:r>
      <w:proofErr w:type="spellStart"/>
      <w:r w:rsidR="00015A08" w:rsidRPr="00ED3950">
        <w:rPr>
          <w:lang w:val="cs-CZ"/>
        </w:rPr>
        <w:t>Trinomics</w:t>
      </w:r>
      <w:proofErr w:type="spellEnd"/>
      <w:r w:rsidR="00015A08" w:rsidRPr="00ED3950">
        <w:rPr>
          <w:lang w:val="cs-CZ"/>
        </w:rPr>
        <w:t xml:space="preserve"> v rámci jiných projektů SRSS/TSI financovaných </w:t>
      </w:r>
      <w:r w:rsidR="00A27D20" w:rsidRPr="00ED3950">
        <w:rPr>
          <w:lang w:val="cs-CZ"/>
        </w:rPr>
        <w:t>GŘ REFORM</w:t>
      </w:r>
      <w:r w:rsidR="00937AB1" w:rsidRPr="00ED3950">
        <w:rPr>
          <w:lang w:val="cs-CZ"/>
        </w:rPr>
        <w:t xml:space="preserve">. </w:t>
      </w:r>
      <w:r w:rsidR="00A04A46" w:rsidRPr="00ED3950">
        <w:rPr>
          <w:lang w:val="cs-CZ"/>
        </w:rPr>
        <w:t xml:space="preserve">Doporučení, která </w:t>
      </w:r>
      <w:r w:rsidR="00B142B2" w:rsidRPr="00ED3950">
        <w:rPr>
          <w:lang w:val="cs-CZ"/>
        </w:rPr>
        <w:t xml:space="preserve">projektový tým </w:t>
      </w:r>
      <w:r w:rsidR="00A04A46" w:rsidRPr="00ED3950">
        <w:rPr>
          <w:lang w:val="cs-CZ"/>
        </w:rPr>
        <w:t xml:space="preserve">předložil </w:t>
      </w:r>
      <w:r w:rsidR="00360431" w:rsidRPr="00ED3950">
        <w:rPr>
          <w:lang w:val="cs-CZ"/>
        </w:rPr>
        <w:t xml:space="preserve">MV projektu </w:t>
      </w:r>
      <w:r w:rsidR="00B142B2" w:rsidRPr="00ED3950">
        <w:rPr>
          <w:lang w:val="cs-CZ"/>
        </w:rPr>
        <w:t xml:space="preserve">v </w:t>
      </w:r>
      <w:r w:rsidR="00A04A46" w:rsidRPr="00ED3950">
        <w:rPr>
          <w:lang w:val="cs-CZ"/>
        </w:rPr>
        <w:t xml:space="preserve">rámci stanovení rozsahu pro tento výstup, </w:t>
      </w:r>
      <w:r w:rsidR="00B142B2" w:rsidRPr="00ED3950">
        <w:rPr>
          <w:lang w:val="cs-CZ"/>
        </w:rPr>
        <w:t xml:space="preserve">jsou uvedena v následujícím seznamu </w:t>
      </w:r>
      <w:r w:rsidR="003E3777" w:rsidRPr="00ED3950">
        <w:rPr>
          <w:lang w:val="cs-CZ"/>
        </w:rPr>
        <w:fldChar w:fldCharType="begin"/>
      </w:r>
      <w:r w:rsidR="003E3777" w:rsidRPr="00ED3950">
        <w:rPr>
          <w:lang w:val="cs-CZ"/>
        </w:rPr>
        <w:instrText xml:space="preserve"> REF _Ref128060306 \h  \* MERGEFORMAT </w:instrText>
      </w:r>
      <w:r w:rsidR="003E3777" w:rsidRPr="00ED3950">
        <w:rPr>
          <w:lang w:val="cs-CZ"/>
        </w:rPr>
      </w:r>
      <w:r w:rsidR="003E3777" w:rsidRPr="00ED3950">
        <w:rPr>
          <w:lang w:val="cs-CZ"/>
        </w:rPr>
        <w:fldChar w:fldCharType="separate"/>
      </w:r>
      <w:r w:rsidR="003E3777" w:rsidRPr="00ED3950">
        <w:rPr>
          <w:lang w:val="cs-CZ"/>
        </w:rPr>
        <w:t>Tabulka 2</w:t>
      </w:r>
      <w:r w:rsidR="003E3777" w:rsidRPr="00ED3950">
        <w:rPr>
          <w:lang w:val="cs-CZ"/>
        </w:rPr>
        <w:fldChar w:fldCharType="end"/>
      </w:r>
      <w:r w:rsidR="00B142B2" w:rsidRPr="00ED3950">
        <w:rPr>
          <w:lang w:val="cs-CZ"/>
        </w:rPr>
        <w:t xml:space="preserve">. </w:t>
      </w:r>
    </w:p>
    <w:p w:rsidR="00CB5091" w:rsidRPr="00ED3950" w:rsidRDefault="00CB5091" w:rsidP="00CB5091">
      <w:pPr>
        <w:rPr>
          <w:lang w:val="cs-CZ"/>
        </w:rPr>
      </w:pPr>
    </w:p>
    <w:p w:rsidR="005840C5" w:rsidRPr="00ED3950" w:rsidRDefault="00ED3950">
      <w:pPr>
        <w:pStyle w:val="Titulek"/>
        <w:keepNext/>
        <w:rPr>
          <w:lang w:val="cs-CZ"/>
        </w:rPr>
      </w:pPr>
      <w:bookmarkStart w:id="12" w:name="_Ref128060306"/>
      <w:r w:rsidRPr="00ED3950">
        <w:rPr>
          <w:lang w:val="cs-CZ"/>
        </w:rPr>
        <w:t xml:space="preserve">Tabulka </w:t>
      </w:r>
      <w:r w:rsidR="0094316D" w:rsidRPr="00ED3950">
        <w:rPr>
          <w:lang w:val="cs-CZ"/>
        </w:rPr>
        <w:fldChar w:fldCharType="begin"/>
      </w:r>
      <w:r w:rsidR="0094316D" w:rsidRPr="00ED3950">
        <w:rPr>
          <w:lang w:val="cs-CZ"/>
        </w:rPr>
        <w:instrText xml:space="preserve"> SEQ Table \* ARABIC </w:instrText>
      </w:r>
      <w:r w:rsidR="0094316D" w:rsidRPr="00ED3950">
        <w:rPr>
          <w:lang w:val="cs-CZ"/>
        </w:rPr>
        <w:fldChar w:fldCharType="separate"/>
      </w:r>
      <w:r w:rsidRPr="00ED3950">
        <w:rPr>
          <w:lang w:val="cs-CZ"/>
        </w:rPr>
        <w:t>2</w:t>
      </w:r>
      <w:r w:rsidR="0094316D" w:rsidRPr="00ED3950">
        <w:rPr>
          <w:lang w:val="cs-CZ"/>
        </w:rPr>
        <w:fldChar w:fldCharType="end"/>
      </w:r>
      <w:bookmarkEnd w:id="12"/>
      <w:r w:rsidRPr="00ED3950">
        <w:rPr>
          <w:lang w:val="cs-CZ"/>
        </w:rPr>
        <w:t xml:space="preserve"> Návrhy na výběr členských států EU pro </w:t>
      </w:r>
      <w:proofErr w:type="spellStart"/>
      <w:r w:rsidRPr="00ED3950">
        <w:rPr>
          <w:lang w:val="cs-CZ"/>
        </w:rPr>
        <w:t>webináře</w:t>
      </w:r>
      <w:proofErr w:type="spellEnd"/>
      <w:r w:rsidRPr="00ED3950">
        <w:rPr>
          <w:lang w:val="cs-CZ"/>
        </w:rPr>
        <w:t xml:space="preserve"> vzájemné výměny zkušeností</w:t>
      </w:r>
    </w:p>
    <w:tbl>
      <w:tblPr>
        <w:tblStyle w:val="Mkatabulky"/>
        <w:tblW w:w="0" w:type="auto"/>
        <w:tblInd w:w="562" w:type="dxa"/>
        <w:tblLook w:val="04A0" w:firstRow="1" w:lastRow="0" w:firstColumn="1" w:lastColumn="0" w:noHBand="0" w:noVBand="1"/>
      </w:tblPr>
      <w:tblGrid>
        <w:gridCol w:w="452"/>
        <w:gridCol w:w="1971"/>
        <w:gridCol w:w="6031"/>
      </w:tblGrid>
      <w:tr w:rsidR="002822BB" w:rsidRPr="00ED3950" w:rsidTr="003E3777">
        <w:tc>
          <w:tcPr>
            <w:tcW w:w="0" w:type="auto"/>
            <w:shd w:val="clear" w:color="auto" w:fill="002C54" w:themeFill="accent5"/>
          </w:tcPr>
          <w:p w:rsidR="0003154C" w:rsidRPr="00ED3950" w:rsidRDefault="0003154C" w:rsidP="00605552">
            <w:pPr>
              <w:spacing w:line="240" w:lineRule="atLeast"/>
              <w:ind w:left="0"/>
              <w:jc w:val="both"/>
              <w:rPr>
                <w:b/>
                <w:color w:val="FFFFFF" w:themeColor="background1"/>
                <w:sz w:val="16"/>
                <w:lang w:val="cs-CZ"/>
              </w:rPr>
            </w:pPr>
          </w:p>
        </w:tc>
        <w:tc>
          <w:tcPr>
            <w:tcW w:w="1971" w:type="dxa"/>
            <w:shd w:val="clear" w:color="auto" w:fill="002C54" w:themeFill="accent5"/>
          </w:tcPr>
          <w:p w:rsidR="005840C5" w:rsidRPr="00ED3950" w:rsidRDefault="00ED3950">
            <w:pPr>
              <w:spacing w:line="240" w:lineRule="atLeast"/>
              <w:ind w:left="0"/>
              <w:jc w:val="both"/>
              <w:rPr>
                <w:b/>
                <w:color w:val="FFFFFF" w:themeColor="background1"/>
                <w:sz w:val="16"/>
                <w:lang w:val="cs-CZ"/>
              </w:rPr>
            </w:pPr>
            <w:r w:rsidRPr="00ED3950">
              <w:rPr>
                <w:b/>
                <w:color w:val="FFFFFF" w:themeColor="background1"/>
                <w:sz w:val="16"/>
                <w:lang w:val="cs-CZ"/>
              </w:rPr>
              <w:t xml:space="preserve">Výzva DNSH pro vzájemnou </w:t>
            </w:r>
            <w:r w:rsidR="0003154C" w:rsidRPr="00ED3950">
              <w:rPr>
                <w:b/>
                <w:color w:val="FFFFFF" w:themeColor="background1"/>
                <w:sz w:val="16"/>
                <w:lang w:val="cs-CZ"/>
              </w:rPr>
              <w:t xml:space="preserve">výměnu zkušeností </w:t>
            </w:r>
          </w:p>
        </w:tc>
        <w:tc>
          <w:tcPr>
            <w:tcW w:w="6031" w:type="dxa"/>
            <w:shd w:val="clear" w:color="auto" w:fill="002C54" w:themeFill="accent5"/>
          </w:tcPr>
          <w:p w:rsidR="005840C5" w:rsidRPr="00ED3950" w:rsidRDefault="00ED3950">
            <w:pPr>
              <w:spacing w:line="240" w:lineRule="atLeast"/>
              <w:ind w:left="0"/>
              <w:rPr>
                <w:b/>
                <w:color w:val="FFFFFF" w:themeColor="background1"/>
                <w:sz w:val="16"/>
                <w:lang w:val="cs-CZ"/>
              </w:rPr>
            </w:pPr>
            <w:r w:rsidRPr="00ED3950">
              <w:rPr>
                <w:b/>
                <w:color w:val="FFFFFF" w:themeColor="background1"/>
                <w:sz w:val="16"/>
                <w:lang w:val="cs-CZ"/>
              </w:rPr>
              <w:t xml:space="preserve">Případy, </w:t>
            </w:r>
            <w:r w:rsidR="00BF1851" w:rsidRPr="00ED3950">
              <w:rPr>
                <w:b/>
                <w:color w:val="FFFFFF" w:themeColor="background1"/>
                <w:sz w:val="16"/>
                <w:lang w:val="cs-CZ"/>
              </w:rPr>
              <w:t>na</w:t>
            </w:r>
            <w:r w:rsidRPr="00ED3950">
              <w:rPr>
                <w:b/>
                <w:color w:val="FFFFFF" w:themeColor="background1"/>
                <w:sz w:val="16"/>
                <w:lang w:val="cs-CZ"/>
              </w:rPr>
              <w:t xml:space="preserve"> které se zaměřil </w:t>
            </w:r>
            <w:r w:rsidR="00A85AA3" w:rsidRPr="00ED3950">
              <w:rPr>
                <w:b/>
                <w:color w:val="FFFFFF" w:themeColor="background1"/>
                <w:sz w:val="16"/>
                <w:lang w:val="cs-CZ"/>
              </w:rPr>
              <w:t>výzkum založený na dokumentech</w:t>
            </w:r>
          </w:p>
        </w:tc>
      </w:tr>
      <w:tr w:rsidR="00D907DD" w:rsidRPr="00ED3950" w:rsidTr="003E3777">
        <w:trPr>
          <w:trHeight w:val="1422"/>
        </w:trPr>
        <w:tc>
          <w:tcPr>
            <w:tcW w:w="0" w:type="auto"/>
            <w:shd w:val="clear" w:color="auto" w:fill="E0EBEB" w:themeFill="accent3" w:themeFillTint="66"/>
          </w:tcPr>
          <w:p w:rsidR="005840C5" w:rsidRPr="00ED3950" w:rsidRDefault="00ED3950">
            <w:pPr>
              <w:spacing w:line="240" w:lineRule="atLeast"/>
              <w:ind w:left="0"/>
              <w:rPr>
                <w:b/>
                <w:color w:val="000000" w:themeColor="text1"/>
                <w:sz w:val="16"/>
                <w:lang w:val="cs-CZ"/>
              </w:rPr>
            </w:pPr>
            <w:r w:rsidRPr="00ED3950">
              <w:rPr>
                <w:b/>
                <w:color w:val="000000" w:themeColor="text1"/>
                <w:sz w:val="16"/>
                <w:lang w:val="cs-CZ"/>
              </w:rPr>
              <w:lastRenderedPageBreak/>
              <w:t>W1</w:t>
            </w:r>
          </w:p>
        </w:tc>
        <w:tc>
          <w:tcPr>
            <w:tcW w:w="1971" w:type="dxa"/>
          </w:tcPr>
          <w:p w:rsidR="005840C5" w:rsidRPr="00ED3950" w:rsidRDefault="00ED3950">
            <w:pPr>
              <w:spacing w:line="240" w:lineRule="atLeast"/>
              <w:ind w:left="0"/>
              <w:rPr>
                <w:color w:val="000000" w:themeColor="text1"/>
                <w:sz w:val="16"/>
                <w:lang w:val="cs-CZ"/>
              </w:rPr>
            </w:pPr>
            <w:r w:rsidRPr="00ED3950">
              <w:rPr>
                <w:b/>
                <w:bCs/>
                <w:color w:val="000000" w:themeColor="text1"/>
                <w:sz w:val="16"/>
                <w:lang w:val="cs-CZ"/>
              </w:rPr>
              <w:t xml:space="preserve">Procesy řízení a postupy </w:t>
            </w:r>
            <w:r w:rsidRPr="00ED3950">
              <w:rPr>
                <w:bCs/>
                <w:color w:val="000000" w:themeColor="text1"/>
                <w:sz w:val="16"/>
                <w:lang w:val="cs-CZ"/>
              </w:rPr>
              <w:t>související s uplatňováním zásady DNSH</w:t>
            </w:r>
          </w:p>
        </w:tc>
        <w:tc>
          <w:tcPr>
            <w:tcW w:w="6031" w:type="dxa"/>
            <w:shd w:val="clear" w:color="auto" w:fill="auto"/>
          </w:tcPr>
          <w:p w:rsidR="005840C5" w:rsidRPr="00ED3950" w:rsidRDefault="00ED3950">
            <w:pPr>
              <w:spacing w:line="240" w:lineRule="atLeast"/>
              <w:ind w:left="0"/>
              <w:rPr>
                <w:color w:val="000000" w:themeColor="text1"/>
                <w:sz w:val="16"/>
                <w:lang w:val="cs-CZ"/>
              </w:rPr>
            </w:pPr>
            <w:r w:rsidRPr="00ED3950">
              <w:rPr>
                <w:b/>
                <w:color w:val="000000" w:themeColor="text1"/>
                <w:sz w:val="16"/>
                <w:u w:val="single"/>
                <w:lang w:val="cs-CZ"/>
              </w:rPr>
              <w:t xml:space="preserve">Belgie: </w:t>
            </w:r>
            <w:r w:rsidRPr="00ED3950">
              <w:rPr>
                <w:color w:val="000000" w:themeColor="text1"/>
                <w:sz w:val="16"/>
                <w:lang w:val="cs-CZ"/>
              </w:rPr>
              <w:t>zřízení specializované podpůrné služby DNSH s centrálním umístěním v rámci federální vlády, která bude podporovat jednotlivá ministerstva a poskytovat poradenství správcům programů ohledně pokynů, šablon a dotazníků DNSH.</w:t>
            </w:r>
          </w:p>
          <w:p w:rsidR="005840C5" w:rsidRPr="00ED3950" w:rsidRDefault="00ED3950">
            <w:pPr>
              <w:spacing w:line="240" w:lineRule="atLeast"/>
              <w:ind w:left="0"/>
              <w:rPr>
                <w:color w:val="000000" w:themeColor="text1"/>
                <w:sz w:val="16"/>
                <w:lang w:val="cs-CZ"/>
              </w:rPr>
            </w:pPr>
            <w:r w:rsidRPr="00ED3950">
              <w:rPr>
                <w:b/>
                <w:color w:val="000000" w:themeColor="text1"/>
                <w:sz w:val="16"/>
                <w:u w:val="single"/>
                <w:lang w:val="cs-CZ"/>
              </w:rPr>
              <w:t xml:space="preserve">Španělsko: </w:t>
            </w:r>
            <w:r w:rsidRPr="00ED3950">
              <w:rPr>
                <w:color w:val="000000" w:themeColor="text1"/>
                <w:sz w:val="16"/>
                <w:lang w:val="cs-CZ"/>
              </w:rPr>
              <w:t>zřízení special</w:t>
            </w:r>
            <w:r w:rsidRPr="00ED3950">
              <w:rPr>
                <w:color w:val="000000" w:themeColor="text1"/>
                <w:sz w:val="16"/>
                <w:lang w:val="cs-CZ"/>
              </w:rPr>
              <w:t xml:space="preserve">izovaného </w:t>
            </w:r>
            <w:r w:rsidRPr="00ED3950">
              <w:rPr>
                <w:color w:val="000000" w:themeColor="text1"/>
                <w:sz w:val="16"/>
                <w:lang w:val="cs-CZ"/>
              </w:rPr>
              <w:t xml:space="preserve">oddělení </w:t>
            </w:r>
            <w:r w:rsidRPr="00ED3950">
              <w:rPr>
                <w:color w:val="000000" w:themeColor="text1"/>
                <w:sz w:val="16"/>
                <w:lang w:val="cs-CZ"/>
              </w:rPr>
              <w:t xml:space="preserve">DNSH v </w:t>
            </w:r>
            <w:r w:rsidRPr="00ED3950">
              <w:rPr>
                <w:color w:val="000000" w:themeColor="text1"/>
                <w:sz w:val="16"/>
                <w:lang w:val="cs-CZ"/>
              </w:rPr>
              <w:t xml:space="preserve">rámci ministerstva pro ekologickou transformaci a demografické změny, které bude </w:t>
            </w:r>
            <w:r w:rsidRPr="00ED3950">
              <w:rPr>
                <w:color w:val="000000" w:themeColor="text1"/>
                <w:sz w:val="16"/>
                <w:lang w:val="cs-CZ"/>
              </w:rPr>
              <w:t>podporovat jednotlivá ministerstva a poskytovat poradenství správcům programů v oblasti pokynů, šablon a dotazníků DNSH</w:t>
            </w:r>
            <w:r w:rsidRPr="00ED3950">
              <w:rPr>
                <w:color w:val="000000" w:themeColor="text1"/>
                <w:sz w:val="16"/>
                <w:lang w:val="cs-CZ"/>
              </w:rPr>
              <w:t>.</w:t>
            </w:r>
          </w:p>
        </w:tc>
      </w:tr>
      <w:tr w:rsidR="00DC3FFD" w:rsidRPr="00ED3950" w:rsidTr="003E3777">
        <w:trPr>
          <w:trHeight w:val="1189"/>
        </w:trPr>
        <w:tc>
          <w:tcPr>
            <w:tcW w:w="0" w:type="auto"/>
            <w:shd w:val="clear" w:color="auto" w:fill="E0EBEB" w:themeFill="accent3" w:themeFillTint="66"/>
          </w:tcPr>
          <w:p w:rsidR="005840C5" w:rsidRPr="00ED3950" w:rsidRDefault="00ED3950">
            <w:pPr>
              <w:spacing w:line="240" w:lineRule="atLeast"/>
              <w:ind w:left="0"/>
              <w:rPr>
                <w:b/>
                <w:color w:val="000000" w:themeColor="text1"/>
                <w:sz w:val="16"/>
                <w:lang w:val="cs-CZ"/>
              </w:rPr>
            </w:pPr>
            <w:r w:rsidRPr="00ED3950">
              <w:rPr>
                <w:b/>
                <w:color w:val="000000" w:themeColor="text1"/>
                <w:sz w:val="16"/>
                <w:lang w:val="cs-CZ"/>
              </w:rPr>
              <w:t>W2</w:t>
            </w:r>
          </w:p>
        </w:tc>
        <w:tc>
          <w:tcPr>
            <w:tcW w:w="1971" w:type="dxa"/>
          </w:tcPr>
          <w:p w:rsidR="005840C5" w:rsidRPr="00ED3950" w:rsidRDefault="00ED3950">
            <w:pPr>
              <w:spacing w:line="240" w:lineRule="atLeast"/>
              <w:ind w:left="0"/>
              <w:rPr>
                <w:b/>
                <w:bCs/>
                <w:color w:val="000000" w:themeColor="text1"/>
                <w:sz w:val="16"/>
                <w:lang w:val="cs-CZ"/>
              </w:rPr>
            </w:pPr>
            <w:r w:rsidRPr="00ED3950">
              <w:rPr>
                <w:bCs/>
                <w:color w:val="000000" w:themeColor="text1"/>
                <w:sz w:val="16"/>
                <w:lang w:val="cs-CZ"/>
              </w:rPr>
              <w:t xml:space="preserve">Zavedení (a monitorování) aplikace DNSH </w:t>
            </w:r>
            <w:r w:rsidRPr="00ED3950">
              <w:rPr>
                <w:b/>
                <w:bCs/>
                <w:color w:val="000000" w:themeColor="text1"/>
                <w:sz w:val="16"/>
                <w:lang w:val="cs-CZ"/>
              </w:rPr>
              <w:t>- zjednodušené a podrobné hodnocení</w:t>
            </w:r>
          </w:p>
        </w:tc>
        <w:tc>
          <w:tcPr>
            <w:tcW w:w="6031" w:type="dxa"/>
            <w:shd w:val="clear" w:color="auto" w:fill="auto"/>
          </w:tcPr>
          <w:p w:rsidR="005840C5" w:rsidRPr="00ED3950" w:rsidRDefault="00ED3950">
            <w:pPr>
              <w:spacing w:line="240" w:lineRule="atLeast"/>
              <w:ind w:left="0"/>
              <w:rPr>
                <w:color w:val="000000" w:themeColor="text1"/>
                <w:sz w:val="16"/>
                <w:lang w:val="cs-CZ"/>
              </w:rPr>
            </w:pPr>
            <w:r w:rsidRPr="00ED3950">
              <w:rPr>
                <w:b/>
                <w:bCs/>
                <w:color w:val="000000" w:themeColor="text1"/>
                <w:sz w:val="16"/>
                <w:u w:val="single"/>
                <w:lang w:val="cs-CZ"/>
              </w:rPr>
              <w:t xml:space="preserve">Slovensko: </w:t>
            </w:r>
            <w:r w:rsidRPr="00ED3950">
              <w:rPr>
                <w:color w:val="000000" w:themeColor="text1"/>
                <w:sz w:val="16"/>
                <w:lang w:val="cs-CZ"/>
              </w:rPr>
              <w:t xml:space="preserve">má poměrně podrobný a detailní přístup k provádění hodnocení DNSH pro sektor budov v rámci země, se specifickou (probíhající) podporou v rámci TSI na vypracování pokynů </w:t>
            </w:r>
            <w:r w:rsidRPr="00ED3950">
              <w:rPr>
                <w:color w:val="000000" w:themeColor="text1"/>
                <w:sz w:val="16"/>
                <w:lang w:val="cs-CZ"/>
              </w:rPr>
              <w:t>pro DNSH specifických pro dané odvětví.</w:t>
            </w:r>
          </w:p>
          <w:p w:rsidR="005840C5" w:rsidRPr="00ED3950" w:rsidRDefault="00ED3950">
            <w:pPr>
              <w:spacing w:line="240" w:lineRule="atLeast"/>
              <w:ind w:left="0"/>
              <w:rPr>
                <w:b/>
                <w:color w:val="000000" w:themeColor="text1"/>
                <w:sz w:val="16"/>
                <w:lang w:val="cs-CZ"/>
              </w:rPr>
            </w:pPr>
            <w:r w:rsidRPr="00ED3950">
              <w:rPr>
                <w:b/>
                <w:bCs/>
                <w:color w:val="000000" w:themeColor="text1"/>
                <w:sz w:val="16"/>
                <w:u w:val="single"/>
                <w:lang w:val="cs-CZ"/>
              </w:rPr>
              <w:t xml:space="preserve">Finsko: </w:t>
            </w:r>
            <w:r w:rsidRPr="00ED3950">
              <w:rPr>
                <w:color w:val="000000" w:themeColor="text1"/>
                <w:sz w:val="16"/>
                <w:lang w:val="cs-CZ"/>
              </w:rPr>
              <w:t xml:space="preserve">Nedávno přijalo </w:t>
            </w:r>
            <w:r w:rsidRPr="00ED3950">
              <w:rPr>
                <w:color w:val="000000" w:themeColor="text1"/>
                <w:sz w:val="16"/>
                <w:lang w:val="cs-CZ"/>
              </w:rPr>
              <w:t>"zákon o prioritním pořadí", podle něhož se požaduje (zjednodušené) posouzení DNSH, aby se v rámci procesu povolování (velkých) infrastrukturních projektů, ať už v rámci RRF, nebo financovanýc</w:t>
            </w:r>
            <w:r w:rsidRPr="00ED3950">
              <w:rPr>
                <w:color w:val="000000" w:themeColor="text1"/>
                <w:sz w:val="16"/>
                <w:lang w:val="cs-CZ"/>
              </w:rPr>
              <w:t xml:space="preserve">h z vnitrostátních fondů, upřednostnilo posuzování vlivů na životní prostředí. </w:t>
            </w:r>
          </w:p>
        </w:tc>
      </w:tr>
      <w:tr w:rsidR="00DC3FFD" w:rsidRPr="00ED3950" w:rsidTr="003E3777">
        <w:trPr>
          <w:trHeight w:val="766"/>
        </w:trPr>
        <w:tc>
          <w:tcPr>
            <w:tcW w:w="0" w:type="auto"/>
            <w:shd w:val="clear" w:color="auto" w:fill="E0EBEB" w:themeFill="accent3" w:themeFillTint="66"/>
          </w:tcPr>
          <w:p w:rsidR="005840C5" w:rsidRPr="00ED3950" w:rsidRDefault="00ED3950">
            <w:pPr>
              <w:spacing w:line="240" w:lineRule="atLeast"/>
              <w:ind w:left="0"/>
              <w:rPr>
                <w:b/>
                <w:color w:val="000000" w:themeColor="text1"/>
                <w:sz w:val="16"/>
                <w:lang w:val="cs-CZ"/>
              </w:rPr>
            </w:pPr>
            <w:r w:rsidRPr="00ED3950">
              <w:rPr>
                <w:b/>
                <w:color w:val="000000" w:themeColor="text1"/>
                <w:sz w:val="16"/>
                <w:lang w:val="cs-CZ"/>
              </w:rPr>
              <w:t>W3</w:t>
            </w:r>
          </w:p>
        </w:tc>
        <w:tc>
          <w:tcPr>
            <w:tcW w:w="1971" w:type="dxa"/>
          </w:tcPr>
          <w:p w:rsidR="005840C5" w:rsidRPr="00ED3950" w:rsidRDefault="00ED3950">
            <w:pPr>
              <w:spacing w:line="240" w:lineRule="atLeast"/>
              <w:ind w:left="0"/>
              <w:rPr>
                <w:color w:val="000000" w:themeColor="text1"/>
                <w:sz w:val="16"/>
                <w:lang w:val="cs-CZ"/>
              </w:rPr>
            </w:pPr>
            <w:r w:rsidRPr="00ED3950">
              <w:rPr>
                <w:bCs/>
                <w:color w:val="000000" w:themeColor="text1"/>
                <w:sz w:val="16"/>
                <w:lang w:val="cs-CZ"/>
              </w:rPr>
              <w:t xml:space="preserve">Uplatnění principu DNSH na </w:t>
            </w:r>
            <w:r w:rsidRPr="00ED3950">
              <w:rPr>
                <w:b/>
                <w:bCs/>
                <w:color w:val="000000" w:themeColor="text1"/>
                <w:sz w:val="16"/>
                <w:lang w:val="cs-CZ"/>
              </w:rPr>
              <w:t>projekty výzkumu a vývoje a ekologické inovace</w:t>
            </w:r>
          </w:p>
        </w:tc>
        <w:tc>
          <w:tcPr>
            <w:tcW w:w="6031" w:type="dxa"/>
            <w:shd w:val="clear" w:color="auto" w:fill="auto"/>
          </w:tcPr>
          <w:p w:rsidR="005840C5" w:rsidRPr="00ED3950" w:rsidRDefault="00ED3950">
            <w:pPr>
              <w:spacing w:line="240" w:lineRule="atLeast"/>
              <w:ind w:left="0"/>
              <w:rPr>
                <w:color w:val="000000" w:themeColor="text1"/>
                <w:sz w:val="16"/>
                <w:lang w:val="cs-CZ"/>
              </w:rPr>
            </w:pPr>
            <w:r w:rsidRPr="00ED3950">
              <w:rPr>
                <w:b/>
                <w:bCs/>
                <w:color w:val="000000" w:themeColor="text1"/>
                <w:sz w:val="16"/>
                <w:u w:val="single"/>
                <w:lang w:val="cs-CZ"/>
              </w:rPr>
              <w:t xml:space="preserve">Finsko: </w:t>
            </w:r>
            <w:r w:rsidRPr="00ED3950">
              <w:rPr>
                <w:color w:val="000000" w:themeColor="text1"/>
                <w:sz w:val="16"/>
                <w:lang w:val="cs-CZ"/>
              </w:rPr>
              <w:t>Finský klimatický fond vyvinul alternativní přístup k uplatňování zásady DNSH prostřednict</w:t>
            </w:r>
            <w:r w:rsidRPr="00ED3950">
              <w:rPr>
                <w:color w:val="000000" w:themeColor="text1"/>
                <w:sz w:val="16"/>
                <w:lang w:val="cs-CZ"/>
              </w:rPr>
              <w:t>vím svého fondu tím, že začlenil DNSH jako součást svého investičního rozhodovacího procesu. Vedle toho byly finské finanční prostředky v rámci RRF vynaloženy především na projekty výzkumu a vývoje a zelené inovace, což přináší relevantní zkušenosti zejmén</w:t>
            </w:r>
            <w:r w:rsidRPr="00ED3950">
              <w:rPr>
                <w:color w:val="000000" w:themeColor="text1"/>
                <w:sz w:val="16"/>
                <w:lang w:val="cs-CZ"/>
              </w:rPr>
              <w:t>a z hlediska RRF.</w:t>
            </w:r>
          </w:p>
          <w:p w:rsidR="005840C5" w:rsidRPr="00ED3950" w:rsidRDefault="00ED3950">
            <w:pPr>
              <w:spacing w:line="240" w:lineRule="atLeast"/>
              <w:ind w:left="0"/>
              <w:rPr>
                <w:color w:val="000000" w:themeColor="text1"/>
                <w:sz w:val="16"/>
                <w:lang w:val="cs-CZ"/>
              </w:rPr>
            </w:pPr>
            <w:r w:rsidRPr="00ED3950">
              <w:rPr>
                <w:b/>
                <w:bCs/>
                <w:color w:val="000000" w:themeColor="text1"/>
                <w:sz w:val="16"/>
                <w:u w:val="single"/>
                <w:lang w:val="cs-CZ"/>
              </w:rPr>
              <w:t xml:space="preserve">Rakousko: </w:t>
            </w:r>
            <w:r w:rsidRPr="00ED3950">
              <w:rPr>
                <w:color w:val="000000" w:themeColor="text1"/>
                <w:sz w:val="16"/>
                <w:lang w:val="cs-CZ"/>
              </w:rPr>
              <w:t>patří mezi průkopníky ve vývoji integrovaného přístupu a metodiky pro zelené rozpočtování a označování a provádění hodnocení DNSH. Různé další členské státy zvažují podobné další kroky, které by mohly pomoci začlenit uplatňování</w:t>
            </w:r>
            <w:r w:rsidRPr="00ED3950">
              <w:rPr>
                <w:color w:val="000000" w:themeColor="text1"/>
                <w:sz w:val="16"/>
                <w:lang w:val="cs-CZ"/>
              </w:rPr>
              <w:t xml:space="preserve"> DNSH do (vnitrostátních) veřejných financí.</w:t>
            </w:r>
          </w:p>
        </w:tc>
      </w:tr>
    </w:tbl>
    <w:p w:rsidR="00FE0FA7" w:rsidRPr="00ED3950" w:rsidRDefault="00FE0FA7" w:rsidP="00C54B61">
      <w:pPr>
        <w:rPr>
          <w:rStyle w:val="Zdraznn"/>
          <w:i w:val="0"/>
          <w:lang w:val="cs-CZ"/>
        </w:rPr>
      </w:pPr>
    </w:p>
    <w:p w:rsidR="005840C5" w:rsidRPr="00ED3950" w:rsidRDefault="00ED3950">
      <w:pPr>
        <w:rPr>
          <w:rStyle w:val="Zdraznn"/>
          <w:i w:val="0"/>
          <w:iCs w:val="0"/>
          <w:lang w:val="cs-CZ"/>
        </w:rPr>
      </w:pPr>
      <w:r w:rsidRPr="00ED3950">
        <w:rPr>
          <w:rStyle w:val="Zdraznn"/>
          <w:i w:val="0"/>
          <w:iCs w:val="0"/>
          <w:lang w:val="cs-CZ"/>
        </w:rPr>
        <w:t xml:space="preserve">Poté, co </w:t>
      </w:r>
      <w:r w:rsidR="0034151C" w:rsidRPr="00ED3950">
        <w:rPr>
          <w:rStyle w:val="Zdraznn"/>
          <w:i w:val="0"/>
          <w:iCs w:val="0"/>
          <w:lang w:val="cs-CZ"/>
        </w:rPr>
        <w:t xml:space="preserve">MV schválil, které </w:t>
      </w:r>
      <w:r w:rsidR="00440744" w:rsidRPr="00ED3950">
        <w:rPr>
          <w:rStyle w:val="Zdraznn"/>
          <w:i w:val="0"/>
          <w:iCs w:val="0"/>
          <w:lang w:val="cs-CZ"/>
        </w:rPr>
        <w:t xml:space="preserve">členské státy </w:t>
      </w:r>
      <w:r w:rsidR="004A6839" w:rsidRPr="00ED3950">
        <w:rPr>
          <w:rStyle w:val="Zdraznn"/>
          <w:i w:val="0"/>
          <w:iCs w:val="0"/>
          <w:lang w:val="cs-CZ"/>
        </w:rPr>
        <w:t xml:space="preserve">(tj. Rakousko, Belgie, </w:t>
      </w:r>
      <w:r w:rsidR="005534AC" w:rsidRPr="00ED3950">
        <w:rPr>
          <w:rStyle w:val="Zdraznn"/>
          <w:i w:val="0"/>
          <w:iCs w:val="0"/>
          <w:lang w:val="cs-CZ"/>
        </w:rPr>
        <w:t>Finsko, Slovensko a Španělsko</w:t>
      </w:r>
      <w:r w:rsidR="00EC73C1" w:rsidRPr="00ED3950">
        <w:rPr>
          <w:rStyle w:val="Zdraznn"/>
          <w:i w:val="0"/>
          <w:iCs w:val="0"/>
          <w:lang w:val="cs-CZ"/>
        </w:rPr>
        <w:t xml:space="preserve">) </w:t>
      </w:r>
      <w:r w:rsidR="00440744" w:rsidRPr="00ED3950">
        <w:rPr>
          <w:rStyle w:val="Zdraznn"/>
          <w:i w:val="0"/>
          <w:iCs w:val="0"/>
          <w:lang w:val="cs-CZ"/>
        </w:rPr>
        <w:t xml:space="preserve">budou </w:t>
      </w:r>
      <w:r w:rsidR="000E6B9D" w:rsidRPr="00ED3950">
        <w:rPr>
          <w:rStyle w:val="Zdraznn"/>
          <w:i w:val="0"/>
          <w:iCs w:val="0"/>
          <w:lang w:val="cs-CZ"/>
        </w:rPr>
        <w:t xml:space="preserve">pozvány na výměnu zkušeností s českými orgány, projektový tým "formálně" oslovil každý z těchto členských států spolu s referenčním dopisem od GŘ REFORM, aby vybrané členské státy povzbudil k účasti na </w:t>
      </w:r>
      <w:r w:rsidR="00DD7734" w:rsidRPr="00ED3950">
        <w:rPr>
          <w:rStyle w:val="Zdraznn"/>
          <w:i w:val="0"/>
          <w:iCs w:val="0"/>
          <w:lang w:val="cs-CZ"/>
        </w:rPr>
        <w:t>webových seminářích vzájemného učení</w:t>
      </w:r>
      <w:r w:rsidR="00AB4EBC" w:rsidRPr="00ED3950">
        <w:rPr>
          <w:rStyle w:val="Zdraznn"/>
          <w:i w:val="0"/>
          <w:iCs w:val="0"/>
          <w:lang w:val="cs-CZ"/>
        </w:rPr>
        <w:t xml:space="preserve">. </w:t>
      </w:r>
    </w:p>
    <w:p w:rsidR="00AD12D5" w:rsidRPr="00ED3950" w:rsidRDefault="00AD12D5" w:rsidP="00AB4EBC">
      <w:pPr>
        <w:rPr>
          <w:rStyle w:val="Zdraznn"/>
          <w:i w:val="0"/>
          <w:iCs w:val="0"/>
          <w:lang w:val="cs-CZ"/>
        </w:rPr>
      </w:pPr>
    </w:p>
    <w:p w:rsidR="005840C5" w:rsidRPr="00ED3950" w:rsidRDefault="00ED3950">
      <w:pPr>
        <w:rPr>
          <w:lang w:val="cs-CZ"/>
        </w:rPr>
      </w:pPr>
      <w:r w:rsidRPr="00ED3950">
        <w:rPr>
          <w:rStyle w:val="Zdraznn"/>
          <w:i w:val="0"/>
          <w:iCs w:val="0"/>
          <w:lang w:val="cs-CZ"/>
        </w:rPr>
        <w:t xml:space="preserve">Po formálním představení </w:t>
      </w:r>
      <w:r w:rsidR="00E449B5" w:rsidRPr="00ED3950">
        <w:rPr>
          <w:rStyle w:val="Zdraznn"/>
          <w:i w:val="0"/>
          <w:iCs w:val="0"/>
          <w:lang w:val="cs-CZ"/>
        </w:rPr>
        <w:t xml:space="preserve">úředníkům jednotlivých členských států projektový tým následně s každým z nich </w:t>
      </w:r>
      <w:r w:rsidR="00F41EA6" w:rsidRPr="00ED3950">
        <w:rPr>
          <w:rStyle w:val="Zdraznn"/>
          <w:i w:val="0"/>
          <w:iCs w:val="0"/>
          <w:lang w:val="cs-CZ"/>
        </w:rPr>
        <w:t xml:space="preserve">individuálně </w:t>
      </w:r>
      <w:r w:rsidR="00E449B5" w:rsidRPr="00ED3950">
        <w:rPr>
          <w:rStyle w:val="Zdraznn"/>
          <w:i w:val="0"/>
          <w:iCs w:val="0"/>
          <w:lang w:val="cs-CZ"/>
        </w:rPr>
        <w:t xml:space="preserve">jednal, </w:t>
      </w:r>
      <w:r w:rsidR="00F41EA6" w:rsidRPr="00ED3950">
        <w:rPr>
          <w:rStyle w:val="Zdraznn"/>
          <w:i w:val="0"/>
          <w:iCs w:val="0"/>
          <w:lang w:val="cs-CZ"/>
        </w:rPr>
        <w:t xml:space="preserve">aby jim představil širší cíle vzájemné výměny zkušeností - zdůraznil, že získané poznatky a webové semináře </w:t>
      </w:r>
      <w:r w:rsidR="00BD5961" w:rsidRPr="00ED3950">
        <w:rPr>
          <w:rStyle w:val="Zdraznn"/>
          <w:i w:val="0"/>
          <w:iCs w:val="0"/>
          <w:lang w:val="cs-CZ"/>
        </w:rPr>
        <w:t xml:space="preserve">mají být </w:t>
      </w:r>
      <w:r w:rsidR="00F41EA6" w:rsidRPr="00ED3950">
        <w:rPr>
          <w:rStyle w:val="Zdraznn"/>
          <w:i w:val="0"/>
          <w:iCs w:val="0"/>
          <w:lang w:val="cs-CZ"/>
        </w:rPr>
        <w:t xml:space="preserve">k dispozici širší komunitě DNSH v Evropě, </w:t>
      </w:r>
      <w:r w:rsidR="00AD12D5" w:rsidRPr="00ED3950">
        <w:rPr>
          <w:rStyle w:val="Zdraznn"/>
          <w:i w:val="0"/>
          <w:iCs w:val="0"/>
          <w:lang w:val="cs-CZ"/>
        </w:rPr>
        <w:t xml:space="preserve">než jen (přímým) českým orgánům a příjemcům tohoto projektu TSI. </w:t>
      </w:r>
      <w:r w:rsidR="00B844A9" w:rsidRPr="00ED3950">
        <w:rPr>
          <w:rStyle w:val="Zdraznn"/>
          <w:i w:val="0"/>
          <w:iCs w:val="0"/>
          <w:lang w:val="cs-CZ"/>
        </w:rPr>
        <w:t xml:space="preserve">Ještě důležitější je, že tyto </w:t>
      </w:r>
      <w:r w:rsidR="005534AC" w:rsidRPr="00ED3950">
        <w:rPr>
          <w:rStyle w:val="Zdraznn"/>
          <w:i w:val="0"/>
          <w:iCs w:val="0"/>
          <w:lang w:val="cs-CZ"/>
        </w:rPr>
        <w:t xml:space="preserve">dvoustranné </w:t>
      </w:r>
      <w:r w:rsidR="00B844A9" w:rsidRPr="00ED3950">
        <w:rPr>
          <w:rStyle w:val="Zdraznn"/>
          <w:i w:val="0"/>
          <w:iCs w:val="0"/>
          <w:lang w:val="cs-CZ"/>
        </w:rPr>
        <w:t xml:space="preserve">rozhovory byly využity k </w:t>
      </w:r>
      <w:r w:rsidR="00066ED7" w:rsidRPr="00ED3950">
        <w:rPr>
          <w:rStyle w:val="Zdraznn"/>
          <w:i w:val="0"/>
          <w:iCs w:val="0"/>
          <w:lang w:val="cs-CZ"/>
        </w:rPr>
        <w:t xml:space="preserve">ověření </w:t>
      </w:r>
      <w:r w:rsidR="003D47DC" w:rsidRPr="00ED3950">
        <w:rPr>
          <w:rStyle w:val="Zdraznn"/>
          <w:i w:val="0"/>
          <w:iCs w:val="0"/>
          <w:lang w:val="cs-CZ"/>
        </w:rPr>
        <w:t xml:space="preserve">a upřesnění </w:t>
      </w:r>
      <w:r w:rsidR="00066ED7" w:rsidRPr="00ED3950">
        <w:rPr>
          <w:rStyle w:val="Zdraznn"/>
          <w:i w:val="0"/>
          <w:iCs w:val="0"/>
          <w:lang w:val="cs-CZ"/>
        </w:rPr>
        <w:t xml:space="preserve">"případů, na které se zaměřují" jednotlivé </w:t>
      </w:r>
      <w:proofErr w:type="spellStart"/>
      <w:r w:rsidR="00066ED7" w:rsidRPr="00ED3950">
        <w:rPr>
          <w:rStyle w:val="Zdraznn"/>
          <w:i w:val="0"/>
          <w:iCs w:val="0"/>
          <w:lang w:val="cs-CZ"/>
        </w:rPr>
        <w:t>webináře</w:t>
      </w:r>
      <w:proofErr w:type="spellEnd"/>
      <w:r w:rsidR="00066ED7" w:rsidRPr="00ED3950">
        <w:rPr>
          <w:rStyle w:val="Zdraznn"/>
          <w:i w:val="0"/>
          <w:iCs w:val="0"/>
          <w:lang w:val="cs-CZ"/>
        </w:rPr>
        <w:t xml:space="preserve">, a k potvrzení zájmu a dostupnosti členského státu </w:t>
      </w:r>
      <w:r w:rsidR="00F14E97" w:rsidRPr="00ED3950">
        <w:rPr>
          <w:rStyle w:val="Zdraznn"/>
          <w:i w:val="0"/>
          <w:iCs w:val="0"/>
          <w:lang w:val="cs-CZ"/>
        </w:rPr>
        <w:t xml:space="preserve">zúčastnit se (některých) </w:t>
      </w:r>
      <w:proofErr w:type="spellStart"/>
      <w:r w:rsidR="00F14E97" w:rsidRPr="00ED3950">
        <w:rPr>
          <w:rStyle w:val="Zdraznn"/>
          <w:i w:val="0"/>
          <w:iCs w:val="0"/>
          <w:lang w:val="cs-CZ"/>
        </w:rPr>
        <w:t>webinářů</w:t>
      </w:r>
      <w:proofErr w:type="spellEnd"/>
      <w:r w:rsidR="00F14E97" w:rsidRPr="00ED3950">
        <w:rPr>
          <w:rStyle w:val="Zdraznn"/>
          <w:i w:val="0"/>
          <w:iCs w:val="0"/>
          <w:lang w:val="cs-CZ"/>
        </w:rPr>
        <w:t xml:space="preserve"> plánovaných na leden a únor 2023.</w:t>
      </w:r>
    </w:p>
    <w:p w:rsidR="00767A7C" w:rsidRPr="00ED3950" w:rsidRDefault="00767A7C" w:rsidP="00F542BA">
      <w:pPr>
        <w:ind w:left="0" w:firstLine="567"/>
        <w:rPr>
          <w:lang w:val="cs-CZ"/>
        </w:rPr>
      </w:pPr>
      <w:r w:rsidRPr="00ED3950">
        <w:rPr>
          <w:lang w:val="cs-CZ"/>
        </w:rPr>
        <w:br w:type="page"/>
      </w:r>
    </w:p>
    <w:p w:rsidR="005840C5" w:rsidRPr="00ED3950" w:rsidRDefault="00ED3950">
      <w:pPr>
        <w:pStyle w:val="Nadpis1"/>
        <w:tabs>
          <w:tab w:val="clear" w:pos="851"/>
          <w:tab w:val="left" w:pos="567"/>
        </w:tabs>
        <w:ind w:left="567" w:hanging="567"/>
        <w:rPr>
          <w:lang w:val="cs-CZ"/>
        </w:rPr>
      </w:pPr>
      <w:bookmarkStart w:id="13" w:name="_Ref131521548"/>
      <w:bookmarkStart w:id="14" w:name="_Toc131775831"/>
      <w:r w:rsidRPr="00ED3950">
        <w:rPr>
          <w:lang w:val="cs-CZ"/>
        </w:rPr>
        <w:lastRenderedPageBreak/>
        <w:t>Analýza osvědčených postupů a získaných zkušeností</w:t>
      </w:r>
      <w:bookmarkEnd w:id="13"/>
      <w:bookmarkEnd w:id="14"/>
    </w:p>
    <w:p w:rsidR="005840C5" w:rsidRPr="00ED3950" w:rsidRDefault="00ED3950">
      <w:pPr>
        <w:rPr>
          <w:lang w:val="cs-CZ"/>
        </w:rPr>
      </w:pPr>
      <w:r w:rsidRPr="00ED3950">
        <w:rPr>
          <w:lang w:val="cs-CZ"/>
        </w:rPr>
        <w:t xml:space="preserve">Tato </w:t>
      </w:r>
      <w:r w:rsidR="00001E18" w:rsidRPr="00ED3950">
        <w:rPr>
          <w:lang w:val="cs-CZ"/>
        </w:rPr>
        <w:t xml:space="preserve">kapitola poskytuje přehled </w:t>
      </w:r>
      <w:r w:rsidR="003D726D" w:rsidRPr="00ED3950">
        <w:rPr>
          <w:lang w:val="cs-CZ"/>
        </w:rPr>
        <w:t xml:space="preserve">výzev </w:t>
      </w:r>
      <w:r w:rsidRPr="00ED3950">
        <w:rPr>
          <w:lang w:val="cs-CZ"/>
        </w:rPr>
        <w:t xml:space="preserve">spojených s uplatňováním </w:t>
      </w:r>
      <w:r w:rsidR="009A2C28" w:rsidRPr="00ED3950">
        <w:rPr>
          <w:lang w:val="cs-CZ"/>
        </w:rPr>
        <w:t xml:space="preserve">zásady DNSH z </w:t>
      </w:r>
      <w:r w:rsidR="00E4086D" w:rsidRPr="00ED3950">
        <w:rPr>
          <w:lang w:val="cs-CZ"/>
        </w:rPr>
        <w:t xml:space="preserve">hlediska řízení, </w:t>
      </w:r>
      <w:r w:rsidR="008A3831" w:rsidRPr="00ED3950">
        <w:rPr>
          <w:lang w:val="cs-CZ"/>
        </w:rPr>
        <w:t xml:space="preserve">podrobného a zjednodušeného hodnocení a </w:t>
      </w:r>
      <w:r w:rsidR="00BD58AC" w:rsidRPr="00ED3950">
        <w:rPr>
          <w:lang w:val="cs-CZ"/>
        </w:rPr>
        <w:t xml:space="preserve">projektů </w:t>
      </w:r>
      <w:r w:rsidR="00501014" w:rsidRPr="00ED3950">
        <w:rPr>
          <w:lang w:val="cs-CZ"/>
        </w:rPr>
        <w:t xml:space="preserve">výzkumu a vývoje a </w:t>
      </w:r>
      <w:r w:rsidR="009B5B25" w:rsidRPr="00ED3950">
        <w:rPr>
          <w:lang w:val="cs-CZ"/>
        </w:rPr>
        <w:t xml:space="preserve">ekologických </w:t>
      </w:r>
      <w:r w:rsidR="00BD58AC" w:rsidRPr="00ED3950">
        <w:rPr>
          <w:lang w:val="cs-CZ"/>
        </w:rPr>
        <w:t>inovací</w:t>
      </w:r>
      <w:r w:rsidR="009B5B25" w:rsidRPr="00ED3950">
        <w:rPr>
          <w:lang w:val="cs-CZ"/>
        </w:rPr>
        <w:t xml:space="preserve">. </w:t>
      </w:r>
      <w:r w:rsidR="00565D7C" w:rsidRPr="00ED3950">
        <w:rPr>
          <w:lang w:val="cs-CZ"/>
        </w:rPr>
        <w:t xml:space="preserve">U každé výzvy nejprve </w:t>
      </w:r>
      <w:r w:rsidR="008037A2" w:rsidRPr="00ED3950">
        <w:rPr>
          <w:lang w:val="cs-CZ"/>
        </w:rPr>
        <w:t xml:space="preserve">uvádíme </w:t>
      </w:r>
      <w:r w:rsidR="003A0342" w:rsidRPr="00ED3950">
        <w:rPr>
          <w:lang w:val="cs-CZ"/>
        </w:rPr>
        <w:t xml:space="preserve">přehled </w:t>
      </w:r>
      <w:r w:rsidR="003012A4" w:rsidRPr="00ED3950">
        <w:rPr>
          <w:lang w:val="cs-CZ"/>
        </w:rPr>
        <w:t xml:space="preserve">otázek </w:t>
      </w:r>
      <w:r w:rsidR="002B095C" w:rsidRPr="00ED3950">
        <w:rPr>
          <w:lang w:val="cs-CZ"/>
        </w:rPr>
        <w:t xml:space="preserve">vznesených během </w:t>
      </w:r>
      <w:r w:rsidR="00902FE1" w:rsidRPr="00ED3950">
        <w:rPr>
          <w:lang w:val="cs-CZ"/>
        </w:rPr>
        <w:t xml:space="preserve">technických </w:t>
      </w:r>
      <w:r w:rsidR="00C43FBE" w:rsidRPr="00ED3950">
        <w:rPr>
          <w:lang w:val="cs-CZ"/>
        </w:rPr>
        <w:t xml:space="preserve">konzultací a </w:t>
      </w:r>
      <w:proofErr w:type="spellStart"/>
      <w:r w:rsidR="00C43FBE" w:rsidRPr="00ED3950">
        <w:rPr>
          <w:lang w:val="cs-CZ"/>
        </w:rPr>
        <w:t>desk</w:t>
      </w:r>
      <w:proofErr w:type="spellEnd"/>
      <w:r w:rsidR="00C43FBE" w:rsidRPr="00ED3950">
        <w:rPr>
          <w:lang w:val="cs-CZ"/>
        </w:rPr>
        <w:t xml:space="preserve"> </w:t>
      </w:r>
      <w:proofErr w:type="spellStart"/>
      <w:r w:rsidR="00C43FBE" w:rsidRPr="00ED3950">
        <w:rPr>
          <w:lang w:val="cs-CZ"/>
        </w:rPr>
        <w:t>research</w:t>
      </w:r>
      <w:proofErr w:type="spellEnd"/>
      <w:r w:rsidR="00565D7C" w:rsidRPr="00ED3950">
        <w:rPr>
          <w:lang w:val="cs-CZ"/>
        </w:rPr>
        <w:t xml:space="preserve">. </w:t>
      </w:r>
      <w:r w:rsidR="001E07FD" w:rsidRPr="00ED3950">
        <w:rPr>
          <w:lang w:val="cs-CZ"/>
        </w:rPr>
        <w:t xml:space="preserve">Poté představujeme </w:t>
      </w:r>
      <w:r w:rsidR="00902FE1" w:rsidRPr="00ED3950">
        <w:rPr>
          <w:lang w:val="cs-CZ"/>
        </w:rPr>
        <w:t>"</w:t>
      </w:r>
      <w:r w:rsidR="001E07FD" w:rsidRPr="00ED3950">
        <w:rPr>
          <w:lang w:val="cs-CZ"/>
        </w:rPr>
        <w:t>klíčové případy</w:t>
      </w:r>
      <w:r w:rsidR="00902FE1" w:rsidRPr="00ED3950">
        <w:rPr>
          <w:lang w:val="cs-CZ"/>
        </w:rPr>
        <w:t xml:space="preserve">", které </w:t>
      </w:r>
      <w:r w:rsidR="00E70672" w:rsidRPr="00ED3950">
        <w:rPr>
          <w:lang w:val="cs-CZ"/>
        </w:rPr>
        <w:t xml:space="preserve">předložily srovnatelné členské státy </w:t>
      </w:r>
      <w:r w:rsidR="00BD4D5C" w:rsidRPr="00ED3950">
        <w:rPr>
          <w:lang w:val="cs-CZ"/>
        </w:rPr>
        <w:t xml:space="preserve">EU, </w:t>
      </w:r>
      <w:r w:rsidR="00F25911" w:rsidRPr="00ED3950">
        <w:rPr>
          <w:lang w:val="cs-CZ"/>
        </w:rPr>
        <w:t xml:space="preserve">a jejich význam, </w:t>
      </w:r>
      <w:r w:rsidR="00A4290B" w:rsidRPr="00ED3950">
        <w:rPr>
          <w:lang w:val="cs-CZ"/>
        </w:rPr>
        <w:t xml:space="preserve">a teprve poté se věnujeme </w:t>
      </w:r>
      <w:r w:rsidR="002B2321" w:rsidRPr="00ED3950">
        <w:rPr>
          <w:lang w:val="cs-CZ"/>
        </w:rPr>
        <w:t xml:space="preserve">pronikavým postupům k </w:t>
      </w:r>
      <w:r w:rsidR="00DC580C" w:rsidRPr="00ED3950">
        <w:rPr>
          <w:lang w:val="cs-CZ"/>
        </w:rPr>
        <w:t xml:space="preserve">překonání výzev, jak byly </w:t>
      </w:r>
      <w:r w:rsidR="002B2321" w:rsidRPr="00ED3950">
        <w:rPr>
          <w:lang w:val="cs-CZ"/>
        </w:rPr>
        <w:t xml:space="preserve">zjištěny během rozhovorů a </w:t>
      </w:r>
      <w:proofErr w:type="spellStart"/>
      <w:r w:rsidR="002B2321" w:rsidRPr="00ED3950">
        <w:rPr>
          <w:lang w:val="cs-CZ"/>
        </w:rPr>
        <w:t>desk</w:t>
      </w:r>
      <w:proofErr w:type="spellEnd"/>
      <w:r w:rsidR="002B2321" w:rsidRPr="00ED3950">
        <w:rPr>
          <w:lang w:val="cs-CZ"/>
        </w:rPr>
        <w:t xml:space="preserve"> </w:t>
      </w:r>
      <w:proofErr w:type="spellStart"/>
      <w:r w:rsidR="002B2321" w:rsidRPr="00ED3950">
        <w:rPr>
          <w:lang w:val="cs-CZ"/>
        </w:rPr>
        <w:t>research</w:t>
      </w:r>
      <w:proofErr w:type="spellEnd"/>
      <w:r w:rsidR="002B2321" w:rsidRPr="00ED3950">
        <w:rPr>
          <w:lang w:val="cs-CZ"/>
        </w:rPr>
        <w:t xml:space="preserve">. </w:t>
      </w:r>
      <w:r w:rsidR="00C76166" w:rsidRPr="00ED3950">
        <w:rPr>
          <w:lang w:val="cs-CZ"/>
        </w:rPr>
        <w:t xml:space="preserve">Nakonec, na </w:t>
      </w:r>
      <w:r w:rsidR="00370BF1" w:rsidRPr="00ED3950">
        <w:rPr>
          <w:lang w:val="cs-CZ"/>
        </w:rPr>
        <w:t xml:space="preserve">základě jasných faktorů podporujících řešení a překážek, </w:t>
      </w:r>
      <w:r w:rsidR="00191C89" w:rsidRPr="00ED3950">
        <w:rPr>
          <w:lang w:val="cs-CZ"/>
        </w:rPr>
        <w:t xml:space="preserve">umožňuje </w:t>
      </w:r>
      <w:r w:rsidR="00DC580C" w:rsidRPr="00ED3950">
        <w:rPr>
          <w:lang w:val="cs-CZ"/>
        </w:rPr>
        <w:t xml:space="preserve">analýzu </w:t>
      </w:r>
      <w:proofErr w:type="spellStart"/>
      <w:r w:rsidR="00DC580C" w:rsidRPr="00ED3950">
        <w:rPr>
          <w:lang w:val="cs-CZ"/>
        </w:rPr>
        <w:t>replikovatelnosti</w:t>
      </w:r>
      <w:proofErr w:type="spellEnd"/>
      <w:r w:rsidR="00DC580C" w:rsidRPr="00ED3950">
        <w:rPr>
          <w:lang w:val="cs-CZ"/>
        </w:rPr>
        <w:t xml:space="preserve"> cílových případů a postupů v České republice</w:t>
      </w:r>
      <w:r w:rsidR="00F4034E" w:rsidRPr="00ED3950">
        <w:rPr>
          <w:lang w:val="cs-CZ"/>
        </w:rPr>
        <w:t xml:space="preserve">. </w:t>
      </w:r>
    </w:p>
    <w:p w:rsidR="00EC000C" w:rsidRPr="00ED3950" w:rsidRDefault="00EC000C" w:rsidP="000B279D">
      <w:pPr>
        <w:rPr>
          <w:lang w:val="cs-CZ"/>
        </w:rPr>
      </w:pPr>
    </w:p>
    <w:p w:rsidR="005840C5" w:rsidRPr="00ED3950" w:rsidRDefault="00ED3950">
      <w:pPr>
        <w:pStyle w:val="Nadpis2"/>
        <w:rPr>
          <w:lang w:val="cs-CZ"/>
        </w:rPr>
      </w:pPr>
      <w:bookmarkStart w:id="15" w:name="_Toc131775832"/>
      <w:r w:rsidRPr="00ED3950">
        <w:rPr>
          <w:lang w:val="cs-CZ"/>
        </w:rPr>
        <w:t>Řídicí procesy uplatňování zásady DNSH</w:t>
      </w:r>
      <w:bookmarkEnd w:id="15"/>
    </w:p>
    <w:p w:rsidR="005840C5" w:rsidRPr="00ED3950" w:rsidRDefault="00ED3950">
      <w:pPr>
        <w:pStyle w:val="Nadpis3"/>
        <w:tabs>
          <w:tab w:val="clear" w:pos="851"/>
          <w:tab w:val="left" w:pos="567"/>
        </w:tabs>
        <w:ind w:left="567" w:hanging="567"/>
        <w:rPr>
          <w:lang w:val="cs-CZ"/>
        </w:rPr>
      </w:pPr>
      <w:bookmarkStart w:id="16" w:name="_Ref127521879"/>
      <w:bookmarkStart w:id="17" w:name="_Toc131775833"/>
      <w:bookmarkStart w:id="18" w:name="_Hlk125214876"/>
      <w:r w:rsidRPr="00ED3950">
        <w:rPr>
          <w:lang w:val="cs-CZ"/>
        </w:rPr>
        <w:t xml:space="preserve">Kontext </w:t>
      </w:r>
      <w:r w:rsidR="00DD3079" w:rsidRPr="00ED3950">
        <w:rPr>
          <w:lang w:val="cs-CZ"/>
        </w:rPr>
        <w:t>výzvy</w:t>
      </w:r>
      <w:bookmarkEnd w:id="16"/>
      <w:bookmarkEnd w:id="17"/>
    </w:p>
    <w:p w:rsidR="005840C5" w:rsidRPr="00ED3950" w:rsidRDefault="00521BEF">
      <w:pPr>
        <w:rPr>
          <w:lang w:val="cs-CZ"/>
        </w:rPr>
      </w:pPr>
      <w:r w:rsidRPr="00ED3950">
        <w:rPr>
          <w:lang w:val="cs-CZ"/>
        </w:rPr>
        <w:t xml:space="preserve">Během technických konzultací </w:t>
      </w:r>
      <w:r w:rsidR="00D0751F" w:rsidRPr="00ED3950">
        <w:rPr>
          <w:lang w:val="cs-CZ"/>
        </w:rPr>
        <w:t xml:space="preserve">s </w:t>
      </w:r>
      <w:r w:rsidRPr="00ED3950">
        <w:rPr>
          <w:lang w:val="cs-CZ"/>
        </w:rPr>
        <w:t xml:space="preserve">českými zúčastněnými stranami </w:t>
      </w:r>
      <w:r w:rsidR="009E6710" w:rsidRPr="00ED3950">
        <w:rPr>
          <w:lang w:val="cs-CZ"/>
        </w:rPr>
        <w:t xml:space="preserve">se jako zásadní problém </w:t>
      </w:r>
      <w:r w:rsidRPr="00ED3950">
        <w:rPr>
          <w:lang w:val="cs-CZ"/>
        </w:rPr>
        <w:t xml:space="preserve">ukázalo </w:t>
      </w:r>
      <w:r w:rsidR="00ED3950" w:rsidRPr="00ED3950">
        <w:rPr>
          <w:lang w:val="cs-CZ"/>
        </w:rPr>
        <w:t xml:space="preserve">vytvoření účinných </w:t>
      </w:r>
      <w:r w:rsidR="00AF5750" w:rsidRPr="00ED3950">
        <w:rPr>
          <w:lang w:val="cs-CZ"/>
        </w:rPr>
        <w:t xml:space="preserve">a </w:t>
      </w:r>
      <w:r w:rsidR="005341E0" w:rsidRPr="00ED3950">
        <w:rPr>
          <w:lang w:val="cs-CZ"/>
        </w:rPr>
        <w:t xml:space="preserve">jasných </w:t>
      </w:r>
      <w:r w:rsidR="009E6710" w:rsidRPr="00ED3950">
        <w:rPr>
          <w:lang w:val="cs-CZ"/>
        </w:rPr>
        <w:t xml:space="preserve">systémů řízení </w:t>
      </w:r>
      <w:r w:rsidR="00347677" w:rsidRPr="00ED3950">
        <w:rPr>
          <w:lang w:val="cs-CZ"/>
        </w:rPr>
        <w:t>pro</w:t>
      </w:r>
      <w:r w:rsidR="009E6710" w:rsidRPr="00ED3950">
        <w:rPr>
          <w:lang w:val="cs-CZ"/>
        </w:rPr>
        <w:t xml:space="preserve"> provádění </w:t>
      </w:r>
      <w:r w:rsidR="00347677" w:rsidRPr="00ED3950">
        <w:rPr>
          <w:lang w:val="cs-CZ"/>
        </w:rPr>
        <w:t xml:space="preserve">zásady </w:t>
      </w:r>
      <w:r w:rsidR="009E6710" w:rsidRPr="00ED3950">
        <w:rPr>
          <w:lang w:val="cs-CZ"/>
        </w:rPr>
        <w:t xml:space="preserve">DNSH. </w:t>
      </w:r>
      <w:r w:rsidR="009B0921" w:rsidRPr="00ED3950">
        <w:rPr>
          <w:lang w:val="cs-CZ"/>
        </w:rPr>
        <w:t xml:space="preserve">Členské státy </w:t>
      </w:r>
      <w:r w:rsidR="00150A15" w:rsidRPr="00ED3950">
        <w:rPr>
          <w:lang w:val="cs-CZ"/>
        </w:rPr>
        <w:t xml:space="preserve">se při zavádění </w:t>
      </w:r>
      <w:r w:rsidR="00FD7B7B" w:rsidRPr="00ED3950">
        <w:rPr>
          <w:lang w:val="cs-CZ"/>
        </w:rPr>
        <w:t xml:space="preserve">těchto procesů </w:t>
      </w:r>
      <w:r w:rsidR="00150A15" w:rsidRPr="00ED3950">
        <w:rPr>
          <w:lang w:val="cs-CZ"/>
        </w:rPr>
        <w:t xml:space="preserve">potýkají s </w:t>
      </w:r>
      <w:r w:rsidR="005B4242" w:rsidRPr="00ED3950">
        <w:rPr>
          <w:lang w:val="cs-CZ"/>
        </w:rPr>
        <w:t xml:space="preserve">obtížemi, </w:t>
      </w:r>
      <w:r w:rsidR="00096FF2" w:rsidRPr="00ED3950">
        <w:rPr>
          <w:lang w:val="cs-CZ"/>
        </w:rPr>
        <w:t>a to zejména při</w:t>
      </w:r>
      <w:r w:rsidR="00FD7B7B" w:rsidRPr="00ED3950">
        <w:rPr>
          <w:lang w:val="cs-CZ"/>
        </w:rPr>
        <w:t>:</w:t>
      </w:r>
    </w:p>
    <w:p w:rsidR="005840C5" w:rsidRPr="00ED3950" w:rsidRDefault="00ED3950">
      <w:pPr>
        <w:pStyle w:val="Bulletpoint"/>
        <w:numPr>
          <w:ilvl w:val="0"/>
          <w:numId w:val="11"/>
        </w:numPr>
        <w:ind w:left="851" w:hanging="284"/>
        <w:rPr>
          <w:lang w:val="cs-CZ"/>
        </w:rPr>
      </w:pPr>
      <w:r w:rsidRPr="00ED3950">
        <w:rPr>
          <w:b/>
          <w:lang w:val="cs-CZ"/>
        </w:rPr>
        <w:t xml:space="preserve">Určení </w:t>
      </w:r>
      <w:r w:rsidR="007D6B9F" w:rsidRPr="00ED3950">
        <w:rPr>
          <w:b/>
          <w:bCs/>
          <w:lang w:val="cs-CZ"/>
        </w:rPr>
        <w:t xml:space="preserve">ústředního </w:t>
      </w:r>
      <w:r w:rsidR="00C61354" w:rsidRPr="00ED3950">
        <w:rPr>
          <w:b/>
          <w:lang w:val="cs-CZ"/>
        </w:rPr>
        <w:t xml:space="preserve">orgánu (např. </w:t>
      </w:r>
      <w:r w:rsidRPr="00ED3950">
        <w:rPr>
          <w:lang w:val="cs-CZ"/>
        </w:rPr>
        <w:t xml:space="preserve">ministerstva </w:t>
      </w:r>
      <w:r w:rsidR="00702457" w:rsidRPr="00ED3950">
        <w:rPr>
          <w:lang w:val="cs-CZ"/>
        </w:rPr>
        <w:t xml:space="preserve">nebo </w:t>
      </w:r>
      <w:r w:rsidRPr="00ED3950">
        <w:rPr>
          <w:lang w:val="cs-CZ"/>
        </w:rPr>
        <w:t xml:space="preserve">agentury), </w:t>
      </w:r>
      <w:r w:rsidR="007D6B9F" w:rsidRPr="00ED3950">
        <w:rPr>
          <w:b/>
          <w:bCs/>
          <w:lang w:val="cs-CZ"/>
        </w:rPr>
        <w:t xml:space="preserve">který </w:t>
      </w:r>
      <w:r w:rsidR="00A97997" w:rsidRPr="00ED3950">
        <w:rPr>
          <w:lang w:val="cs-CZ"/>
        </w:rPr>
        <w:t xml:space="preserve">bude </w:t>
      </w:r>
      <w:r w:rsidR="00B23D5A" w:rsidRPr="00ED3950">
        <w:rPr>
          <w:lang w:val="cs-CZ"/>
        </w:rPr>
        <w:t xml:space="preserve">pověřen </w:t>
      </w:r>
      <w:r w:rsidR="00B21C7B" w:rsidRPr="00ED3950">
        <w:rPr>
          <w:lang w:val="cs-CZ"/>
        </w:rPr>
        <w:t xml:space="preserve">stanovením pravidel a postupů pro hodnocení DNSH </w:t>
      </w:r>
      <w:r w:rsidR="00751E78" w:rsidRPr="00ED3950">
        <w:rPr>
          <w:lang w:val="cs-CZ"/>
        </w:rPr>
        <w:t xml:space="preserve">(včetně </w:t>
      </w:r>
      <w:r w:rsidR="006D16C8" w:rsidRPr="00ED3950">
        <w:rPr>
          <w:lang w:val="cs-CZ"/>
        </w:rPr>
        <w:t xml:space="preserve">pokynů </w:t>
      </w:r>
      <w:r w:rsidR="006F0DC7" w:rsidRPr="00ED3950">
        <w:rPr>
          <w:lang w:val="cs-CZ"/>
        </w:rPr>
        <w:t xml:space="preserve">a </w:t>
      </w:r>
      <w:r w:rsidR="007B5C73" w:rsidRPr="00ED3950">
        <w:rPr>
          <w:lang w:val="cs-CZ"/>
        </w:rPr>
        <w:t xml:space="preserve">souborů údajů) </w:t>
      </w:r>
      <w:r w:rsidR="00A97997" w:rsidRPr="00ED3950">
        <w:rPr>
          <w:lang w:val="cs-CZ"/>
        </w:rPr>
        <w:t xml:space="preserve">a </w:t>
      </w:r>
      <w:r w:rsidR="006F0DC7" w:rsidRPr="00ED3950">
        <w:rPr>
          <w:lang w:val="cs-CZ"/>
        </w:rPr>
        <w:t xml:space="preserve">školením </w:t>
      </w:r>
      <w:r w:rsidR="00B23D5A" w:rsidRPr="00ED3950">
        <w:rPr>
          <w:lang w:val="cs-CZ"/>
        </w:rPr>
        <w:t xml:space="preserve">řídicích </w:t>
      </w:r>
      <w:r w:rsidR="006F0DC7" w:rsidRPr="00ED3950">
        <w:rPr>
          <w:lang w:val="cs-CZ"/>
        </w:rPr>
        <w:t>orgánů;</w:t>
      </w:r>
    </w:p>
    <w:p w:rsidR="005840C5" w:rsidRPr="00ED3950" w:rsidRDefault="00F00861">
      <w:pPr>
        <w:pStyle w:val="Bulletpoint"/>
        <w:numPr>
          <w:ilvl w:val="0"/>
          <w:numId w:val="11"/>
        </w:numPr>
        <w:ind w:left="851" w:hanging="284"/>
        <w:rPr>
          <w:lang w:val="cs-CZ"/>
        </w:rPr>
      </w:pPr>
      <w:r w:rsidRPr="00ED3950">
        <w:rPr>
          <w:b/>
          <w:lang w:val="cs-CZ"/>
        </w:rPr>
        <w:t xml:space="preserve">Na jedné straně najít </w:t>
      </w:r>
      <w:r w:rsidR="00977795" w:rsidRPr="00ED3950">
        <w:rPr>
          <w:b/>
          <w:lang w:val="cs-CZ"/>
        </w:rPr>
        <w:t xml:space="preserve">rovnováhu mezi </w:t>
      </w:r>
      <w:r w:rsidR="00A07D0F" w:rsidRPr="00ED3950">
        <w:rPr>
          <w:b/>
          <w:lang w:val="cs-CZ"/>
        </w:rPr>
        <w:t xml:space="preserve">jediným procesem řízení </w:t>
      </w:r>
      <w:r w:rsidR="00702B20" w:rsidRPr="00ED3950">
        <w:rPr>
          <w:b/>
          <w:lang w:val="cs-CZ"/>
        </w:rPr>
        <w:t xml:space="preserve">konzistentním ve všech programech, odvětvích a investicích a na </w:t>
      </w:r>
      <w:r w:rsidR="00ED3950" w:rsidRPr="00ED3950">
        <w:rPr>
          <w:b/>
          <w:lang w:val="cs-CZ"/>
        </w:rPr>
        <w:t xml:space="preserve">druhé straně zachovat </w:t>
      </w:r>
      <w:r w:rsidR="00651328" w:rsidRPr="00ED3950">
        <w:rPr>
          <w:b/>
          <w:bCs/>
          <w:lang w:val="cs-CZ"/>
        </w:rPr>
        <w:t xml:space="preserve">flexibilitu </w:t>
      </w:r>
      <w:r w:rsidR="00651328" w:rsidRPr="00ED3950">
        <w:rPr>
          <w:lang w:val="cs-CZ"/>
        </w:rPr>
        <w:t xml:space="preserve">pro </w:t>
      </w:r>
      <w:r w:rsidR="00702B20" w:rsidRPr="00ED3950">
        <w:rPr>
          <w:lang w:val="cs-CZ"/>
        </w:rPr>
        <w:t xml:space="preserve">zapojení odvětvových odborných znalostí a specializovaných orgánů </w:t>
      </w:r>
      <w:r w:rsidR="00912543" w:rsidRPr="00ED3950">
        <w:rPr>
          <w:lang w:val="cs-CZ"/>
        </w:rPr>
        <w:t>při posuzování DNSH;</w:t>
      </w:r>
    </w:p>
    <w:p w:rsidR="005840C5" w:rsidRPr="00ED3950" w:rsidRDefault="00ED3950">
      <w:pPr>
        <w:pStyle w:val="Bulletpoint"/>
        <w:numPr>
          <w:ilvl w:val="0"/>
          <w:numId w:val="11"/>
        </w:numPr>
        <w:ind w:left="851" w:hanging="284"/>
        <w:rPr>
          <w:lang w:val="cs-CZ"/>
        </w:rPr>
      </w:pPr>
      <w:r w:rsidRPr="00ED3950">
        <w:rPr>
          <w:b/>
          <w:lang w:val="cs-CZ"/>
        </w:rPr>
        <w:t xml:space="preserve">Vyhnout se </w:t>
      </w:r>
      <w:r w:rsidR="00F00861" w:rsidRPr="00ED3950">
        <w:rPr>
          <w:b/>
          <w:lang w:val="cs-CZ"/>
        </w:rPr>
        <w:t xml:space="preserve">náročným procesům pro všechny orgány </w:t>
      </w:r>
      <w:r w:rsidR="00EC73C1" w:rsidRPr="00ED3950">
        <w:rPr>
          <w:b/>
          <w:lang w:val="cs-CZ"/>
        </w:rPr>
        <w:t xml:space="preserve">a </w:t>
      </w:r>
      <w:r w:rsidR="00227236" w:rsidRPr="00ED3950">
        <w:rPr>
          <w:b/>
          <w:lang w:val="cs-CZ"/>
        </w:rPr>
        <w:t xml:space="preserve">zároveň zajistit </w:t>
      </w:r>
      <w:r w:rsidR="00613EA3" w:rsidRPr="00ED3950">
        <w:rPr>
          <w:b/>
          <w:bCs/>
          <w:lang w:val="cs-CZ"/>
        </w:rPr>
        <w:t xml:space="preserve">dostatečné </w:t>
      </w:r>
      <w:r w:rsidR="00DC478B" w:rsidRPr="00ED3950">
        <w:rPr>
          <w:b/>
          <w:bCs/>
          <w:lang w:val="cs-CZ"/>
        </w:rPr>
        <w:t xml:space="preserve">a </w:t>
      </w:r>
      <w:r w:rsidR="006910A7" w:rsidRPr="00ED3950">
        <w:rPr>
          <w:b/>
          <w:lang w:val="cs-CZ"/>
        </w:rPr>
        <w:t xml:space="preserve">podrobné znalosti </w:t>
      </w:r>
      <w:r w:rsidR="00227236" w:rsidRPr="00ED3950">
        <w:rPr>
          <w:b/>
          <w:bCs/>
          <w:lang w:val="cs-CZ"/>
        </w:rPr>
        <w:t xml:space="preserve">všech orgánů, </w:t>
      </w:r>
      <w:r w:rsidR="00B51082" w:rsidRPr="00ED3950">
        <w:rPr>
          <w:lang w:val="cs-CZ"/>
        </w:rPr>
        <w:t xml:space="preserve">aby bylo </w:t>
      </w:r>
      <w:r w:rsidR="006910A7" w:rsidRPr="00ED3950">
        <w:rPr>
          <w:lang w:val="cs-CZ"/>
        </w:rPr>
        <w:t xml:space="preserve">možné </w:t>
      </w:r>
      <w:r w:rsidR="00454616" w:rsidRPr="00ED3950">
        <w:rPr>
          <w:lang w:val="cs-CZ"/>
        </w:rPr>
        <w:t xml:space="preserve">vypracovat přesné posouzení a </w:t>
      </w:r>
      <w:r w:rsidR="006910A7" w:rsidRPr="00ED3950">
        <w:rPr>
          <w:lang w:val="cs-CZ"/>
        </w:rPr>
        <w:t>podporu.</w:t>
      </w:r>
    </w:p>
    <w:p w:rsidR="003744B8" w:rsidRPr="00ED3950" w:rsidRDefault="003744B8" w:rsidP="00682A35">
      <w:pPr>
        <w:rPr>
          <w:lang w:val="cs-CZ"/>
        </w:rPr>
      </w:pPr>
    </w:p>
    <w:p w:rsidR="005840C5" w:rsidRPr="00ED3950" w:rsidRDefault="00ED3950">
      <w:pPr>
        <w:rPr>
          <w:lang w:val="cs-CZ"/>
        </w:rPr>
      </w:pPr>
      <w:r w:rsidRPr="00ED3950">
        <w:rPr>
          <w:lang w:val="cs-CZ"/>
        </w:rPr>
        <w:t>Ačkoli to s sebou nese problémy</w:t>
      </w:r>
      <w:r w:rsidR="00AF5750" w:rsidRPr="00ED3950">
        <w:rPr>
          <w:lang w:val="cs-CZ"/>
        </w:rPr>
        <w:t xml:space="preserve">, </w:t>
      </w:r>
      <w:r w:rsidR="000747DC" w:rsidRPr="00ED3950">
        <w:rPr>
          <w:lang w:val="cs-CZ"/>
        </w:rPr>
        <w:t xml:space="preserve">vytvoření </w:t>
      </w:r>
      <w:r w:rsidR="005341E0" w:rsidRPr="00ED3950">
        <w:rPr>
          <w:lang w:val="cs-CZ"/>
        </w:rPr>
        <w:t xml:space="preserve">účinných a jasných </w:t>
      </w:r>
      <w:r w:rsidR="00A7644B" w:rsidRPr="00ED3950">
        <w:rPr>
          <w:lang w:val="cs-CZ"/>
        </w:rPr>
        <w:t xml:space="preserve">systémů řízení </w:t>
      </w:r>
      <w:r w:rsidR="007538D3" w:rsidRPr="00ED3950">
        <w:rPr>
          <w:lang w:val="cs-CZ"/>
        </w:rPr>
        <w:t>umožňuje</w:t>
      </w:r>
      <w:r w:rsidR="008576D1" w:rsidRPr="00ED3950">
        <w:rPr>
          <w:lang w:val="cs-CZ"/>
        </w:rPr>
        <w:t>:</w:t>
      </w:r>
    </w:p>
    <w:p w:rsidR="005840C5" w:rsidRPr="00ED3950" w:rsidRDefault="00A7644B">
      <w:pPr>
        <w:pStyle w:val="ChecklistBulletpoint0"/>
        <w:numPr>
          <w:ilvl w:val="0"/>
          <w:numId w:val="4"/>
        </w:numPr>
        <w:ind w:left="851" w:hanging="284"/>
        <w:rPr>
          <w:lang w:val="cs-CZ"/>
        </w:rPr>
      </w:pPr>
      <w:r w:rsidRPr="00ED3950">
        <w:rPr>
          <w:b/>
          <w:bCs/>
          <w:lang w:val="cs-CZ"/>
        </w:rPr>
        <w:t>Minimalizovat administrativní zátěž</w:t>
      </w:r>
      <w:r w:rsidR="00760F70" w:rsidRPr="00ED3950">
        <w:rPr>
          <w:lang w:val="cs-CZ"/>
        </w:rPr>
        <w:t xml:space="preserve">. </w:t>
      </w:r>
      <w:r w:rsidR="00A03635" w:rsidRPr="00ED3950">
        <w:rPr>
          <w:lang w:val="cs-CZ"/>
        </w:rPr>
        <w:t xml:space="preserve">Systém řízení a procesy musí poskytovat relevantní </w:t>
      </w:r>
      <w:r w:rsidR="00382E5E" w:rsidRPr="00ED3950">
        <w:rPr>
          <w:lang w:val="cs-CZ"/>
        </w:rPr>
        <w:t xml:space="preserve">(např. srozumitelnou pro neodborníky) </w:t>
      </w:r>
      <w:r w:rsidR="00A03635" w:rsidRPr="00ED3950">
        <w:rPr>
          <w:lang w:val="cs-CZ"/>
        </w:rPr>
        <w:t xml:space="preserve">a dostatečnou </w:t>
      </w:r>
      <w:r w:rsidR="00382E5E" w:rsidRPr="00ED3950">
        <w:rPr>
          <w:lang w:val="cs-CZ"/>
        </w:rPr>
        <w:t xml:space="preserve">(např. odvětvovou) </w:t>
      </w:r>
      <w:r w:rsidR="001D662A" w:rsidRPr="00ED3950">
        <w:rPr>
          <w:lang w:val="cs-CZ"/>
        </w:rPr>
        <w:t xml:space="preserve">podporu </w:t>
      </w:r>
      <w:r w:rsidR="002B20A9" w:rsidRPr="00ED3950">
        <w:rPr>
          <w:lang w:val="cs-CZ"/>
        </w:rPr>
        <w:t>řídicím orgánům a žadatelům</w:t>
      </w:r>
      <w:r w:rsidR="00BC721C" w:rsidRPr="00ED3950">
        <w:rPr>
          <w:lang w:val="cs-CZ"/>
        </w:rPr>
        <w:t xml:space="preserve">, </w:t>
      </w:r>
      <w:r w:rsidR="002B20A9" w:rsidRPr="00ED3950">
        <w:rPr>
          <w:lang w:val="cs-CZ"/>
        </w:rPr>
        <w:t xml:space="preserve">přičemž je </w:t>
      </w:r>
      <w:r w:rsidR="00A03635" w:rsidRPr="00ED3950">
        <w:rPr>
          <w:lang w:val="cs-CZ"/>
        </w:rPr>
        <w:t xml:space="preserve">třeba </w:t>
      </w:r>
      <w:r w:rsidR="00030B26" w:rsidRPr="00ED3950">
        <w:rPr>
          <w:lang w:val="cs-CZ"/>
        </w:rPr>
        <w:t>brát v úvahu jejich omezené zdroje</w:t>
      </w:r>
      <w:r w:rsidR="0092702A" w:rsidRPr="00ED3950">
        <w:rPr>
          <w:lang w:val="cs-CZ"/>
        </w:rPr>
        <w:t>;</w:t>
      </w:r>
    </w:p>
    <w:p w:rsidR="005840C5" w:rsidRPr="00ED3950" w:rsidRDefault="00A7644B">
      <w:pPr>
        <w:pStyle w:val="ChecklistBulletpoint0"/>
        <w:numPr>
          <w:ilvl w:val="0"/>
          <w:numId w:val="4"/>
        </w:numPr>
        <w:ind w:left="851" w:hanging="284"/>
        <w:rPr>
          <w:lang w:val="cs-CZ"/>
        </w:rPr>
      </w:pPr>
      <w:r w:rsidRPr="00ED3950">
        <w:rPr>
          <w:b/>
          <w:lang w:val="cs-CZ"/>
        </w:rPr>
        <w:t xml:space="preserve">Zajistit konzistentnost hodnocení DNSH mezi jednotlivými </w:t>
      </w:r>
      <w:r w:rsidR="006212EF" w:rsidRPr="00ED3950">
        <w:rPr>
          <w:b/>
          <w:lang w:val="cs-CZ"/>
        </w:rPr>
        <w:t>orgány</w:t>
      </w:r>
      <w:r w:rsidR="006212EF" w:rsidRPr="00ED3950">
        <w:rPr>
          <w:lang w:val="cs-CZ"/>
        </w:rPr>
        <w:t xml:space="preserve">. </w:t>
      </w:r>
      <w:r w:rsidR="001B61B5" w:rsidRPr="00ED3950">
        <w:rPr>
          <w:lang w:val="cs-CZ"/>
        </w:rPr>
        <w:t xml:space="preserve">Systém řízení a procesy by měly zajistit rovnoměrnou úroveň environmentální integrity napříč </w:t>
      </w:r>
      <w:r w:rsidR="00C80B51" w:rsidRPr="00ED3950">
        <w:rPr>
          <w:lang w:val="cs-CZ"/>
        </w:rPr>
        <w:t xml:space="preserve">orgány, odvětvími a jurisdikcemi (v případě regionálního provádění). </w:t>
      </w:r>
      <w:r w:rsidR="00BE3817" w:rsidRPr="00ED3950">
        <w:rPr>
          <w:lang w:val="cs-CZ"/>
        </w:rPr>
        <w:t xml:space="preserve">Musí také poskytovat informace a požadavky, které </w:t>
      </w:r>
      <w:r w:rsidR="0043140A" w:rsidRPr="00ED3950">
        <w:rPr>
          <w:lang w:val="cs-CZ"/>
        </w:rPr>
        <w:t xml:space="preserve">mohou </w:t>
      </w:r>
      <w:r w:rsidR="00671364" w:rsidRPr="00ED3950">
        <w:rPr>
          <w:lang w:val="cs-CZ"/>
        </w:rPr>
        <w:t xml:space="preserve">žadatelé </w:t>
      </w:r>
      <w:r w:rsidR="0043140A" w:rsidRPr="00ED3950">
        <w:rPr>
          <w:lang w:val="cs-CZ"/>
        </w:rPr>
        <w:t xml:space="preserve">použít </w:t>
      </w:r>
      <w:r w:rsidR="004461CF" w:rsidRPr="00ED3950">
        <w:rPr>
          <w:lang w:val="cs-CZ"/>
        </w:rPr>
        <w:t xml:space="preserve">pro </w:t>
      </w:r>
      <w:r w:rsidR="00E522FA" w:rsidRPr="00ED3950">
        <w:rPr>
          <w:lang w:val="cs-CZ"/>
        </w:rPr>
        <w:t xml:space="preserve">všechny programy (bez ohledu na řídicí orgán </w:t>
      </w:r>
      <w:r w:rsidR="00F43342" w:rsidRPr="00ED3950">
        <w:rPr>
          <w:lang w:val="cs-CZ"/>
        </w:rPr>
        <w:t>a do jisté míry i fond</w:t>
      </w:r>
      <w:r w:rsidR="00E522FA" w:rsidRPr="00ED3950">
        <w:rPr>
          <w:lang w:val="cs-CZ"/>
        </w:rPr>
        <w:t>)</w:t>
      </w:r>
      <w:r w:rsidR="00F43342" w:rsidRPr="00ED3950">
        <w:rPr>
          <w:lang w:val="cs-CZ"/>
        </w:rPr>
        <w:t>.</w:t>
      </w:r>
    </w:p>
    <w:p w:rsidR="00F54A4F" w:rsidRPr="00ED3950" w:rsidRDefault="00F54A4F" w:rsidP="00682A35">
      <w:pPr>
        <w:rPr>
          <w:lang w:val="cs-CZ"/>
        </w:rPr>
      </w:pPr>
    </w:p>
    <w:p w:rsidR="005840C5" w:rsidRPr="00ED3950" w:rsidRDefault="006910A7">
      <w:pPr>
        <w:rPr>
          <w:lang w:val="cs-CZ"/>
        </w:rPr>
      </w:pPr>
      <w:r w:rsidRPr="00ED3950">
        <w:rPr>
          <w:lang w:val="cs-CZ"/>
        </w:rPr>
        <w:t xml:space="preserve">Tento </w:t>
      </w:r>
      <w:proofErr w:type="spellStart"/>
      <w:r w:rsidR="00EB3362" w:rsidRPr="00ED3950">
        <w:rPr>
          <w:lang w:val="cs-CZ"/>
        </w:rPr>
        <w:t>webinář</w:t>
      </w:r>
      <w:proofErr w:type="spellEnd"/>
      <w:r w:rsidR="00EB3362" w:rsidRPr="00ED3950">
        <w:rPr>
          <w:lang w:val="cs-CZ"/>
        </w:rPr>
        <w:t xml:space="preserve"> </w:t>
      </w:r>
      <w:r w:rsidRPr="00ED3950">
        <w:rPr>
          <w:lang w:val="cs-CZ"/>
        </w:rPr>
        <w:t xml:space="preserve">se </w:t>
      </w:r>
      <w:r w:rsidR="00532591" w:rsidRPr="00ED3950">
        <w:rPr>
          <w:lang w:val="cs-CZ"/>
        </w:rPr>
        <w:t xml:space="preserve">proto </w:t>
      </w:r>
      <w:r w:rsidR="00B62372" w:rsidRPr="00ED3950">
        <w:rPr>
          <w:lang w:val="cs-CZ"/>
        </w:rPr>
        <w:t xml:space="preserve">zaměřil </w:t>
      </w:r>
      <w:r w:rsidR="00532591" w:rsidRPr="00ED3950">
        <w:rPr>
          <w:lang w:val="cs-CZ"/>
        </w:rPr>
        <w:t>na rozdělení rolí v orgánech a mezi nimi, konzistenci a flexibilitu procesů řízení, správu dat a budování kapacit.</w:t>
      </w:r>
    </w:p>
    <w:p w:rsidR="00B85758" w:rsidRPr="00ED3950" w:rsidRDefault="00B85758" w:rsidP="009C7016">
      <w:pPr>
        <w:rPr>
          <w:lang w:val="cs-CZ"/>
        </w:rPr>
      </w:pPr>
    </w:p>
    <w:p w:rsidR="005840C5" w:rsidRPr="00ED3950" w:rsidRDefault="00ED3950">
      <w:pPr>
        <w:pStyle w:val="Nadpis3"/>
        <w:tabs>
          <w:tab w:val="clear" w:pos="851"/>
          <w:tab w:val="left" w:pos="567"/>
        </w:tabs>
        <w:ind w:left="567" w:hanging="567"/>
        <w:rPr>
          <w:lang w:val="cs-CZ"/>
        </w:rPr>
      </w:pPr>
      <w:bookmarkStart w:id="19" w:name="_Toc131775834"/>
      <w:r w:rsidRPr="00ED3950">
        <w:rPr>
          <w:lang w:val="cs-CZ"/>
        </w:rPr>
        <w:t xml:space="preserve">Představení hlavních případů pro </w:t>
      </w:r>
      <w:proofErr w:type="spellStart"/>
      <w:r w:rsidR="003D4BAC" w:rsidRPr="00ED3950">
        <w:rPr>
          <w:lang w:val="cs-CZ"/>
        </w:rPr>
        <w:t>webinář</w:t>
      </w:r>
      <w:bookmarkEnd w:id="19"/>
      <w:proofErr w:type="spellEnd"/>
    </w:p>
    <w:p w:rsidR="005840C5" w:rsidRPr="00ED3950" w:rsidRDefault="00AA45C9">
      <w:pPr>
        <w:rPr>
          <w:lang w:val="cs-CZ"/>
        </w:rPr>
      </w:pPr>
      <w:r w:rsidRPr="00ED3950">
        <w:rPr>
          <w:lang w:val="cs-CZ"/>
        </w:rPr>
        <w:t xml:space="preserve">Jako hlavní případy </w:t>
      </w:r>
      <w:r w:rsidR="00ED3950" w:rsidRPr="00ED3950">
        <w:rPr>
          <w:lang w:val="cs-CZ"/>
        </w:rPr>
        <w:t xml:space="preserve">byly vybrány </w:t>
      </w:r>
      <w:r w:rsidR="000E1079" w:rsidRPr="00ED3950">
        <w:rPr>
          <w:lang w:val="cs-CZ"/>
        </w:rPr>
        <w:t xml:space="preserve">systém </w:t>
      </w:r>
      <w:r w:rsidR="00ED3950" w:rsidRPr="00ED3950">
        <w:rPr>
          <w:lang w:val="cs-CZ"/>
        </w:rPr>
        <w:t xml:space="preserve">řízení a </w:t>
      </w:r>
      <w:r w:rsidR="00ED3950" w:rsidRPr="00ED3950">
        <w:rPr>
          <w:b/>
          <w:lang w:val="cs-CZ"/>
        </w:rPr>
        <w:t xml:space="preserve">budování kapacit </w:t>
      </w:r>
      <w:r w:rsidR="00D973AC" w:rsidRPr="00ED3950">
        <w:rPr>
          <w:b/>
          <w:lang w:val="cs-CZ"/>
        </w:rPr>
        <w:t xml:space="preserve">divize DNSH </w:t>
      </w:r>
      <w:r w:rsidR="00ED3950" w:rsidRPr="00ED3950">
        <w:rPr>
          <w:lang w:val="cs-CZ"/>
        </w:rPr>
        <w:t xml:space="preserve">pro </w:t>
      </w:r>
      <w:r w:rsidR="000E1079" w:rsidRPr="00ED3950">
        <w:rPr>
          <w:lang w:val="cs-CZ"/>
        </w:rPr>
        <w:t xml:space="preserve">provádění </w:t>
      </w:r>
      <w:r w:rsidR="00ED3950" w:rsidRPr="00ED3950">
        <w:rPr>
          <w:lang w:val="cs-CZ"/>
        </w:rPr>
        <w:t xml:space="preserve">španělského RRP a </w:t>
      </w:r>
      <w:proofErr w:type="spellStart"/>
      <w:r w:rsidR="00ED3950" w:rsidRPr="00ED3950">
        <w:rPr>
          <w:b/>
          <w:lang w:val="cs-CZ"/>
        </w:rPr>
        <w:t>helpdesk</w:t>
      </w:r>
      <w:proofErr w:type="spellEnd"/>
      <w:r w:rsidR="00ED3950" w:rsidRPr="00ED3950">
        <w:rPr>
          <w:b/>
          <w:lang w:val="cs-CZ"/>
        </w:rPr>
        <w:t xml:space="preserve"> DNSH </w:t>
      </w:r>
      <w:r w:rsidR="00ED3950" w:rsidRPr="00ED3950">
        <w:rPr>
          <w:lang w:val="cs-CZ"/>
        </w:rPr>
        <w:t xml:space="preserve">v Belgii. </w:t>
      </w:r>
      <w:r w:rsidRPr="00ED3950">
        <w:rPr>
          <w:lang w:val="cs-CZ"/>
        </w:rPr>
        <w:t xml:space="preserve">Oba </w:t>
      </w:r>
      <w:r w:rsidR="0058292A" w:rsidRPr="00ED3950">
        <w:rPr>
          <w:lang w:val="cs-CZ"/>
        </w:rPr>
        <w:t xml:space="preserve">poskytují osvědčené postupy </w:t>
      </w:r>
      <w:r w:rsidR="00EC73C1" w:rsidRPr="00ED3950">
        <w:rPr>
          <w:lang w:val="cs-CZ"/>
        </w:rPr>
        <w:t xml:space="preserve">týkající se </w:t>
      </w:r>
      <w:r w:rsidR="0058292A" w:rsidRPr="00ED3950">
        <w:rPr>
          <w:lang w:val="cs-CZ"/>
        </w:rPr>
        <w:t xml:space="preserve">výše uvedených </w:t>
      </w:r>
      <w:r w:rsidR="00145AEE" w:rsidRPr="00ED3950">
        <w:rPr>
          <w:lang w:val="cs-CZ"/>
        </w:rPr>
        <w:t xml:space="preserve">výzev </w:t>
      </w:r>
      <w:r w:rsidR="0058292A" w:rsidRPr="00ED3950">
        <w:rPr>
          <w:lang w:val="cs-CZ"/>
        </w:rPr>
        <w:t>a zároveň jsou příkladem přínosů minimalizace administrativní zátěže a konzistentnosti hodnocení DNSH</w:t>
      </w:r>
      <w:r w:rsidR="00957B03" w:rsidRPr="00ED3950">
        <w:rPr>
          <w:lang w:val="cs-CZ"/>
        </w:rPr>
        <w:t>.</w:t>
      </w:r>
      <w:bookmarkEnd w:id="18"/>
    </w:p>
    <w:p w:rsidR="006C0AF8" w:rsidRPr="00ED3950" w:rsidRDefault="006C0AF8" w:rsidP="006C0AF8">
      <w:pPr>
        <w:rPr>
          <w:lang w:val="cs-CZ"/>
        </w:rPr>
      </w:pPr>
    </w:p>
    <w:p w:rsidR="005840C5" w:rsidRPr="00ED3950" w:rsidRDefault="00ED3950">
      <w:pPr>
        <w:pStyle w:val="Nadpis4"/>
        <w:rPr>
          <w:lang w:val="cs-CZ"/>
        </w:rPr>
      </w:pPr>
      <w:r w:rsidRPr="00ED3950">
        <w:rPr>
          <w:lang w:val="cs-CZ"/>
        </w:rPr>
        <w:lastRenderedPageBreak/>
        <w:t>Systém řízení a budování kapacit pro RRP (Španělsko)</w:t>
      </w:r>
    </w:p>
    <w:p w:rsidR="005840C5" w:rsidRPr="00ED3950" w:rsidRDefault="00ED3950">
      <w:pPr>
        <w:rPr>
          <w:lang w:val="cs-CZ"/>
        </w:rPr>
      </w:pPr>
      <w:r w:rsidRPr="00ED3950">
        <w:rPr>
          <w:lang w:val="cs-CZ"/>
        </w:rPr>
        <w:t xml:space="preserve">Španělsko vyvinulo </w:t>
      </w:r>
      <w:r w:rsidR="00EC735B" w:rsidRPr="00ED3950">
        <w:rPr>
          <w:lang w:val="cs-CZ"/>
        </w:rPr>
        <w:t xml:space="preserve">centralizovaný systém pro provádění a monitorování svého RRP. Za </w:t>
      </w:r>
      <w:r w:rsidR="00EE41AB" w:rsidRPr="00ED3950">
        <w:rPr>
          <w:lang w:val="cs-CZ"/>
        </w:rPr>
        <w:t xml:space="preserve">koordinaci provádění </w:t>
      </w:r>
      <w:r w:rsidR="00CF6747" w:rsidRPr="00ED3950">
        <w:rPr>
          <w:lang w:val="cs-CZ"/>
        </w:rPr>
        <w:t xml:space="preserve">RRP odpovídá </w:t>
      </w:r>
      <w:r w:rsidR="00443A54" w:rsidRPr="00ED3950">
        <w:rPr>
          <w:lang w:val="cs-CZ"/>
        </w:rPr>
        <w:t xml:space="preserve">Generální ředitelství pro plán obnovy a odolnosti </w:t>
      </w:r>
      <w:r w:rsidR="00A6425D" w:rsidRPr="00ED3950">
        <w:rPr>
          <w:lang w:val="cs-CZ"/>
        </w:rPr>
        <w:t xml:space="preserve">na ministerstvu financí a </w:t>
      </w:r>
      <w:r w:rsidR="00C22E86" w:rsidRPr="00ED3950">
        <w:rPr>
          <w:lang w:val="cs-CZ"/>
        </w:rPr>
        <w:t xml:space="preserve">ústředním kontrolním orgánem je </w:t>
      </w:r>
      <w:r w:rsidR="00EE41AB" w:rsidRPr="00ED3950">
        <w:rPr>
          <w:lang w:val="cs-CZ"/>
        </w:rPr>
        <w:t xml:space="preserve">Národní kontrolní úřad. </w:t>
      </w:r>
      <w:r w:rsidR="007A60C7" w:rsidRPr="00ED3950">
        <w:rPr>
          <w:lang w:val="cs-CZ"/>
        </w:rPr>
        <w:t xml:space="preserve">Kromě toho </w:t>
      </w:r>
      <w:r w:rsidR="004C123D" w:rsidRPr="00ED3950">
        <w:rPr>
          <w:lang w:val="cs-CZ"/>
        </w:rPr>
        <w:t xml:space="preserve">je na </w:t>
      </w:r>
      <w:r w:rsidR="00F25624" w:rsidRPr="00ED3950">
        <w:rPr>
          <w:lang w:val="cs-CZ"/>
        </w:rPr>
        <w:t xml:space="preserve">Ministerstvu pro ekologickou transformaci a demografickou výzvu </w:t>
      </w:r>
      <w:r w:rsidR="00BA5BCB" w:rsidRPr="00ED3950">
        <w:rPr>
          <w:lang w:val="cs-CZ"/>
        </w:rPr>
        <w:t xml:space="preserve">vnořeno </w:t>
      </w:r>
      <w:r w:rsidR="009C759B" w:rsidRPr="00ED3950">
        <w:rPr>
          <w:lang w:val="cs-CZ"/>
        </w:rPr>
        <w:t xml:space="preserve">Oddělení pro kontrolu uplatňování právních předpisů v oblasti životního prostředí (resp. jeho </w:t>
      </w:r>
      <w:r w:rsidR="00156EC6" w:rsidRPr="00ED3950">
        <w:rPr>
          <w:lang w:val="cs-CZ"/>
        </w:rPr>
        <w:t>"</w:t>
      </w:r>
      <w:r w:rsidR="009C759B" w:rsidRPr="00ED3950">
        <w:rPr>
          <w:lang w:val="cs-CZ"/>
        </w:rPr>
        <w:t>oddělení DNSH</w:t>
      </w:r>
      <w:r w:rsidR="00156EC6" w:rsidRPr="00ED3950">
        <w:rPr>
          <w:lang w:val="cs-CZ"/>
        </w:rPr>
        <w:t xml:space="preserve">"), </w:t>
      </w:r>
      <w:r w:rsidR="004C123D" w:rsidRPr="00ED3950">
        <w:rPr>
          <w:lang w:val="cs-CZ"/>
        </w:rPr>
        <w:t xml:space="preserve">které </w:t>
      </w:r>
      <w:r w:rsidR="009C759B" w:rsidRPr="00ED3950">
        <w:rPr>
          <w:lang w:val="cs-CZ"/>
        </w:rPr>
        <w:t xml:space="preserve">zajišťuje centralizaci </w:t>
      </w:r>
      <w:r w:rsidR="00D23297" w:rsidRPr="00ED3950">
        <w:rPr>
          <w:lang w:val="cs-CZ"/>
        </w:rPr>
        <w:t>uplatňování DNSH</w:t>
      </w:r>
      <w:r w:rsidR="00A56652" w:rsidRPr="00ED3950">
        <w:rPr>
          <w:lang w:val="cs-CZ"/>
        </w:rPr>
        <w:t xml:space="preserve">. Důležité je, že divize DNSH nemá zákonný </w:t>
      </w:r>
      <w:r w:rsidR="00012524" w:rsidRPr="00ED3950">
        <w:rPr>
          <w:lang w:val="cs-CZ"/>
        </w:rPr>
        <w:t>mandát</w:t>
      </w:r>
      <w:r w:rsidR="00B54B84" w:rsidRPr="00ED3950">
        <w:rPr>
          <w:lang w:val="cs-CZ"/>
        </w:rPr>
        <w:t xml:space="preserve">, </w:t>
      </w:r>
      <w:r w:rsidR="00BC3AE0" w:rsidRPr="00ED3950">
        <w:rPr>
          <w:lang w:val="cs-CZ"/>
        </w:rPr>
        <w:t xml:space="preserve">ale </w:t>
      </w:r>
      <w:r w:rsidR="00C54C60" w:rsidRPr="00ED3950">
        <w:rPr>
          <w:lang w:val="cs-CZ"/>
        </w:rPr>
        <w:t xml:space="preserve">funguje spíše jako </w:t>
      </w:r>
      <w:r w:rsidR="002D3CEA" w:rsidRPr="00ED3950">
        <w:rPr>
          <w:lang w:val="cs-CZ"/>
        </w:rPr>
        <w:t>"</w:t>
      </w:r>
      <w:r w:rsidR="004270F7" w:rsidRPr="00ED3950">
        <w:rPr>
          <w:lang w:val="cs-CZ"/>
        </w:rPr>
        <w:t xml:space="preserve">centrální </w:t>
      </w:r>
      <w:r w:rsidR="002D3CEA" w:rsidRPr="00ED3950">
        <w:rPr>
          <w:lang w:val="cs-CZ"/>
        </w:rPr>
        <w:t>odborné centrum"</w:t>
      </w:r>
      <w:r w:rsidR="00C54C60" w:rsidRPr="00ED3950">
        <w:rPr>
          <w:rStyle w:val="Znakapoznpodarou"/>
          <w:lang w:val="cs-CZ"/>
        </w:rPr>
        <w:footnoteReference w:id="3"/>
      </w:r>
      <w:r w:rsidR="00587B75" w:rsidRPr="00ED3950">
        <w:rPr>
          <w:lang w:val="cs-CZ"/>
        </w:rPr>
        <w:t xml:space="preserve"> -výhradně pro RRF-, </w:t>
      </w:r>
      <w:r w:rsidR="000E6CBB" w:rsidRPr="00ED3950">
        <w:rPr>
          <w:lang w:val="cs-CZ"/>
        </w:rPr>
        <w:t>které:</w:t>
      </w:r>
    </w:p>
    <w:p w:rsidR="005840C5" w:rsidRPr="00ED3950" w:rsidRDefault="00ED3950">
      <w:pPr>
        <w:pStyle w:val="Bulletpoint"/>
        <w:numPr>
          <w:ilvl w:val="0"/>
          <w:numId w:val="11"/>
        </w:numPr>
        <w:ind w:left="851" w:hanging="284"/>
        <w:rPr>
          <w:lang w:val="cs-CZ"/>
        </w:rPr>
      </w:pPr>
      <w:r w:rsidRPr="00ED3950">
        <w:rPr>
          <w:b/>
          <w:lang w:val="cs-CZ"/>
        </w:rPr>
        <w:t xml:space="preserve">Pomáhá </w:t>
      </w:r>
      <w:r w:rsidR="002D3CEA" w:rsidRPr="00ED3950">
        <w:rPr>
          <w:b/>
          <w:lang w:val="cs-CZ"/>
        </w:rPr>
        <w:t xml:space="preserve">jednotlivým </w:t>
      </w:r>
      <w:r w:rsidRPr="00ED3950">
        <w:rPr>
          <w:b/>
          <w:lang w:val="cs-CZ"/>
        </w:rPr>
        <w:t xml:space="preserve">ministerstvům </w:t>
      </w:r>
      <w:r w:rsidR="0058672C" w:rsidRPr="00ED3950">
        <w:rPr>
          <w:b/>
          <w:lang w:val="cs-CZ"/>
        </w:rPr>
        <w:t xml:space="preserve">dodržovat zásadu DNSH </w:t>
      </w:r>
      <w:r w:rsidR="00F932E3" w:rsidRPr="00ED3950">
        <w:rPr>
          <w:b/>
          <w:bCs/>
          <w:lang w:val="cs-CZ"/>
        </w:rPr>
        <w:t>při navrhování (nových) programových výzev</w:t>
      </w:r>
      <w:r w:rsidR="00AE32B7" w:rsidRPr="00ED3950">
        <w:rPr>
          <w:lang w:val="cs-CZ"/>
        </w:rPr>
        <w:t xml:space="preserve">. K tomu slouží koordinace příslušných ministerstev a týmů v </w:t>
      </w:r>
      <w:r w:rsidR="00990897" w:rsidRPr="00ED3950">
        <w:rPr>
          <w:lang w:val="cs-CZ"/>
        </w:rPr>
        <w:t xml:space="preserve">oblasti </w:t>
      </w:r>
      <w:r w:rsidR="00AE32B7" w:rsidRPr="00ED3950">
        <w:rPr>
          <w:lang w:val="cs-CZ"/>
        </w:rPr>
        <w:t xml:space="preserve">konkrétních </w:t>
      </w:r>
      <w:r w:rsidR="00990897" w:rsidRPr="00ED3950">
        <w:rPr>
          <w:lang w:val="cs-CZ"/>
        </w:rPr>
        <w:t xml:space="preserve">témat </w:t>
      </w:r>
      <w:r w:rsidR="00000AF4" w:rsidRPr="00ED3950">
        <w:rPr>
          <w:lang w:val="cs-CZ"/>
        </w:rPr>
        <w:t xml:space="preserve">a </w:t>
      </w:r>
      <w:r w:rsidR="00802F5D" w:rsidRPr="00ED3950">
        <w:rPr>
          <w:lang w:val="cs-CZ"/>
        </w:rPr>
        <w:t xml:space="preserve">revize </w:t>
      </w:r>
      <w:r w:rsidR="00000AF4" w:rsidRPr="00ED3950">
        <w:rPr>
          <w:lang w:val="cs-CZ"/>
        </w:rPr>
        <w:t xml:space="preserve">právních textů, které </w:t>
      </w:r>
      <w:r w:rsidR="00F5041B" w:rsidRPr="00ED3950">
        <w:rPr>
          <w:lang w:val="cs-CZ"/>
        </w:rPr>
        <w:t>schvaluje Rada ministrů</w:t>
      </w:r>
      <w:r w:rsidR="0058672C" w:rsidRPr="00ED3950">
        <w:rPr>
          <w:lang w:val="cs-CZ"/>
        </w:rPr>
        <w:t>;</w:t>
      </w:r>
    </w:p>
    <w:p w:rsidR="005840C5" w:rsidRPr="00ED3950" w:rsidRDefault="00ED3950">
      <w:pPr>
        <w:pStyle w:val="Odstavecseseznamem"/>
        <w:numPr>
          <w:ilvl w:val="0"/>
          <w:numId w:val="11"/>
        </w:numPr>
        <w:ind w:left="851" w:hanging="284"/>
        <w:rPr>
          <w:lang w:val="cs-CZ"/>
        </w:rPr>
      </w:pPr>
      <w:r w:rsidRPr="00ED3950">
        <w:rPr>
          <w:b/>
          <w:lang w:val="cs-CZ"/>
        </w:rPr>
        <w:t xml:space="preserve">Školí </w:t>
      </w:r>
      <w:r w:rsidR="00ED10ED" w:rsidRPr="00ED3950">
        <w:rPr>
          <w:b/>
          <w:bCs/>
          <w:lang w:val="cs-CZ"/>
        </w:rPr>
        <w:t xml:space="preserve">úředníky </w:t>
      </w:r>
      <w:r w:rsidRPr="00ED3950">
        <w:rPr>
          <w:b/>
          <w:lang w:val="cs-CZ"/>
        </w:rPr>
        <w:t xml:space="preserve">veřejné správy, </w:t>
      </w:r>
      <w:r w:rsidRPr="00ED3950">
        <w:rPr>
          <w:lang w:val="cs-CZ"/>
        </w:rPr>
        <w:t xml:space="preserve">kteří se podílejí na </w:t>
      </w:r>
      <w:r w:rsidR="0066200C" w:rsidRPr="00ED3950">
        <w:rPr>
          <w:lang w:val="cs-CZ"/>
        </w:rPr>
        <w:t xml:space="preserve">provádění RRP (včetně regionálních a místních subjektů), </w:t>
      </w:r>
      <w:r w:rsidR="00012524" w:rsidRPr="00ED3950">
        <w:rPr>
          <w:lang w:val="cs-CZ"/>
        </w:rPr>
        <w:t xml:space="preserve">prostřednictvím seminářů a </w:t>
      </w:r>
      <w:proofErr w:type="spellStart"/>
      <w:r w:rsidR="00012524" w:rsidRPr="00ED3950">
        <w:rPr>
          <w:lang w:val="cs-CZ"/>
        </w:rPr>
        <w:t>fokusních</w:t>
      </w:r>
      <w:proofErr w:type="spellEnd"/>
      <w:r w:rsidR="00012524" w:rsidRPr="00ED3950">
        <w:rPr>
          <w:lang w:val="cs-CZ"/>
        </w:rPr>
        <w:t xml:space="preserve"> skupin</w:t>
      </w:r>
      <w:r w:rsidR="0066200C" w:rsidRPr="00ED3950">
        <w:rPr>
          <w:lang w:val="cs-CZ"/>
        </w:rPr>
        <w:t>;</w:t>
      </w:r>
    </w:p>
    <w:p w:rsidR="005840C5" w:rsidRPr="00ED3950" w:rsidRDefault="00ED3950">
      <w:pPr>
        <w:pStyle w:val="Odstavecseseznamem"/>
        <w:numPr>
          <w:ilvl w:val="0"/>
          <w:numId w:val="11"/>
        </w:numPr>
        <w:ind w:left="851" w:hanging="284"/>
        <w:rPr>
          <w:lang w:val="cs-CZ"/>
        </w:rPr>
      </w:pPr>
      <w:r w:rsidRPr="00ED3950">
        <w:rPr>
          <w:b/>
          <w:lang w:val="cs-CZ"/>
        </w:rPr>
        <w:t xml:space="preserve">Vypracovává materiály pro </w:t>
      </w:r>
      <w:r w:rsidR="002074EE" w:rsidRPr="00ED3950">
        <w:rPr>
          <w:b/>
          <w:bCs/>
          <w:lang w:val="cs-CZ"/>
        </w:rPr>
        <w:t xml:space="preserve">systematické </w:t>
      </w:r>
      <w:r w:rsidR="000A2DF7" w:rsidRPr="00ED3950">
        <w:rPr>
          <w:b/>
          <w:lang w:val="cs-CZ"/>
        </w:rPr>
        <w:t xml:space="preserve">hodnocení DNSH ve všech odvětvích, typech nástrojů a jurisdikcích </w:t>
      </w:r>
      <w:r w:rsidR="00772C0A" w:rsidRPr="00ED3950">
        <w:rPr>
          <w:lang w:val="cs-CZ"/>
        </w:rPr>
        <w:t xml:space="preserve">(včetně příručky ověřené Komisí, dotazníku pro sebehodnocení </w:t>
      </w:r>
      <w:r w:rsidR="007E6F16" w:rsidRPr="00ED3950">
        <w:rPr>
          <w:lang w:val="cs-CZ"/>
        </w:rPr>
        <w:t xml:space="preserve">a úložiště dat pro </w:t>
      </w:r>
      <w:r w:rsidR="000D3CD9" w:rsidRPr="00ED3950">
        <w:rPr>
          <w:lang w:val="cs-CZ"/>
        </w:rPr>
        <w:t>provádění hodnocení vlivu na klima)</w:t>
      </w:r>
      <w:r w:rsidR="00AC3729" w:rsidRPr="00ED3950">
        <w:rPr>
          <w:lang w:val="cs-CZ"/>
        </w:rPr>
        <w:t>.</w:t>
      </w:r>
    </w:p>
    <w:p w:rsidR="000759B2" w:rsidRPr="00ED3950" w:rsidRDefault="000759B2" w:rsidP="00957B03">
      <w:pPr>
        <w:rPr>
          <w:lang w:val="cs-CZ"/>
        </w:rPr>
      </w:pPr>
    </w:p>
    <w:p w:rsidR="005840C5" w:rsidRPr="00ED3950" w:rsidRDefault="00ED3950">
      <w:pPr>
        <w:rPr>
          <w:lang w:val="cs-CZ"/>
        </w:rPr>
      </w:pPr>
      <w:r w:rsidRPr="00ED3950">
        <w:rPr>
          <w:lang w:val="cs-CZ"/>
        </w:rPr>
        <w:t xml:space="preserve">Toto centralizované fungování zajišťuje konzistentnost </w:t>
      </w:r>
      <w:r w:rsidR="006C1D31" w:rsidRPr="00ED3950">
        <w:rPr>
          <w:lang w:val="cs-CZ"/>
        </w:rPr>
        <w:t xml:space="preserve">přezkumů </w:t>
      </w:r>
      <w:r w:rsidR="004D1734" w:rsidRPr="00ED3950">
        <w:rPr>
          <w:lang w:val="cs-CZ"/>
        </w:rPr>
        <w:t xml:space="preserve">opatření </w:t>
      </w:r>
      <w:r w:rsidRPr="00ED3950">
        <w:rPr>
          <w:lang w:val="cs-CZ"/>
        </w:rPr>
        <w:t xml:space="preserve">DNSH </w:t>
      </w:r>
      <w:r w:rsidR="006C1D31" w:rsidRPr="00ED3950">
        <w:rPr>
          <w:lang w:val="cs-CZ"/>
        </w:rPr>
        <w:t xml:space="preserve">prováděných </w:t>
      </w:r>
      <w:r w:rsidR="00B277CC" w:rsidRPr="00ED3950">
        <w:rPr>
          <w:lang w:val="cs-CZ"/>
        </w:rPr>
        <w:t>od dubna 2021</w:t>
      </w:r>
      <w:r w:rsidR="00EA1429" w:rsidRPr="00ED3950">
        <w:rPr>
          <w:lang w:val="cs-CZ"/>
        </w:rPr>
        <w:t xml:space="preserve">. </w:t>
      </w:r>
      <w:r w:rsidR="007F5100" w:rsidRPr="00ED3950">
        <w:rPr>
          <w:lang w:val="cs-CZ"/>
        </w:rPr>
        <w:t xml:space="preserve">Pozoruhodné je, že ačkoli přezkumy </w:t>
      </w:r>
      <w:r w:rsidR="00E12AD1" w:rsidRPr="00ED3950">
        <w:rPr>
          <w:lang w:val="cs-CZ"/>
        </w:rPr>
        <w:t xml:space="preserve">prováděné </w:t>
      </w:r>
      <w:r w:rsidR="002A33EC" w:rsidRPr="00ED3950">
        <w:rPr>
          <w:lang w:val="cs-CZ"/>
        </w:rPr>
        <w:t xml:space="preserve">oddělením DNSH </w:t>
      </w:r>
      <w:r w:rsidR="007F5100" w:rsidRPr="00ED3950">
        <w:rPr>
          <w:lang w:val="cs-CZ"/>
        </w:rPr>
        <w:t xml:space="preserve">nejsou </w:t>
      </w:r>
      <w:r w:rsidR="001F5D74" w:rsidRPr="00ED3950">
        <w:rPr>
          <w:lang w:val="cs-CZ"/>
        </w:rPr>
        <w:t xml:space="preserve">pro ministerstva odpovědná </w:t>
      </w:r>
      <w:r w:rsidR="005334A6" w:rsidRPr="00ED3950">
        <w:rPr>
          <w:lang w:val="cs-CZ"/>
        </w:rPr>
        <w:t xml:space="preserve">za opatření </w:t>
      </w:r>
      <w:r w:rsidR="007F5100" w:rsidRPr="00ED3950">
        <w:rPr>
          <w:lang w:val="cs-CZ"/>
        </w:rPr>
        <w:t xml:space="preserve">právně závazné, oddělení DNSH konstatuje, že je </w:t>
      </w:r>
      <w:r w:rsidR="00BF3E3F" w:rsidRPr="00ED3950">
        <w:rPr>
          <w:lang w:val="cs-CZ"/>
        </w:rPr>
        <w:t xml:space="preserve">ministerstva </w:t>
      </w:r>
      <w:r w:rsidR="007F5100" w:rsidRPr="00ED3950">
        <w:rPr>
          <w:lang w:val="cs-CZ"/>
        </w:rPr>
        <w:t xml:space="preserve">postupně </w:t>
      </w:r>
      <w:r w:rsidR="00B75B3C" w:rsidRPr="00ED3950">
        <w:rPr>
          <w:lang w:val="cs-CZ"/>
        </w:rPr>
        <w:t xml:space="preserve">zapracovávají do konečných právních textů. </w:t>
      </w:r>
      <w:r w:rsidR="00EA1429" w:rsidRPr="00ED3950">
        <w:rPr>
          <w:lang w:val="cs-CZ"/>
        </w:rPr>
        <w:t xml:space="preserve">To naznačuje, </w:t>
      </w:r>
      <w:r w:rsidR="00DA03A5" w:rsidRPr="00ED3950">
        <w:rPr>
          <w:lang w:val="cs-CZ"/>
        </w:rPr>
        <w:t>že odbor</w:t>
      </w:r>
      <w:r w:rsidR="0054094A" w:rsidRPr="00ED3950">
        <w:rPr>
          <w:lang w:val="cs-CZ"/>
        </w:rPr>
        <w:t xml:space="preserve"> DNSH </w:t>
      </w:r>
      <w:r w:rsidR="007C547C" w:rsidRPr="00ED3950">
        <w:rPr>
          <w:lang w:val="cs-CZ"/>
        </w:rPr>
        <w:t xml:space="preserve">má </w:t>
      </w:r>
      <w:r w:rsidR="00A652D5" w:rsidRPr="00ED3950">
        <w:rPr>
          <w:lang w:val="cs-CZ"/>
        </w:rPr>
        <w:t xml:space="preserve">technické </w:t>
      </w:r>
      <w:r w:rsidR="007C547C" w:rsidRPr="00ED3950">
        <w:rPr>
          <w:lang w:val="cs-CZ"/>
        </w:rPr>
        <w:t xml:space="preserve">kapacity pro </w:t>
      </w:r>
      <w:r w:rsidR="00A61397" w:rsidRPr="00ED3950">
        <w:rPr>
          <w:lang w:val="cs-CZ"/>
        </w:rPr>
        <w:t xml:space="preserve">řešení </w:t>
      </w:r>
      <w:r w:rsidR="00931C5C" w:rsidRPr="00ED3950">
        <w:rPr>
          <w:lang w:val="cs-CZ"/>
        </w:rPr>
        <w:t xml:space="preserve">přezkumu </w:t>
      </w:r>
      <w:r w:rsidR="00A61397" w:rsidRPr="00ED3950">
        <w:rPr>
          <w:lang w:val="cs-CZ"/>
        </w:rPr>
        <w:t xml:space="preserve">opatření RRP a </w:t>
      </w:r>
      <w:r w:rsidR="00B75B3C" w:rsidRPr="00ED3950">
        <w:rPr>
          <w:lang w:val="cs-CZ"/>
        </w:rPr>
        <w:t xml:space="preserve">že disponuje </w:t>
      </w:r>
      <w:r w:rsidR="00EA1429" w:rsidRPr="00ED3950">
        <w:rPr>
          <w:lang w:val="cs-CZ"/>
        </w:rPr>
        <w:t xml:space="preserve">odbornými znalostmi pro </w:t>
      </w:r>
      <w:r w:rsidR="007C547C" w:rsidRPr="00ED3950">
        <w:rPr>
          <w:lang w:val="cs-CZ"/>
        </w:rPr>
        <w:t xml:space="preserve">zefektivnění a standardizaci postupů ve </w:t>
      </w:r>
      <w:r w:rsidR="00EA1429" w:rsidRPr="00ED3950">
        <w:rPr>
          <w:lang w:val="cs-CZ"/>
        </w:rPr>
        <w:t xml:space="preserve">všech odvětvích a nástrojích. </w:t>
      </w:r>
      <w:r w:rsidR="00BF3E3F" w:rsidRPr="00ED3950">
        <w:rPr>
          <w:lang w:val="cs-CZ"/>
        </w:rPr>
        <w:t xml:space="preserve">Význam této práce dále potvrzují ministerstva, která ji využívají </w:t>
      </w:r>
      <w:r w:rsidR="00F149C5" w:rsidRPr="00ED3950">
        <w:rPr>
          <w:lang w:val="cs-CZ"/>
        </w:rPr>
        <w:t xml:space="preserve">a </w:t>
      </w:r>
      <w:r w:rsidR="006C0AF8" w:rsidRPr="00ED3950">
        <w:rPr>
          <w:lang w:val="cs-CZ"/>
        </w:rPr>
        <w:t xml:space="preserve">která </w:t>
      </w:r>
      <w:r w:rsidR="00433FB6" w:rsidRPr="00ED3950">
        <w:rPr>
          <w:lang w:val="cs-CZ"/>
        </w:rPr>
        <w:t xml:space="preserve">zdůrazňují, že odborné znalosti oddělení DNSH </w:t>
      </w:r>
      <w:r w:rsidR="00FC46A5" w:rsidRPr="00ED3950">
        <w:rPr>
          <w:lang w:val="cs-CZ"/>
        </w:rPr>
        <w:t xml:space="preserve">jsou klíčovým prvkem pro </w:t>
      </w:r>
      <w:r w:rsidR="00045C89" w:rsidRPr="00ED3950">
        <w:rPr>
          <w:lang w:val="cs-CZ"/>
        </w:rPr>
        <w:t xml:space="preserve">zajištění toho, aby opatření byla v </w:t>
      </w:r>
      <w:r w:rsidR="00316936" w:rsidRPr="00ED3950">
        <w:rPr>
          <w:lang w:val="cs-CZ"/>
        </w:rPr>
        <w:t xml:space="preserve">souladu s </w:t>
      </w:r>
      <w:r w:rsidR="00FC46A5" w:rsidRPr="00ED3950">
        <w:rPr>
          <w:lang w:val="cs-CZ"/>
        </w:rPr>
        <w:t>evropskými pokyny.</w:t>
      </w:r>
    </w:p>
    <w:p w:rsidR="00025EBF" w:rsidRPr="00ED3950" w:rsidRDefault="00025EBF" w:rsidP="00957B03">
      <w:pPr>
        <w:rPr>
          <w:lang w:val="cs-CZ"/>
        </w:rPr>
      </w:pPr>
    </w:p>
    <w:p w:rsidR="005840C5" w:rsidRPr="00ED3950" w:rsidRDefault="00ED3950">
      <w:pPr>
        <w:rPr>
          <w:lang w:val="cs-CZ"/>
        </w:rPr>
      </w:pPr>
      <w:r w:rsidRPr="00ED3950">
        <w:rPr>
          <w:lang w:val="cs-CZ"/>
        </w:rPr>
        <w:t xml:space="preserve">Školení se rovněž </w:t>
      </w:r>
      <w:r w:rsidR="00DC417A" w:rsidRPr="00ED3950">
        <w:rPr>
          <w:lang w:val="cs-CZ"/>
        </w:rPr>
        <w:t>ukázala</w:t>
      </w:r>
      <w:r w:rsidRPr="00ED3950">
        <w:rPr>
          <w:lang w:val="cs-CZ"/>
        </w:rPr>
        <w:t xml:space="preserve"> jako přínosný nástroj pro důsledné uplatňování </w:t>
      </w:r>
      <w:r w:rsidR="00661DD0" w:rsidRPr="00ED3950">
        <w:rPr>
          <w:lang w:val="cs-CZ"/>
        </w:rPr>
        <w:t xml:space="preserve">zásady DNSH v rámci </w:t>
      </w:r>
      <w:r w:rsidRPr="00ED3950">
        <w:rPr>
          <w:lang w:val="cs-CZ"/>
        </w:rPr>
        <w:t xml:space="preserve">RRP. </w:t>
      </w:r>
      <w:r w:rsidR="00C66417" w:rsidRPr="00ED3950">
        <w:rPr>
          <w:lang w:val="cs-CZ"/>
        </w:rPr>
        <w:t xml:space="preserve">Zaprvé </w:t>
      </w:r>
      <w:r w:rsidR="004D70A0" w:rsidRPr="00ED3950">
        <w:rPr>
          <w:lang w:val="cs-CZ"/>
        </w:rPr>
        <w:t xml:space="preserve">umožňují soustředit </w:t>
      </w:r>
      <w:r w:rsidR="00025EBF" w:rsidRPr="00ED3950">
        <w:rPr>
          <w:lang w:val="cs-CZ"/>
        </w:rPr>
        <w:t xml:space="preserve">(spíše technické) </w:t>
      </w:r>
      <w:r w:rsidR="004D70A0" w:rsidRPr="00ED3950">
        <w:rPr>
          <w:lang w:val="cs-CZ"/>
        </w:rPr>
        <w:t xml:space="preserve">dotazy prováděcích orgánů v rámci celé místní, regionální a celostátní jurisdikce, a </w:t>
      </w:r>
      <w:r w:rsidR="00C66417" w:rsidRPr="00ED3950">
        <w:rPr>
          <w:lang w:val="cs-CZ"/>
        </w:rPr>
        <w:t xml:space="preserve">tím posílit komunikační materiály poskytované </w:t>
      </w:r>
      <w:r w:rsidR="00A315FB" w:rsidRPr="00ED3950">
        <w:rPr>
          <w:lang w:val="cs-CZ"/>
        </w:rPr>
        <w:t xml:space="preserve">oddělením </w:t>
      </w:r>
      <w:r w:rsidR="00C66417" w:rsidRPr="00ED3950">
        <w:rPr>
          <w:lang w:val="cs-CZ"/>
        </w:rPr>
        <w:t>DNSH</w:t>
      </w:r>
      <w:r w:rsidR="00A315FB" w:rsidRPr="00ED3950">
        <w:rPr>
          <w:lang w:val="cs-CZ"/>
        </w:rPr>
        <w:t xml:space="preserve">. Organizace školení jediným </w:t>
      </w:r>
      <w:r w:rsidR="009F5C02" w:rsidRPr="00ED3950">
        <w:rPr>
          <w:lang w:val="cs-CZ"/>
        </w:rPr>
        <w:t xml:space="preserve">subjektem </w:t>
      </w:r>
      <w:r w:rsidR="00A315FB" w:rsidRPr="00ED3950">
        <w:rPr>
          <w:lang w:val="cs-CZ"/>
        </w:rPr>
        <w:t xml:space="preserve">navíc </w:t>
      </w:r>
      <w:r w:rsidR="009F5C02" w:rsidRPr="00ED3950">
        <w:rPr>
          <w:lang w:val="cs-CZ"/>
        </w:rPr>
        <w:t xml:space="preserve">zajišťuje poskytování </w:t>
      </w:r>
      <w:r w:rsidR="004D70A0" w:rsidRPr="00ED3950">
        <w:rPr>
          <w:lang w:val="cs-CZ"/>
        </w:rPr>
        <w:t xml:space="preserve">konzistentních odpovědí </w:t>
      </w:r>
      <w:r w:rsidR="00317BE2" w:rsidRPr="00ED3950">
        <w:rPr>
          <w:lang w:val="cs-CZ"/>
        </w:rPr>
        <w:t xml:space="preserve">a pokynů, </w:t>
      </w:r>
      <w:r w:rsidR="00916DDA" w:rsidRPr="00ED3950">
        <w:rPr>
          <w:lang w:val="cs-CZ"/>
        </w:rPr>
        <w:t xml:space="preserve">což </w:t>
      </w:r>
      <w:r w:rsidR="00BB7FAE" w:rsidRPr="00ED3950">
        <w:rPr>
          <w:lang w:val="cs-CZ"/>
        </w:rPr>
        <w:t xml:space="preserve">podporuje </w:t>
      </w:r>
      <w:r w:rsidR="001435C3" w:rsidRPr="00ED3950">
        <w:rPr>
          <w:lang w:val="cs-CZ"/>
        </w:rPr>
        <w:t xml:space="preserve">harmonizovanou </w:t>
      </w:r>
      <w:r w:rsidR="002A60B2" w:rsidRPr="00ED3950">
        <w:rPr>
          <w:lang w:val="cs-CZ"/>
        </w:rPr>
        <w:t>úroveň environmentální integrity ve Španělsku.</w:t>
      </w:r>
    </w:p>
    <w:p w:rsidR="005B0F5B" w:rsidRPr="00ED3950" w:rsidRDefault="005B0F5B" w:rsidP="00957B03">
      <w:pPr>
        <w:rPr>
          <w:lang w:val="cs-CZ"/>
        </w:rPr>
      </w:pPr>
    </w:p>
    <w:p w:rsidR="005840C5" w:rsidRPr="00ED3950" w:rsidRDefault="00ED3950">
      <w:pPr>
        <w:pStyle w:val="Nadpis4"/>
        <w:rPr>
          <w:lang w:val="cs-CZ"/>
        </w:rPr>
      </w:pPr>
      <w:r w:rsidRPr="00ED3950">
        <w:rPr>
          <w:lang w:val="cs-CZ"/>
        </w:rPr>
        <w:t xml:space="preserve">Vytvoření </w:t>
      </w:r>
      <w:r w:rsidR="002B57EC" w:rsidRPr="00ED3950">
        <w:rPr>
          <w:lang w:val="cs-CZ"/>
        </w:rPr>
        <w:t xml:space="preserve">odborného centra a </w:t>
      </w:r>
      <w:proofErr w:type="spellStart"/>
      <w:r w:rsidRPr="00ED3950">
        <w:rPr>
          <w:lang w:val="cs-CZ"/>
        </w:rPr>
        <w:t>helpdesku</w:t>
      </w:r>
      <w:proofErr w:type="spellEnd"/>
      <w:r w:rsidRPr="00ED3950">
        <w:rPr>
          <w:lang w:val="cs-CZ"/>
        </w:rPr>
        <w:t xml:space="preserve"> pro princip DNSH (Belgie)</w:t>
      </w:r>
    </w:p>
    <w:p w:rsidR="005840C5" w:rsidRPr="00ED3950" w:rsidRDefault="00ED3950">
      <w:pPr>
        <w:rPr>
          <w:lang w:val="cs-CZ"/>
        </w:rPr>
      </w:pPr>
      <w:r w:rsidRPr="00ED3950">
        <w:rPr>
          <w:lang w:val="cs-CZ"/>
        </w:rPr>
        <w:t xml:space="preserve">S vědomím </w:t>
      </w:r>
      <w:r w:rsidR="001C64E7" w:rsidRPr="00ED3950">
        <w:rPr>
          <w:lang w:val="cs-CZ"/>
        </w:rPr>
        <w:t xml:space="preserve">relativně </w:t>
      </w:r>
      <w:r w:rsidR="00CD7DC1" w:rsidRPr="00ED3950">
        <w:rPr>
          <w:lang w:val="cs-CZ"/>
        </w:rPr>
        <w:t xml:space="preserve">"nového konceptu" </w:t>
      </w:r>
      <w:r w:rsidRPr="00ED3950">
        <w:rPr>
          <w:lang w:val="cs-CZ"/>
        </w:rPr>
        <w:t xml:space="preserve">principu DNSH a následných koncepčních výzev pro belgické </w:t>
      </w:r>
      <w:r w:rsidR="00DA535C" w:rsidRPr="00ED3950">
        <w:rPr>
          <w:lang w:val="cs-CZ"/>
        </w:rPr>
        <w:t xml:space="preserve">federální </w:t>
      </w:r>
      <w:r w:rsidRPr="00ED3950">
        <w:rPr>
          <w:lang w:val="cs-CZ"/>
        </w:rPr>
        <w:t>orgány</w:t>
      </w:r>
      <w:r w:rsidR="00202198" w:rsidRPr="00ED3950">
        <w:rPr>
          <w:rStyle w:val="Znakapoznpodarou"/>
          <w:lang w:val="cs-CZ"/>
        </w:rPr>
        <w:footnoteReference w:id="4"/>
      </w:r>
      <w:r w:rsidR="00B61FAA" w:rsidRPr="00ED3950">
        <w:rPr>
          <w:lang w:val="cs-CZ"/>
        </w:rPr>
        <w:t xml:space="preserve"> , a vzhledem k rozhodnutí uplatnit princip DNSH na </w:t>
      </w:r>
      <w:r w:rsidR="00636915" w:rsidRPr="00ED3950">
        <w:rPr>
          <w:lang w:val="cs-CZ"/>
        </w:rPr>
        <w:t xml:space="preserve">federální financování belgického RRP, </w:t>
      </w:r>
      <w:r w:rsidR="00283BEC" w:rsidRPr="00ED3950">
        <w:rPr>
          <w:lang w:val="cs-CZ"/>
        </w:rPr>
        <w:t xml:space="preserve">byl v </w:t>
      </w:r>
      <w:r w:rsidR="00202198" w:rsidRPr="00ED3950">
        <w:rPr>
          <w:lang w:val="cs-CZ"/>
        </w:rPr>
        <w:t xml:space="preserve">září 2022 </w:t>
      </w:r>
      <w:r w:rsidR="00DF2088" w:rsidRPr="00ED3950">
        <w:rPr>
          <w:lang w:val="cs-CZ"/>
        </w:rPr>
        <w:t xml:space="preserve">státním tajemníkem </w:t>
      </w:r>
      <w:r w:rsidR="008E6AAA" w:rsidRPr="00ED3950">
        <w:rPr>
          <w:lang w:val="cs-CZ"/>
        </w:rPr>
        <w:t xml:space="preserve">pro </w:t>
      </w:r>
      <w:r w:rsidR="00C10DA3" w:rsidRPr="00ED3950">
        <w:rPr>
          <w:lang w:val="cs-CZ"/>
        </w:rPr>
        <w:t xml:space="preserve">obnovu </w:t>
      </w:r>
      <w:r w:rsidR="008E6AAA" w:rsidRPr="00ED3950">
        <w:rPr>
          <w:lang w:val="cs-CZ"/>
        </w:rPr>
        <w:t xml:space="preserve">a strategické investice </w:t>
      </w:r>
      <w:r w:rsidR="00283BEC" w:rsidRPr="00ED3950">
        <w:rPr>
          <w:lang w:val="cs-CZ"/>
        </w:rPr>
        <w:t xml:space="preserve">spuštěn </w:t>
      </w:r>
      <w:proofErr w:type="spellStart"/>
      <w:r w:rsidR="00283BEC" w:rsidRPr="00ED3950">
        <w:rPr>
          <w:lang w:val="cs-CZ"/>
        </w:rPr>
        <w:t>Helpdesk</w:t>
      </w:r>
      <w:proofErr w:type="spellEnd"/>
      <w:r w:rsidR="00AE445E" w:rsidRPr="00ED3950">
        <w:rPr>
          <w:lang w:val="cs-CZ"/>
        </w:rPr>
        <w:t xml:space="preserve"> DNSH. </w:t>
      </w:r>
      <w:proofErr w:type="spellStart"/>
      <w:r w:rsidR="00E93F0B" w:rsidRPr="00ED3950">
        <w:rPr>
          <w:lang w:val="cs-CZ"/>
        </w:rPr>
        <w:t>Helpdesk</w:t>
      </w:r>
      <w:proofErr w:type="spellEnd"/>
      <w:r w:rsidR="00DA535C" w:rsidRPr="00ED3950">
        <w:rPr>
          <w:lang w:val="cs-CZ"/>
        </w:rPr>
        <w:t xml:space="preserve"> DNSH </w:t>
      </w:r>
      <w:r w:rsidR="00E93F0B" w:rsidRPr="00ED3950">
        <w:rPr>
          <w:lang w:val="cs-CZ"/>
        </w:rPr>
        <w:t xml:space="preserve">se </w:t>
      </w:r>
      <w:r w:rsidR="00EB5365" w:rsidRPr="00ED3950">
        <w:rPr>
          <w:lang w:val="cs-CZ"/>
        </w:rPr>
        <w:t>skládá</w:t>
      </w:r>
      <w:r w:rsidR="00952701" w:rsidRPr="00ED3950">
        <w:rPr>
          <w:lang w:val="cs-CZ"/>
        </w:rPr>
        <w:t xml:space="preserve"> </w:t>
      </w:r>
      <w:r w:rsidR="001B7929" w:rsidRPr="00ED3950">
        <w:rPr>
          <w:lang w:val="cs-CZ"/>
        </w:rPr>
        <w:t xml:space="preserve">z </w:t>
      </w:r>
      <w:r w:rsidR="00651448" w:rsidRPr="00ED3950">
        <w:rPr>
          <w:lang w:val="cs-CZ"/>
        </w:rPr>
        <w:t xml:space="preserve">týmu </w:t>
      </w:r>
      <w:r w:rsidR="00F34999" w:rsidRPr="00ED3950">
        <w:rPr>
          <w:lang w:val="cs-CZ"/>
        </w:rPr>
        <w:t xml:space="preserve">různorodých profilů </w:t>
      </w:r>
      <w:r w:rsidR="00651448" w:rsidRPr="00ED3950">
        <w:rPr>
          <w:lang w:val="cs-CZ"/>
        </w:rPr>
        <w:t xml:space="preserve">(4 odborníci, 1 koordinátor, 1 tajemník) a spadá pod federální veřejnou službu pro zdraví, bezpečnost potravinového řetězce a životní prostředí. </w:t>
      </w:r>
      <w:r w:rsidR="00C82F23" w:rsidRPr="00ED3950">
        <w:rPr>
          <w:lang w:val="cs-CZ"/>
        </w:rPr>
        <w:t xml:space="preserve">Zaměřuje se na </w:t>
      </w:r>
      <w:r w:rsidR="0093668E" w:rsidRPr="00ED3950">
        <w:rPr>
          <w:lang w:val="cs-CZ"/>
        </w:rPr>
        <w:t xml:space="preserve">uplatňování </w:t>
      </w:r>
      <w:r w:rsidR="00C82F23" w:rsidRPr="00ED3950">
        <w:rPr>
          <w:lang w:val="cs-CZ"/>
        </w:rPr>
        <w:t>principu DNSH v rámci RRF.</w:t>
      </w:r>
    </w:p>
    <w:p w:rsidR="00165D1A" w:rsidRPr="00ED3950" w:rsidRDefault="00165D1A" w:rsidP="00377499">
      <w:pPr>
        <w:rPr>
          <w:lang w:val="cs-CZ"/>
        </w:rPr>
      </w:pPr>
    </w:p>
    <w:p w:rsidR="005840C5" w:rsidRPr="00ED3950" w:rsidRDefault="00ED3950">
      <w:pPr>
        <w:rPr>
          <w:lang w:val="cs-CZ"/>
        </w:rPr>
      </w:pPr>
      <w:r w:rsidRPr="00ED3950">
        <w:rPr>
          <w:lang w:val="cs-CZ"/>
        </w:rPr>
        <w:t xml:space="preserve">Kromě </w:t>
      </w:r>
      <w:r w:rsidR="00F63509" w:rsidRPr="00ED3950">
        <w:rPr>
          <w:lang w:val="cs-CZ"/>
        </w:rPr>
        <w:t xml:space="preserve">své </w:t>
      </w:r>
      <w:r w:rsidRPr="00ED3950">
        <w:rPr>
          <w:lang w:val="cs-CZ"/>
        </w:rPr>
        <w:t xml:space="preserve">ústřední </w:t>
      </w:r>
      <w:r w:rsidR="00810CFD" w:rsidRPr="00ED3950">
        <w:rPr>
          <w:lang w:val="cs-CZ"/>
        </w:rPr>
        <w:t xml:space="preserve">podpůrné </w:t>
      </w:r>
      <w:r w:rsidRPr="00ED3950">
        <w:rPr>
          <w:lang w:val="cs-CZ"/>
        </w:rPr>
        <w:t xml:space="preserve">pozice </w:t>
      </w:r>
      <w:r w:rsidR="00C20AFE" w:rsidRPr="00ED3950">
        <w:rPr>
          <w:lang w:val="cs-CZ"/>
        </w:rPr>
        <w:t xml:space="preserve">je </w:t>
      </w:r>
      <w:proofErr w:type="spellStart"/>
      <w:r w:rsidRPr="00ED3950">
        <w:rPr>
          <w:lang w:val="cs-CZ"/>
        </w:rPr>
        <w:t>Helpdesk</w:t>
      </w:r>
      <w:proofErr w:type="spellEnd"/>
      <w:r w:rsidR="00810CFD" w:rsidRPr="00ED3950">
        <w:rPr>
          <w:lang w:val="cs-CZ"/>
        </w:rPr>
        <w:t xml:space="preserve"> DNSH </w:t>
      </w:r>
      <w:r w:rsidR="00EC31B8" w:rsidRPr="00ED3950">
        <w:rPr>
          <w:lang w:val="cs-CZ"/>
        </w:rPr>
        <w:t xml:space="preserve">pevně </w:t>
      </w:r>
      <w:r w:rsidR="00C20AFE" w:rsidRPr="00ED3950">
        <w:rPr>
          <w:lang w:val="cs-CZ"/>
        </w:rPr>
        <w:t xml:space="preserve">zakotven v </w:t>
      </w:r>
      <w:r w:rsidR="00EC31B8" w:rsidRPr="00ED3950">
        <w:rPr>
          <w:lang w:val="cs-CZ"/>
        </w:rPr>
        <w:t xml:space="preserve">belgické řídící struktuře a zastupuje federální </w:t>
      </w:r>
      <w:r w:rsidR="00C36BCC" w:rsidRPr="00ED3950">
        <w:rPr>
          <w:lang w:val="cs-CZ"/>
        </w:rPr>
        <w:t xml:space="preserve">subjekty v rámci </w:t>
      </w:r>
      <w:proofErr w:type="spellStart"/>
      <w:r w:rsidR="00B333B5" w:rsidRPr="00ED3950">
        <w:rPr>
          <w:lang w:val="cs-CZ"/>
        </w:rPr>
        <w:t>mezifederální</w:t>
      </w:r>
      <w:proofErr w:type="spellEnd"/>
      <w:r w:rsidR="00B333B5" w:rsidRPr="00ED3950">
        <w:rPr>
          <w:lang w:val="cs-CZ"/>
        </w:rPr>
        <w:t xml:space="preserve"> </w:t>
      </w:r>
      <w:r w:rsidR="00C36BCC" w:rsidRPr="00ED3950">
        <w:rPr>
          <w:lang w:val="cs-CZ"/>
        </w:rPr>
        <w:t xml:space="preserve">sítě pro DNSH </w:t>
      </w:r>
      <w:r w:rsidR="00443670" w:rsidRPr="00ED3950">
        <w:rPr>
          <w:lang w:val="cs-CZ"/>
        </w:rPr>
        <w:t xml:space="preserve">(viz </w:t>
      </w:r>
      <w:r w:rsidR="00657119" w:rsidRPr="00ED3950">
        <w:rPr>
          <w:lang w:val="cs-CZ"/>
        </w:rPr>
        <w:t xml:space="preserve">oddíl </w:t>
      </w:r>
      <w:proofErr w:type="gramStart"/>
      <w:r w:rsidR="00657119" w:rsidRPr="00ED3950">
        <w:rPr>
          <w:lang w:val="cs-CZ"/>
        </w:rPr>
        <w:t xml:space="preserve">2.1). </w:t>
      </w:r>
      <w:r w:rsidR="00443670" w:rsidRPr="00ED3950">
        <w:rPr>
          <w:lang w:val="cs-CZ"/>
        </w:rPr>
        <w:fldChar w:fldCharType="begin"/>
      </w:r>
      <w:r w:rsidR="00443670" w:rsidRPr="00ED3950">
        <w:rPr>
          <w:lang w:val="cs-CZ"/>
        </w:rPr>
        <w:instrText xml:space="preserve"> REF _Ref127542191 \r \h </w:instrText>
      </w:r>
      <w:r w:rsidR="00443670" w:rsidRPr="00ED3950">
        <w:rPr>
          <w:lang w:val="cs-CZ"/>
        </w:rPr>
      </w:r>
      <w:r w:rsidRPr="00ED3950">
        <w:rPr>
          <w:lang w:val="cs-CZ"/>
        </w:rPr>
        <w:instrText xml:space="preserve"> \* MERGEFORMAT </w:instrText>
      </w:r>
      <w:r w:rsidR="00443670" w:rsidRPr="00ED3950">
        <w:rPr>
          <w:lang w:val="cs-CZ"/>
        </w:rPr>
        <w:fldChar w:fldCharType="separate"/>
      </w:r>
      <w:r w:rsidR="00443670" w:rsidRPr="00ED3950">
        <w:rPr>
          <w:lang w:val="cs-CZ"/>
        </w:rPr>
        <w:t>4.1.3</w:t>
      </w:r>
      <w:proofErr w:type="gramEnd"/>
      <w:r w:rsidR="00443670" w:rsidRPr="00ED3950">
        <w:rPr>
          <w:lang w:val="cs-CZ"/>
        </w:rPr>
        <w:fldChar w:fldCharType="end"/>
      </w:r>
      <w:r w:rsidR="00443670" w:rsidRPr="00ED3950">
        <w:rPr>
          <w:lang w:val="cs-CZ"/>
        </w:rPr>
        <w:t>)</w:t>
      </w:r>
      <w:r w:rsidR="0006121E" w:rsidRPr="00ED3950">
        <w:rPr>
          <w:lang w:val="cs-CZ"/>
        </w:rPr>
        <w:t xml:space="preserve">. </w:t>
      </w:r>
      <w:proofErr w:type="spellStart"/>
      <w:r w:rsidR="00165D1A" w:rsidRPr="00ED3950">
        <w:rPr>
          <w:lang w:val="cs-CZ"/>
        </w:rPr>
        <w:t>Helpdesk</w:t>
      </w:r>
      <w:proofErr w:type="spellEnd"/>
      <w:r w:rsidR="00165D1A" w:rsidRPr="00ED3950">
        <w:rPr>
          <w:lang w:val="cs-CZ"/>
        </w:rPr>
        <w:t xml:space="preserve"> DNSH </w:t>
      </w:r>
      <w:r w:rsidR="0006121E" w:rsidRPr="00ED3950">
        <w:rPr>
          <w:lang w:val="cs-CZ"/>
        </w:rPr>
        <w:t>nabízí:</w:t>
      </w:r>
    </w:p>
    <w:p w:rsidR="005840C5" w:rsidRPr="00ED3950" w:rsidRDefault="00ED3950">
      <w:pPr>
        <w:pStyle w:val="Bulletpoint"/>
        <w:numPr>
          <w:ilvl w:val="0"/>
          <w:numId w:val="11"/>
        </w:numPr>
        <w:ind w:left="851" w:hanging="284"/>
        <w:rPr>
          <w:lang w:val="cs-CZ"/>
        </w:rPr>
      </w:pPr>
      <w:r w:rsidRPr="00ED3950">
        <w:rPr>
          <w:b/>
          <w:lang w:val="cs-CZ"/>
        </w:rPr>
        <w:lastRenderedPageBreak/>
        <w:t xml:space="preserve">Pomoc veřejným </w:t>
      </w:r>
      <w:r w:rsidR="00165D1A" w:rsidRPr="00ED3950">
        <w:rPr>
          <w:b/>
          <w:bCs/>
          <w:lang w:val="cs-CZ"/>
        </w:rPr>
        <w:t xml:space="preserve">federálním </w:t>
      </w:r>
      <w:r w:rsidRPr="00ED3950">
        <w:rPr>
          <w:b/>
          <w:lang w:val="cs-CZ"/>
        </w:rPr>
        <w:t xml:space="preserve">orgánům </w:t>
      </w:r>
      <w:r w:rsidRPr="00ED3950">
        <w:rPr>
          <w:lang w:val="cs-CZ"/>
        </w:rPr>
        <w:t>(</w:t>
      </w:r>
      <w:r w:rsidR="0006121E" w:rsidRPr="00ED3950">
        <w:rPr>
          <w:lang w:val="cs-CZ"/>
        </w:rPr>
        <w:t xml:space="preserve">např. </w:t>
      </w:r>
      <w:r w:rsidRPr="00ED3950">
        <w:rPr>
          <w:lang w:val="cs-CZ"/>
        </w:rPr>
        <w:t xml:space="preserve">analýza souladu opatření se zásadou DNSH) </w:t>
      </w:r>
      <w:r w:rsidR="008E5E32" w:rsidRPr="00ED3950">
        <w:rPr>
          <w:lang w:val="cs-CZ"/>
        </w:rPr>
        <w:t xml:space="preserve">a žadatelům/projektantům </w:t>
      </w:r>
      <w:r w:rsidR="00832181" w:rsidRPr="00ED3950">
        <w:rPr>
          <w:lang w:val="cs-CZ"/>
        </w:rPr>
        <w:t>(</w:t>
      </w:r>
      <w:r w:rsidR="00364DAF" w:rsidRPr="00ED3950">
        <w:rPr>
          <w:lang w:val="cs-CZ"/>
        </w:rPr>
        <w:t xml:space="preserve">např. </w:t>
      </w:r>
      <w:r w:rsidR="00832181" w:rsidRPr="00ED3950">
        <w:rPr>
          <w:lang w:val="cs-CZ"/>
        </w:rPr>
        <w:t xml:space="preserve">ad hoc informace v rámci </w:t>
      </w:r>
      <w:r w:rsidR="00443670" w:rsidRPr="00ED3950">
        <w:rPr>
          <w:lang w:val="cs-CZ"/>
        </w:rPr>
        <w:t>projektů)</w:t>
      </w:r>
      <w:r w:rsidR="00832181" w:rsidRPr="00ED3950">
        <w:rPr>
          <w:lang w:val="cs-CZ"/>
        </w:rPr>
        <w:t>;</w:t>
      </w:r>
    </w:p>
    <w:p w:rsidR="005840C5" w:rsidRPr="00ED3950" w:rsidRDefault="00ED3950">
      <w:pPr>
        <w:pStyle w:val="Odstavecseseznamem"/>
        <w:numPr>
          <w:ilvl w:val="0"/>
          <w:numId w:val="11"/>
        </w:numPr>
        <w:ind w:left="851" w:hanging="284"/>
        <w:rPr>
          <w:lang w:val="cs-CZ"/>
        </w:rPr>
      </w:pPr>
      <w:r w:rsidRPr="00ED3950">
        <w:rPr>
          <w:b/>
          <w:lang w:val="cs-CZ"/>
        </w:rPr>
        <w:t xml:space="preserve">Poskytování školení </w:t>
      </w:r>
      <w:r w:rsidR="00F73D2D" w:rsidRPr="00ED3950">
        <w:rPr>
          <w:lang w:val="cs-CZ"/>
        </w:rPr>
        <w:t xml:space="preserve">financujícím </w:t>
      </w:r>
      <w:r w:rsidR="008C35A5" w:rsidRPr="00ED3950">
        <w:rPr>
          <w:lang w:val="cs-CZ"/>
        </w:rPr>
        <w:t xml:space="preserve">orgánům a </w:t>
      </w:r>
      <w:r w:rsidRPr="00ED3950">
        <w:rPr>
          <w:lang w:val="cs-CZ"/>
        </w:rPr>
        <w:t>tvůrcům projektů</w:t>
      </w:r>
      <w:r w:rsidR="00983B32" w:rsidRPr="00ED3950">
        <w:rPr>
          <w:lang w:val="cs-CZ"/>
        </w:rPr>
        <w:t>;</w:t>
      </w:r>
    </w:p>
    <w:p w:rsidR="005840C5" w:rsidRPr="00ED3950" w:rsidRDefault="00983B32">
      <w:pPr>
        <w:pStyle w:val="Odstavecseseznamem"/>
        <w:numPr>
          <w:ilvl w:val="0"/>
          <w:numId w:val="11"/>
        </w:numPr>
        <w:ind w:left="851" w:hanging="284"/>
        <w:rPr>
          <w:lang w:val="cs-CZ"/>
        </w:rPr>
      </w:pPr>
      <w:r w:rsidRPr="00ED3950">
        <w:rPr>
          <w:b/>
          <w:lang w:val="cs-CZ"/>
        </w:rPr>
        <w:t xml:space="preserve">Materiály na podporu orgánů a tvůrců projektů </w:t>
      </w:r>
      <w:r w:rsidR="00654627" w:rsidRPr="00ED3950">
        <w:rPr>
          <w:lang w:val="cs-CZ"/>
        </w:rPr>
        <w:t>(</w:t>
      </w:r>
      <w:r w:rsidR="0082212F" w:rsidRPr="00ED3950">
        <w:rPr>
          <w:lang w:val="cs-CZ"/>
        </w:rPr>
        <w:t xml:space="preserve">příručky, šablony pro hodnocení, </w:t>
      </w:r>
      <w:r w:rsidR="004503E4" w:rsidRPr="00ED3950">
        <w:rPr>
          <w:lang w:val="cs-CZ"/>
        </w:rPr>
        <w:t xml:space="preserve">šablony pro veřejné zakázky v </w:t>
      </w:r>
      <w:r w:rsidR="00CD452E" w:rsidRPr="00ED3950">
        <w:rPr>
          <w:lang w:val="cs-CZ"/>
        </w:rPr>
        <w:t>souladu s DNSH</w:t>
      </w:r>
      <w:r w:rsidR="001C7608" w:rsidRPr="00ED3950">
        <w:rPr>
          <w:lang w:val="cs-CZ"/>
        </w:rPr>
        <w:t xml:space="preserve">, </w:t>
      </w:r>
      <w:r w:rsidR="009A340A" w:rsidRPr="00ED3950">
        <w:rPr>
          <w:lang w:val="cs-CZ"/>
        </w:rPr>
        <w:t xml:space="preserve">technické pokyny </w:t>
      </w:r>
      <w:r w:rsidR="00852FDE" w:rsidRPr="00ED3950">
        <w:rPr>
          <w:lang w:val="cs-CZ"/>
        </w:rPr>
        <w:t xml:space="preserve">pro </w:t>
      </w:r>
      <w:r w:rsidR="00D87024" w:rsidRPr="00ED3950">
        <w:rPr>
          <w:lang w:val="cs-CZ"/>
        </w:rPr>
        <w:t>sebehodnocení</w:t>
      </w:r>
      <w:r w:rsidR="00654627" w:rsidRPr="00ED3950">
        <w:rPr>
          <w:lang w:val="cs-CZ"/>
        </w:rPr>
        <w:t>)</w:t>
      </w:r>
      <w:r w:rsidR="00627EEB" w:rsidRPr="00ED3950">
        <w:rPr>
          <w:lang w:val="cs-CZ"/>
        </w:rPr>
        <w:t>;</w:t>
      </w:r>
    </w:p>
    <w:p w:rsidR="005840C5" w:rsidRPr="00ED3950" w:rsidRDefault="00694EB6">
      <w:pPr>
        <w:pStyle w:val="Odstavecseseznamem"/>
        <w:numPr>
          <w:ilvl w:val="0"/>
          <w:numId w:val="11"/>
        </w:numPr>
        <w:ind w:left="851" w:hanging="284"/>
        <w:rPr>
          <w:lang w:val="cs-CZ"/>
        </w:rPr>
      </w:pPr>
      <w:r w:rsidRPr="00ED3950">
        <w:rPr>
          <w:b/>
          <w:lang w:val="cs-CZ"/>
        </w:rPr>
        <w:t xml:space="preserve">Komunikace se </w:t>
      </w:r>
      <w:r w:rsidRPr="00ED3950">
        <w:rPr>
          <w:lang w:val="cs-CZ"/>
        </w:rPr>
        <w:t>všemi veřejnými</w:t>
      </w:r>
      <w:r w:rsidR="005F43CF" w:rsidRPr="00ED3950">
        <w:rPr>
          <w:lang w:val="cs-CZ"/>
        </w:rPr>
        <w:t xml:space="preserve">, </w:t>
      </w:r>
      <w:r w:rsidRPr="00ED3950">
        <w:rPr>
          <w:lang w:val="cs-CZ"/>
        </w:rPr>
        <w:t xml:space="preserve">soukromými, federálními a regionálními </w:t>
      </w:r>
      <w:r w:rsidR="005F43CF" w:rsidRPr="00ED3950">
        <w:rPr>
          <w:lang w:val="cs-CZ"/>
        </w:rPr>
        <w:t xml:space="preserve">zainteresovanými stranami </w:t>
      </w:r>
      <w:r w:rsidR="00F66F93" w:rsidRPr="00ED3950">
        <w:rPr>
          <w:lang w:val="cs-CZ"/>
        </w:rPr>
        <w:t>o osvědčených postupech</w:t>
      </w:r>
      <w:r w:rsidR="00616E84" w:rsidRPr="00ED3950">
        <w:rPr>
          <w:lang w:val="cs-CZ"/>
        </w:rPr>
        <w:t>.</w:t>
      </w:r>
    </w:p>
    <w:p w:rsidR="00D87024" w:rsidRPr="00ED3950" w:rsidRDefault="00D87024" w:rsidP="00657119">
      <w:pPr>
        <w:rPr>
          <w:lang w:val="cs-CZ"/>
        </w:rPr>
      </w:pPr>
    </w:p>
    <w:p w:rsidR="005840C5" w:rsidRPr="00ED3950" w:rsidRDefault="00A069E8">
      <w:pPr>
        <w:rPr>
          <w:lang w:val="cs-CZ"/>
        </w:rPr>
      </w:pPr>
      <w:r w:rsidRPr="00ED3950">
        <w:rPr>
          <w:lang w:val="cs-CZ"/>
        </w:rPr>
        <w:t xml:space="preserve">Jako klíčová </w:t>
      </w:r>
      <w:r w:rsidR="003C40FB" w:rsidRPr="00ED3950">
        <w:rPr>
          <w:lang w:val="cs-CZ"/>
        </w:rPr>
        <w:t xml:space="preserve">silná stránka </w:t>
      </w:r>
      <w:r w:rsidRPr="00ED3950">
        <w:rPr>
          <w:lang w:val="cs-CZ"/>
        </w:rPr>
        <w:t xml:space="preserve">se jeví </w:t>
      </w:r>
      <w:r w:rsidR="00ED3950" w:rsidRPr="00ED3950">
        <w:rPr>
          <w:lang w:val="cs-CZ"/>
        </w:rPr>
        <w:t xml:space="preserve">ústřední postavení </w:t>
      </w:r>
      <w:r w:rsidR="0093668E" w:rsidRPr="00ED3950">
        <w:rPr>
          <w:lang w:val="cs-CZ"/>
        </w:rPr>
        <w:t xml:space="preserve">a fungování </w:t>
      </w:r>
      <w:proofErr w:type="spellStart"/>
      <w:r w:rsidR="00ED3950" w:rsidRPr="00ED3950">
        <w:rPr>
          <w:lang w:val="cs-CZ"/>
        </w:rPr>
        <w:t>Helpdesku</w:t>
      </w:r>
      <w:proofErr w:type="spellEnd"/>
      <w:r w:rsidR="00657119" w:rsidRPr="00ED3950">
        <w:rPr>
          <w:lang w:val="cs-CZ"/>
        </w:rPr>
        <w:t xml:space="preserve"> DNSH </w:t>
      </w:r>
      <w:r w:rsidR="00ED3950" w:rsidRPr="00ED3950">
        <w:rPr>
          <w:lang w:val="cs-CZ"/>
        </w:rPr>
        <w:t xml:space="preserve">napříč veřejnými a soukromými zúčastněnými stranami a </w:t>
      </w:r>
      <w:r w:rsidR="00BF72CB" w:rsidRPr="00ED3950">
        <w:rPr>
          <w:lang w:val="cs-CZ"/>
        </w:rPr>
        <w:t xml:space="preserve">napříč </w:t>
      </w:r>
      <w:r w:rsidRPr="00ED3950">
        <w:rPr>
          <w:lang w:val="cs-CZ"/>
        </w:rPr>
        <w:t xml:space="preserve">federálními a regionálními subjekty. </w:t>
      </w:r>
      <w:r w:rsidR="002D35DC" w:rsidRPr="00ED3950">
        <w:rPr>
          <w:lang w:val="cs-CZ"/>
        </w:rPr>
        <w:t xml:space="preserve">Tým </w:t>
      </w:r>
      <w:proofErr w:type="spellStart"/>
      <w:r w:rsidR="009766E2" w:rsidRPr="00ED3950">
        <w:rPr>
          <w:lang w:val="cs-CZ"/>
        </w:rPr>
        <w:t>Helpdesku</w:t>
      </w:r>
      <w:proofErr w:type="spellEnd"/>
      <w:r w:rsidR="00BD2FAC" w:rsidRPr="00ED3950">
        <w:rPr>
          <w:lang w:val="cs-CZ"/>
        </w:rPr>
        <w:t xml:space="preserve"> DNSH </w:t>
      </w:r>
      <w:r w:rsidR="002D35DC" w:rsidRPr="00ED3950">
        <w:rPr>
          <w:lang w:val="cs-CZ"/>
        </w:rPr>
        <w:t xml:space="preserve">zdůrazňuje, že </w:t>
      </w:r>
      <w:r w:rsidR="00493E84" w:rsidRPr="00ED3950">
        <w:rPr>
          <w:b/>
          <w:bCs/>
          <w:lang w:val="cs-CZ"/>
        </w:rPr>
        <w:t xml:space="preserve">vnější </w:t>
      </w:r>
      <w:r w:rsidR="00F95DD5" w:rsidRPr="00ED3950">
        <w:rPr>
          <w:b/>
          <w:bCs/>
          <w:lang w:val="cs-CZ"/>
        </w:rPr>
        <w:t xml:space="preserve">komunikace </w:t>
      </w:r>
      <w:r w:rsidR="00F95DD5" w:rsidRPr="00ED3950">
        <w:rPr>
          <w:lang w:val="cs-CZ"/>
        </w:rPr>
        <w:t xml:space="preserve">s </w:t>
      </w:r>
      <w:r w:rsidR="00BA7ADD" w:rsidRPr="00ED3950">
        <w:rPr>
          <w:lang w:val="cs-CZ"/>
        </w:rPr>
        <w:t xml:space="preserve">těmito </w:t>
      </w:r>
      <w:r w:rsidR="00EA6978" w:rsidRPr="00ED3950">
        <w:rPr>
          <w:lang w:val="cs-CZ"/>
        </w:rPr>
        <w:t xml:space="preserve">zúčastněnými stranami </w:t>
      </w:r>
      <w:r w:rsidR="004F5E73" w:rsidRPr="00ED3950">
        <w:rPr>
          <w:lang w:val="cs-CZ"/>
        </w:rPr>
        <w:t xml:space="preserve">se ukázala jako obzvláště úspěšná. V </w:t>
      </w:r>
      <w:r w:rsidR="00F95DD5" w:rsidRPr="00ED3950">
        <w:rPr>
          <w:lang w:val="cs-CZ"/>
        </w:rPr>
        <w:t xml:space="preserve">praxi je externí komunikace </w:t>
      </w:r>
      <w:r w:rsidR="002379A3" w:rsidRPr="00ED3950">
        <w:rPr>
          <w:lang w:val="cs-CZ"/>
        </w:rPr>
        <w:t xml:space="preserve">vedena pravidelně </w:t>
      </w:r>
      <w:r w:rsidR="00971D32" w:rsidRPr="00ED3950">
        <w:rPr>
          <w:lang w:val="cs-CZ"/>
        </w:rPr>
        <w:t xml:space="preserve">- </w:t>
      </w:r>
      <w:r w:rsidR="002379A3" w:rsidRPr="00ED3950">
        <w:rPr>
          <w:lang w:val="cs-CZ"/>
        </w:rPr>
        <w:t xml:space="preserve">již od </w:t>
      </w:r>
      <w:r w:rsidR="006D4D5E" w:rsidRPr="00ED3950">
        <w:rPr>
          <w:lang w:val="cs-CZ"/>
        </w:rPr>
        <w:t xml:space="preserve">hodnocení </w:t>
      </w:r>
      <w:r w:rsidR="002379A3" w:rsidRPr="00ED3950">
        <w:rPr>
          <w:lang w:val="cs-CZ"/>
        </w:rPr>
        <w:t xml:space="preserve">projektů, </w:t>
      </w:r>
      <w:r w:rsidR="00343514" w:rsidRPr="00ED3950">
        <w:rPr>
          <w:lang w:val="cs-CZ"/>
        </w:rPr>
        <w:t xml:space="preserve">čímž se předchází </w:t>
      </w:r>
      <w:r w:rsidR="00C977EB" w:rsidRPr="00ED3950">
        <w:rPr>
          <w:lang w:val="cs-CZ"/>
        </w:rPr>
        <w:t xml:space="preserve">pozdějším </w:t>
      </w:r>
      <w:r w:rsidR="00FB1C76" w:rsidRPr="00ED3950">
        <w:rPr>
          <w:lang w:val="cs-CZ"/>
        </w:rPr>
        <w:t xml:space="preserve">rozsáhlým </w:t>
      </w:r>
      <w:r w:rsidR="00C977EB" w:rsidRPr="00ED3950">
        <w:rPr>
          <w:lang w:val="cs-CZ"/>
        </w:rPr>
        <w:t xml:space="preserve">revizím žádostí </w:t>
      </w:r>
      <w:r w:rsidR="00971D32" w:rsidRPr="00ED3950">
        <w:rPr>
          <w:lang w:val="cs-CZ"/>
        </w:rPr>
        <w:t xml:space="preserve">- </w:t>
      </w:r>
      <w:r w:rsidR="000E3B2F" w:rsidRPr="00ED3950">
        <w:rPr>
          <w:lang w:val="cs-CZ"/>
        </w:rPr>
        <w:t xml:space="preserve">a proaktivně </w:t>
      </w:r>
      <w:r w:rsidR="00971D32" w:rsidRPr="00ED3950">
        <w:rPr>
          <w:lang w:val="cs-CZ"/>
        </w:rPr>
        <w:t xml:space="preserve">- </w:t>
      </w:r>
      <w:r w:rsidR="00F4218B" w:rsidRPr="00ED3950">
        <w:rPr>
          <w:lang w:val="cs-CZ"/>
        </w:rPr>
        <w:t xml:space="preserve">s oslovováním </w:t>
      </w:r>
      <w:r w:rsidR="0069410A" w:rsidRPr="00ED3950">
        <w:rPr>
          <w:lang w:val="cs-CZ"/>
        </w:rPr>
        <w:t xml:space="preserve">financujících </w:t>
      </w:r>
      <w:r w:rsidR="00533491" w:rsidRPr="00ED3950">
        <w:rPr>
          <w:lang w:val="cs-CZ"/>
        </w:rPr>
        <w:t xml:space="preserve">orgánů </w:t>
      </w:r>
      <w:r w:rsidR="00CB2AD3" w:rsidRPr="00ED3950">
        <w:rPr>
          <w:lang w:val="cs-CZ"/>
        </w:rPr>
        <w:t xml:space="preserve">s </w:t>
      </w:r>
      <w:r w:rsidR="00F4218B" w:rsidRPr="00ED3950">
        <w:rPr>
          <w:lang w:val="cs-CZ"/>
        </w:rPr>
        <w:t xml:space="preserve">cílem nabídnout </w:t>
      </w:r>
      <w:r w:rsidR="00533491" w:rsidRPr="00ED3950">
        <w:rPr>
          <w:lang w:val="cs-CZ"/>
        </w:rPr>
        <w:t xml:space="preserve">podporu ze </w:t>
      </w:r>
      <w:r w:rsidR="0069410A" w:rsidRPr="00ED3950">
        <w:rPr>
          <w:lang w:val="cs-CZ"/>
        </w:rPr>
        <w:t xml:space="preserve">strany týmu </w:t>
      </w:r>
      <w:proofErr w:type="spellStart"/>
      <w:r w:rsidR="0069410A" w:rsidRPr="00ED3950">
        <w:rPr>
          <w:lang w:val="cs-CZ"/>
        </w:rPr>
        <w:t>Helpdesku</w:t>
      </w:r>
      <w:proofErr w:type="spellEnd"/>
      <w:r w:rsidR="0069410A" w:rsidRPr="00ED3950">
        <w:rPr>
          <w:lang w:val="cs-CZ"/>
        </w:rPr>
        <w:t xml:space="preserve"> DNSH</w:t>
      </w:r>
      <w:r w:rsidR="00452584" w:rsidRPr="00ED3950">
        <w:rPr>
          <w:lang w:val="cs-CZ"/>
        </w:rPr>
        <w:t xml:space="preserve">. </w:t>
      </w:r>
      <w:r w:rsidR="00F3431D" w:rsidRPr="00ED3950">
        <w:rPr>
          <w:lang w:val="cs-CZ"/>
        </w:rPr>
        <w:t xml:space="preserve">Efektivitu </w:t>
      </w:r>
      <w:r w:rsidR="006E026D" w:rsidRPr="00ED3950">
        <w:rPr>
          <w:lang w:val="cs-CZ"/>
        </w:rPr>
        <w:t xml:space="preserve">externí komunikace </w:t>
      </w:r>
      <w:r w:rsidR="00635BD0" w:rsidRPr="00ED3950">
        <w:rPr>
          <w:lang w:val="cs-CZ"/>
        </w:rPr>
        <w:t xml:space="preserve">podporuje </w:t>
      </w:r>
      <w:r w:rsidR="00F3431D" w:rsidRPr="00ED3950">
        <w:rPr>
          <w:lang w:val="cs-CZ"/>
        </w:rPr>
        <w:t xml:space="preserve">také rozmanitost </w:t>
      </w:r>
      <w:r w:rsidR="003E46D0" w:rsidRPr="00ED3950">
        <w:rPr>
          <w:lang w:val="cs-CZ"/>
        </w:rPr>
        <w:t xml:space="preserve">typů </w:t>
      </w:r>
      <w:r w:rsidR="008F1260" w:rsidRPr="00ED3950">
        <w:rPr>
          <w:lang w:val="cs-CZ"/>
        </w:rPr>
        <w:t xml:space="preserve">podpory </w:t>
      </w:r>
      <w:r w:rsidR="003E46D0" w:rsidRPr="00ED3950">
        <w:rPr>
          <w:lang w:val="cs-CZ"/>
        </w:rPr>
        <w:t>(</w:t>
      </w:r>
      <w:r w:rsidR="008444C4" w:rsidRPr="00ED3950">
        <w:rPr>
          <w:lang w:val="cs-CZ"/>
        </w:rPr>
        <w:t xml:space="preserve">např. </w:t>
      </w:r>
      <w:r w:rsidR="003E46D0" w:rsidRPr="00ED3950">
        <w:rPr>
          <w:lang w:val="cs-CZ"/>
        </w:rPr>
        <w:t xml:space="preserve">videa, šablony, </w:t>
      </w:r>
      <w:r w:rsidR="008444C4" w:rsidRPr="00ED3950">
        <w:rPr>
          <w:lang w:val="cs-CZ"/>
        </w:rPr>
        <w:t>průvodci)</w:t>
      </w:r>
      <w:r w:rsidR="00AF535C" w:rsidRPr="00ED3950">
        <w:rPr>
          <w:lang w:val="cs-CZ"/>
        </w:rPr>
        <w:t xml:space="preserve">. </w:t>
      </w:r>
      <w:r w:rsidR="009170D7" w:rsidRPr="00ED3950">
        <w:rPr>
          <w:lang w:val="cs-CZ"/>
        </w:rPr>
        <w:t xml:space="preserve">Různorodost formátů </w:t>
      </w:r>
      <w:r w:rsidR="00AF535C" w:rsidRPr="00ED3950">
        <w:rPr>
          <w:lang w:val="cs-CZ"/>
        </w:rPr>
        <w:t xml:space="preserve">skutečně umožňuje </w:t>
      </w:r>
      <w:r w:rsidR="002C6B1F" w:rsidRPr="00ED3950">
        <w:rPr>
          <w:lang w:val="cs-CZ"/>
        </w:rPr>
        <w:t xml:space="preserve">oslovit různorodější publikum a zajišťuje, že uživatelé mohou informace najít trvale (stálá videa vs. </w:t>
      </w:r>
      <w:r w:rsidR="000209D5" w:rsidRPr="00ED3950">
        <w:rPr>
          <w:lang w:val="cs-CZ"/>
        </w:rPr>
        <w:t xml:space="preserve">ad hoc </w:t>
      </w:r>
      <w:r w:rsidR="002C6B1F" w:rsidRPr="00ED3950">
        <w:rPr>
          <w:lang w:val="cs-CZ"/>
        </w:rPr>
        <w:t xml:space="preserve">školení). </w:t>
      </w:r>
      <w:r w:rsidR="00043E76" w:rsidRPr="00ED3950">
        <w:rPr>
          <w:lang w:val="cs-CZ"/>
        </w:rPr>
        <w:t xml:space="preserve">Důležité je, že </w:t>
      </w:r>
      <w:proofErr w:type="spellStart"/>
      <w:r w:rsidR="006E14D5" w:rsidRPr="00ED3950">
        <w:rPr>
          <w:lang w:val="cs-CZ"/>
        </w:rPr>
        <w:t>Helpdesk</w:t>
      </w:r>
      <w:proofErr w:type="spellEnd"/>
      <w:r w:rsidR="008E5810" w:rsidRPr="00ED3950">
        <w:rPr>
          <w:lang w:val="cs-CZ"/>
        </w:rPr>
        <w:t xml:space="preserve"> DNSH </w:t>
      </w:r>
      <w:r w:rsidR="0093668E" w:rsidRPr="00ED3950">
        <w:rPr>
          <w:lang w:val="cs-CZ"/>
        </w:rPr>
        <w:t>má</w:t>
      </w:r>
      <w:r w:rsidR="006E14D5" w:rsidRPr="00ED3950">
        <w:rPr>
          <w:lang w:val="cs-CZ"/>
        </w:rPr>
        <w:t xml:space="preserve"> za cíl budovat kapacitu nad rámec provádění </w:t>
      </w:r>
      <w:r w:rsidR="00237747" w:rsidRPr="00ED3950">
        <w:rPr>
          <w:lang w:val="cs-CZ"/>
        </w:rPr>
        <w:t xml:space="preserve">zásady DNSH v rámci </w:t>
      </w:r>
      <w:r w:rsidR="006E14D5" w:rsidRPr="00ED3950">
        <w:rPr>
          <w:lang w:val="cs-CZ"/>
        </w:rPr>
        <w:t xml:space="preserve">RRP; tým </w:t>
      </w:r>
      <w:r w:rsidR="007E0F02" w:rsidRPr="00ED3950">
        <w:rPr>
          <w:lang w:val="cs-CZ"/>
        </w:rPr>
        <w:t xml:space="preserve">zdůrazňuje, že zásada DNSH je </w:t>
      </w:r>
      <w:r w:rsidR="00E62797" w:rsidRPr="00ED3950">
        <w:rPr>
          <w:lang w:val="cs-CZ"/>
        </w:rPr>
        <w:t xml:space="preserve">komplexní, takže by měla být chápána </w:t>
      </w:r>
      <w:r w:rsidR="00CC560E" w:rsidRPr="00ED3950">
        <w:rPr>
          <w:lang w:val="cs-CZ"/>
        </w:rPr>
        <w:t xml:space="preserve">nad rámec konkrétních </w:t>
      </w:r>
      <w:r w:rsidR="00E62797" w:rsidRPr="00ED3950">
        <w:rPr>
          <w:lang w:val="cs-CZ"/>
        </w:rPr>
        <w:t xml:space="preserve">modalit RRP a nad rámec </w:t>
      </w:r>
      <w:r w:rsidR="00AB1979" w:rsidRPr="00ED3950">
        <w:rPr>
          <w:lang w:val="cs-CZ"/>
        </w:rPr>
        <w:t xml:space="preserve">(pouze) environmentálních </w:t>
      </w:r>
      <w:r w:rsidR="00E62797" w:rsidRPr="00ED3950">
        <w:rPr>
          <w:lang w:val="cs-CZ"/>
        </w:rPr>
        <w:t xml:space="preserve">cílů souvisejících s klimatem. </w:t>
      </w:r>
      <w:r w:rsidR="004F6C08" w:rsidRPr="00ED3950">
        <w:rPr>
          <w:lang w:val="cs-CZ"/>
        </w:rPr>
        <w:t xml:space="preserve">Tato intenzivní </w:t>
      </w:r>
      <w:r w:rsidR="00CC0756" w:rsidRPr="00ED3950">
        <w:rPr>
          <w:lang w:val="cs-CZ"/>
        </w:rPr>
        <w:t xml:space="preserve">a </w:t>
      </w:r>
      <w:r w:rsidR="004F6C08" w:rsidRPr="00ED3950">
        <w:rPr>
          <w:lang w:val="cs-CZ"/>
        </w:rPr>
        <w:t xml:space="preserve">rozmanitá </w:t>
      </w:r>
      <w:r w:rsidR="00CC0756" w:rsidRPr="00ED3950">
        <w:rPr>
          <w:lang w:val="cs-CZ"/>
        </w:rPr>
        <w:t xml:space="preserve">podpora </w:t>
      </w:r>
      <w:r w:rsidR="004F6C08" w:rsidRPr="00ED3950">
        <w:rPr>
          <w:lang w:val="cs-CZ"/>
        </w:rPr>
        <w:t xml:space="preserve">vyžaduje, aby byly </w:t>
      </w:r>
      <w:proofErr w:type="spellStart"/>
      <w:r w:rsidR="00DD2154" w:rsidRPr="00ED3950">
        <w:rPr>
          <w:lang w:val="cs-CZ"/>
        </w:rPr>
        <w:t>Helpdesku</w:t>
      </w:r>
      <w:proofErr w:type="spellEnd"/>
      <w:r w:rsidR="0095499A" w:rsidRPr="00ED3950">
        <w:rPr>
          <w:lang w:val="cs-CZ"/>
        </w:rPr>
        <w:t xml:space="preserve"> DNSH </w:t>
      </w:r>
      <w:r w:rsidR="004F6C08" w:rsidRPr="00ED3950">
        <w:rPr>
          <w:lang w:val="cs-CZ"/>
        </w:rPr>
        <w:t xml:space="preserve">přiděleny velké zdroje; </w:t>
      </w:r>
      <w:r w:rsidR="00DD2154" w:rsidRPr="00ED3950">
        <w:rPr>
          <w:lang w:val="cs-CZ"/>
        </w:rPr>
        <w:t xml:space="preserve">tým zdůrazňuje, že tyto zdroje jsou </w:t>
      </w:r>
      <w:r w:rsidR="00DD2154" w:rsidRPr="00ED3950">
        <w:rPr>
          <w:b/>
          <w:lang w:val="cs-CZ"/>
        </w:rPr>
        <w:t xml:space="preserve">předpokladem pro </w:t>
      </w:r>
      <w:r w:rsidR="00DD2154" w:rsidRPr="00ED3950">
        <w:rPr>
          <w:lang w:val="cs-CZ"/>
        </w:rPr>
        <w:t>vypracování materiálů a koordinaci orgánů a zpracovatelů projektů.</w:t>
      </w:r>
    </w:p>
    <w:p w:rsidR="00E93F0B" w:rsidRPr="00ED3950" w:rsidRDefault="00E93F0B" w:rsidP="00377499">
      <w:pPr>
        <w:rPr>
          <w:lang w:val="cs-CZ"/>
        </w:rPr>
      </w:pPr>
    </w:p>
    <w:p w:rsidR="005840C5" w:rsidRPr="00ED3950" w:rsidRDefault="00ED3950">
      <w:pPr>
        <w:rPr>
          <w:lang w:val="cs-CZ"/>
        </w:rPr>
      </w:pPr>
      <w:r w:rsidRPr="00ED3950">
        <w:rPr>
          <w:lang w:val="cs-CZ"/>
        </w:rPr>
        <w:t xml:space="preserve">Kromě těchto případů </w:t>
      </w:r>
      <w:r w:rsidR="00ED6981" w:rsidRPr="00ED3950">
        <w:rPr>
          <w:lang w:val="cs-CZ"/>
        </w:rPr>
        <w:t xml:space="preserve">byly </w:t>
      </w:r>
      <w:r w:rsidR="004D762E" w:rsidRPr="00ED3950">
        <w:rPr>
          <w:lang w:val="cs-CZ"/>
        </w:rPr>
        <w:t xml:space="preserve">během rozhovorů a </w:t>
      </w:r>
      <w:proofErr w:type="spellStart"/>
      <w:r w:rsidR="00E84F47" w:rsidRPr="00ED3950">
        <w:rPr>
          <w:lang w:val="cs-CZ"/>
        </w:rPr>
        <w:t>desk</w:t>
      </w:r>
      <w:proofErr w:type="spellEnd"/>
      <w:r w:rsidR="00E84F47" w:rsidRPr="00ED3950">
        <w:rPr>
          <w:lang w:val="cs-CZ"/>
        </w:rPr>
        <w:t xml:space="preserve"> </w:t>
      </w:r>
      <w:proofErr w:type="spellStart"/>
      <w:r w:rsidR="00E84F47" w:rsidRPr="00ED3950">
        <w:rPr>
          <w:lang w:val="cs-CZ"/>
        </w:rPr>
        <w:t>research</w:t>
      </w:r>
      <w:proofErr w:type="spellEnd"/>
      <w:r w:rsidR="00E84F47" w:rsidRPr="00ED3950">
        <w:rPr>
          <w:lang w:val="cs-CZ"/>
        </w:rPr>
        <w:t xml:space="preserve"> </w:t>
      </w:r>
      <w:r w:rsidR="00957E5C" w:rsidRPr="00ED3950">
        <w:rPr>
          <w:lang w:val="cs-CZ"/>
        </w:rPr>
        <w:t xml:space="preserve">identifikovány </w:t>
      </w:r>
      <w:r w:rsidRPr="00ED3950">
        <w:rPr>
          <w:lang w:val="cs-CZ"/>
        </w:rPr>
        <w:t xml:space="preserve">dvě relevantní praxe, které </w:t>
      </w:r>
      <w:r w:rsidR="00DE5025" w:rsidRPr="00ED3950">
        <w:rPr>
          <w:lang w:val="cs-CZ"/>
        </w:rPr>
        <w:t xml:space="preserve">ilustrují </w:t>
      </w:r>
      <w:r w:rsidR="00226F6B" w:rsidRPr="00ED3950">
        <w:rPr>
          <w:lang w:val="cs-CZ"/>
        </w:rPr>
        <w:t xml:space="preserve">příklady řešení </w:t>
      </w:r>
      <w:r w:rsidRPr="00ED3950">
        <w:rPr>
          <w:lang w:val="cs-CZ"/>
        </w:rPr>
        <w:t xml:space="preserve">problémů v oblasti </w:t>
      </w:r>
      <w:r w:rsidR="00957E5C" w:rsidRPr="00ED3950">
        <w:rPr>
          <w:lang w:val="cs-CZ"/>
        </w:rPr>
        <w:t>správy</w:t>
      </w:r>
      <w:r w:rsidR="007A5F9A" w:rsidRPr="00ED3950">
        <w:rPr>
          <w:lang w:val="cs-CZ"/>
        </w:rPr>
        <w:t xml:space="preserve">. Jejich fungování a význam </w:t>
      </w:r>
      <w:r w:rsidR="005B5008" w:rsidRPr="00ED3950">
        <w:rPr>
          <w:lang w:val="cs-CZ"/>
        </w:rPr>
        <w:t xml:space="preserve">jsou </w:t>
      </w:r>
      <w:r w:rsidR="007A5F9A" w:rsidRPr="00ED3950">
        <w:rPr>
          <w:lang w:val="cs-CZ"/>
        </w:rPr>
        <w:t xml:space="preserve">uvedeny v </w:t>
      </w:r>
      <w:r w:rsidR="00ED6981" w:rsidRPr="00ED3950">
        <w:rPr>
          <w:lang w:val="cs-CZ"/>
        </w:rPr>
        <w:fldChar w:fldCharType="begin"/>
      </w:r>
      <w:r w:rsidR="00ED6981" w:rsidRPr="00ED3950">
        <w:rPr>
          <w:lang w:val="cs-CZ"/>
        </w:rPr>
        <w:instrText xml:space="preserve"> REF _Ref128123087 \h  \* MERGEFORMAT </w:instrText>
      </w:r>
      <w:r w:rsidR="00ED6981" w:rsidRPr="00ED3950">
        <w:rPr>
          <w:lang w:val="cs-CZ"/>
        </w:rPr>
      </w:r>
      <w:r w:rsidR="00ED6981" w:rsidRPr="00ED3950">
        <w:rPr>
          <w:lang w:val="cs-CZ"/>
        </w:rPr>
        <w:fldChar w:fldCharType="separate"/>
      </w:r>
      <w:r w:rsidR="00ED6981" w:rsidRPr="00ED3950">
        <w:rPr>
          <w:lang w:val="cs-CZ"/>
        </w:rPr>
        <w:t>Rámeček 1</w:t>
      </w:r>
      <w:r w:rsidR="00ED6981" w:rsidRPr="00ED3950">
        <w:rPr>
          <w:lang w:val="cs-CZ"/>
        </w:rPr>
        <w:fldChar w:fldCharType="end"/>
      </w:r>
      <w:r w:rsidR="00E44FDE" w:rsidRPr="00ED3950">
        <w:rPr>
          <w:lang w:val="cs-CZ"/>
        </w:rPr>
        <w:t>.</w:t>
      </w:r>
    </w:p>
    <w:p w:rsidR="007A5F9A" w:rsidRPr="00ED3950" w:rsidRDefault="007A5F9A" w:rsidP="00377499">
      <w:pPr>
        <w:rPr>
          <w:lang w:val="cs-CZ"/>
        </w:rPr>
      </w:pPr>
    </w:p>
    <w:p w:rsidR="005840C5" w:rsidRPr="00ED3950" w:rsidRDefault="00ED3950">
      <w:pPr>
        <w:pStyle w:val="Titulek"/>
        <w:keepNext/>
        <w:rPr>
          <w:lang w:val="cs-CZ"/>
        </w:rPr>
      </w:pPr>
      <w:bookmarkStart w:id="20" w:name="_Ref128123087"/>
      <w:r w:rsidRPr="00ED3950">
        <w:rPr>
          <w:lang w:val="cs-CZ"/>
        </w:rPr>
        <w:t xml:space="preserve">Box </w:t>
      </w:r>
      <w:r w:rsidR="0094316D" w:rsidRPr="00ED3950">
        <w:rPr>
          <w:lang w:val="cs-CZ"/>
        </w:rPr>
        <w:fldChar w:fldCharType="begin"/>
      </w:r>
      <w:r w:rsidR="0094316D" w:rsidRPr="00ED3950">
        <w:rPr>
          <w:lang w:val="cs-CZ"/>
        </w:rPr>
        <w:instrText xml:space="preserve"> SEQ Box \* ARABIC </w:instrText>
      </w:r>
      <w:r w:rsidR="0094316D" w:rsidRPr="00ED3950">
        <w:rPr>
          <w:lang w:val="cs-CZ"/>
        </w:rPr>
        <w:fldChar w:fldCharType="separate"/>
      </w:r>
      <w:r w:rsidR="00CC7ACA" w:rsidRPr="00ED3950">
        <w:rPr>
          <w:lang w:val="cs-CZ"/>
        </w:rPr>
        <w:t>1</w:t>
      </w:r>
      <w:r w:rsidR="0094316D" w:rsidRPr="00ED3950">
        <w:rPr>
          <w:lang w:val="cs-CZ"/>
        </w:rPr>
        <w:fldChar w:fldCharType="end"/>
      </w:r>
      <w:bookmarkEnd w:id="20"/>
      <w:r w:rsidRPr="00ED3950">
        <w:rPr>
          <w:lang w:val="cs-CZ"/>
        </w:rPr>
        <w:t xml:space="preserve"> Ilustrativní </w:t>
      </w:r>
      <w:r w:rsidR="00E44FDE" w:rsidRPr="00ED3950">
        <w:rPr>
          <w:lang w:val="cs-CZ"/>
        </w:rPr>
        <w:t>postupy</w:t>
      </w:r>
      <w:r w:rsidRPr="00ED3950">
        <w:rPr>
          <w:lang w:val="cs-CZ"/>
        </w:rPr>
        <w:t xml:space="preserve"> řízení</w:t>
      </w:r>
    </w:p>
    <w:tbl>
      <w:tblPr>
        <w:tblStyle w:val="Table1"/>
        <w:tblW w:w="5000" w:type="pct"/>
        <w:shd w:val="clear" w:color="auto" w:fill="E0EBEB" w:themeFill="accent3" w:themeFillTint="66"/>
        <w:tblLook w:val="04A0" w:firstRow="1" w:lastRow="0" w:firstColumn="1" w:lastColumn="0" w:noHBand="0" w:noVBand="1"/>
      </w:tblPr>
      <w:tblGrid>
        <w:gridCol w:w="9016"/>
      </w:tblGrid>
      <w:tr w:rsidR="007A5F9A" w:rsidRPr="00ED3950" w:rsidTr="009656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E0EBEB" w:themeFill="accent3" w:themeFillTint="66"/>
          </w:tcPr>
          <w:p w:rsidR="005840C5" w:rsidRPr="00ED3950" w:rsidRDefault="00ED3950">
            <w:pPr>
              <w:pStyle w:val="Titulek"/>
              <w:spacing w:before="240"/>
              <w:ind w:left="0"/>
              <w:rPr>
                <w:b/>
                <w:szCs w:val="18"/>
                <w:lang w:val="cs-CZ"/>
              </w:rPr>
            </w:pPr>
            <w:r w:rsidRPr="00ED3950">
              <w:rPr>
                <w:b/>
                <w:sz w:val="18"/>
                <w:szCs w:val="18"/>
                <w:lang w:val="cs-CZ"/>
              </w:rPr>
              <w:t>Decentralizovaná správa směrem k rozvoji odvětvových metodik (Slovensko)</w:t>
            </w:r>
          </w:p>
          <w:p w:rsidR="005840C5" w:rsidRPr="00ED3950" w:rsidRDefault="00ED3950">
            <w:pPr>
              <w:ind w:left="0"/>
              <w:jc w:val="left"/>
              <w:rPr>
                <w:color w:val="000000" w:themeColor="text1"/>
                <w:lang w:val="cs-CZ"/>
              </w:rPr>
            </w:pPr>
            <w:r w:rsidRPr="00ED3950">
              <w:rPr>
                <w:b w:val="0"/>
                <w:color w:val="000000" w:themeColor="text1"/>
                <w:lang w:val="cs-CZ"/>
              </w:rPr>
              <w:t xml:space="preserve">Slovensko </w:t>
            </w:r>
            <w:r w:rsidR="000A630C" w:rsidRPr="00ED3950">
              <w:rPr>
                <w:b w:val="0"/>
                <w:color w:val="000000" w:themeColor="text1"/>
                <w:lang w:val="cs-CZ"/>
              </w:rPr>
              <w:t xml:space="preserve">nezřídilo </w:t>
            </w:r>
            <w:r w:rsidRPr="00ED3950">
              <w:rPr>
                <w:b w:val="0"/>
                <w:color w:val="000000" w:themeColor="text1"/>
                <w:lang w:val="cs-CZ"/>
              </w:rPr>
              <w:t>centralizovanou řídicí strukturu</w:t>
            </w:r>
            <w:r w:rsidRPr="00ED3950">
              <w:rPr>
                <w:b w:val="0"/>
                <w:bCs/>
                <w:color w:val="000000" w:themeColor="text1"/>
                <w:lang w:val="cs-CZ"/>
              </w:rPr>
              <w:t>.</w:t>
            </w:r>
            <w:r w:rsidRPr="00ED3950">
              <w:rPr>
                <w:b w:val="0"/>
                <w:color w:val="000000" w:themeColor="text1"/>
                <w:lang w:val="cs-CZ"/>
              </w:rPr>
              <w:t xml:space="preserve"> Úřad vlády však uznává rizika spojená s </w:t>
            </w:r>
            <w:r w:rsidR="00E53E1F" w:rsidRPr="00ED3950">
              <w:rPr>
                <w:b w:val="0"/>
                <w:color w:val="000000" w:themeColor="text1"/>
                <w:lang w:val="cs-CZ"/>
              </w:rPr>
              <w:t xml:space="preserve">uplatňováním </w:t>
            </w:r>
            <w:r w:rsidRPr="00ED3950">
              <w:rPr>
                <w:b w:val="0"/>
                <w:color w:val="000000" w:themeColor="text1"/>
                <w:lang w:val="cs-CZ"/>
              </w:rPr>
              <w:t xml:space="preserve">nejednotných metodik ve </w:t>
            </w:r>
            <w:r w:rsidR="00E53E1F" w:rsidRPr="00ED3950">
              <w:rPr>
                <w:b w:val="0"/>
                <w:color w:val="000000" w:themeColor="text1"/>
                <w:lang w:val="cs-CZ"/>
              </w:rPr>
              <w:t xml:space="preserve">všech opatřeních </w:t>
            </w:r>
            <w:r w:rsidR="0093668E" w:rsidRPr="00ED3950">
              <w:rPr>
                <w:b w:val="0"/>
                <w:color w:val="000000" w:themeColor="text1"/>
                <w:lang w:val="cs-CZ"/>
              </w:rPr>
              <w:t>RRF</w:t>
            </w:r>
            <w:r w:rsidRPr="00ED3950">
              <w:rPr>
                <w:b w:val="0"/>
                <w:color w:val="000000" w:themeColor="text1"/>
                <w:lang w:val="cs-CZ"/>
              </w:rPr>
              <w:t xml:space="preserve">. Zvolený přístup proto spočívá </w:t>
            </w:r>
            <w:r w:rsidR="00E53E1F" w:rsidRPr="00ED3950">
              <w:rPr>
                <w:b w:val="0"/>
                <w:color w:val="000000" w:themeColor="text1"/>
                <w:lang w:val="cs-CZ"/>
              </w:rPr>
              <w:t xml:space="preserve">ve </w:t>
            </w:r>
            <w:r w:rsidRPr="00ED3950">
              <w:rPr>
                <w:b w:val="0"/>
                <w:color w:val="000000" w:themeColor="text1"/>
                <w:lang w:val="cs-CZ"/>
              </w:rPr>
              <w:t>využití stávajících odborných znalostí, které jsou součástí ministerstev, k vypracování odvětvových metodik a využití jejic</w:t>
            </w:r>
            <w:r w:rsidRPr="00ED3950">
              <w:rPr>
                <w:b w:val="0"/>
                <w:color w:val="000000" w:themeColor="text1"/>
                <w:lang w:val="cs-CZ"/>
              </w:rPr>
              <w:t xml:space="preserve">h zkušeností. Například metodika pro odvětví stavebnictví, která byla vytvořena v rámci projektu TSI a je nejpokročilejší odvětvovou metodikou, se přenesla </w:t>
            </w:r>
            <w:r w:rsidR="00DB21A6" w:rsidRPr="00ED3950">
              <w:rPr>
                <w:b w:val="0"/>
                <w:color w:val="000000" w:themeColor="text1"/>
                <w:lang w:val="cs-CZ"/>
              </w:rPr>
              <w:t xml:space="preserve">do </w:t>
            </w:r>
            <w:r w:rsidRPr="00ED3950">
              <w:rPr>
                <w:b w:val="0"/>
                <w:color w:val="000000" w:themeColor="text1"/>
                <w:lang w:val="cs-CZ"/>
              </w:rPr>
              <w:t xml:space="preserve">ostatních odvětví. Tento přístup </w:t>
            </w:r>
            <w:r w:rsidR="009747FA" w:rsidRPr="00ED3950">
              <w:rPr>
                <w:b w:val="0"/>
                <w:color w:val="000000" w:themeColor="text1"/>
                <w:lang w:val="cs-CZ"/>
              </w:rPr>
              <w:t xml:space="preserve">se jeví jako </w:t>
            </w:r>
            <w:r w:rsidRPr="00ED3950">
              <w:rPr>
                <w:b w:val="0"/>
                <w:color w:val="000000" w:themeColor="text1"/>
                <w:lang w:val="cs-CZ"/>
              </w:rPr>
              <w:t>pragmatické řešení v případě, že neexistuje dostate</w:t>
            </w:r>
            <w:r w:rsidRPr="00ED3950">
              <w:rPr>
                <w:b w:val="0"/>
                <w:color w:val="000000" w:themeColor="text1"/>
                <w:lang w:val="cs-CZ"/>
              </w:rPr>
              <w:t xml:space="preserve">čná politická </w:t>
            </w:r>
            <w:r w:rsidR="009747FA" w:rsidRPr="00ED3950">
              <w:rPr>
                <w:b w:val="0"/>
                <w:color w:val="000000" w:themeColor="text1"/>
                <w:lang w:val="cs-CZ"/>
              </w:rPr>
              <w:t xml:space="preserve">podpora </w:t>
            </w:r>
            <w:r w:rsidR="00720FA3" w:rsidRPr="00ED3950">
              <w:rPr>
                <w:b w:val="0"/>
                <w:bCs/>
                <w:color w:val="000000" w:themeColor="text1"/>
                <w:lang w:val="cs-CZ"/>
              </w:rPr>
              <w:t xml:space="preserve">a </w:t>
            </w:r>
            <w:r w:rsidR="009747FA" w:rsidRPr="00ED3950">
              <w:rPr>
                <w:b w:val="0"/>
                <w:bCs/>
                <w:color w:val="000000" w:themeColor="text1"/>
                <w:lang w:val="cs-CZ"/>
              </w:rPr>
              <w:t xml:space="preserve">je </w:t>
            </w:r>
            <w:r w:rsidR="00720FA3" w:rsidRPr="00ED3950">
              <w:rPr>
                <w:b w:val="0"/>
                <w:bCs/>
                <w:color w:val="000000" w:themeColor="text1"/>
                <w:lang w:val="cs-CZ"/>
              </w:rPr>
              <w:t>obtížné určit ústřední orgán</w:t>
            </w:r>
            <w:r w:rsidR="00CB7D4B" w:rsidRPr="00ED3950">
              <w:rPr>
                <w:b w:val="0"/>
                <w:bCs/>
                <w:color w:val="000000" w:themeColor="text1"/>
                <w:lang w:val="cs-CZ"/>
              </w:rPr>
              <w:t xml:space="preserve">. Nabízí také vysokou míru flexibility při řešení odvětvových specifik procesů a hodnocení DNSH, </w:t>
            </w:r>
            <w:r w:rsidRPr="00ED3950">
              <w:rPr>
                <w:b w:val="0"/>
                <w:color w:val="000000" w:themeColor="text1"/>
                <w:lang w:val="cs-CZ"/>
              </w:rPr>
              <w:t xml:space="preserve">ačkoli </w:t>
            </w:r>
            <w:r w:rsidR="00330B13" w:rsidRPr="00ED3950">
              <w:rPr>
                <w:b w:val="0"/>
                <w:bCs/>
                <w:color w:val="000000" w:themeColor="text1"/>
                <w:lang w:val="cs-CZ"/>
              </w:rPr>
              <w:t xml:space="preserve">to </w:t>
            </w:r>
            <w:r w:rsidR="009B23BA" w:rsidRPr="00ED3950">
              <w:rPr>
                <w:b w:val="0"/>
                <w:bCs/>
                <w:color w:val="000000" w:themeColor="text1"/>
                <w:lang w:val="cs-CZ"/>
              </w:rPr>
              <w:t xml:space="preserve">zároveň vede k </w:t>
            </w:r>
            <w:r w:rsidR="006F29AB" w:rsidRPr="00ED3950">
              <w:rPr>
                <w:b w:val="0"/>
                <w:bCs/>
                <w:color w:val="000000" w:themeColor="text1"/>
                <w:lang w:val="cs-CZ"/>
              </w:rPr>
              <w:t xml:space="preserve">potřebě </w:t>
            </w:r>
            <w:r w:rsidRPr="00ED3950">
              <w:rPr>
                <w:b w:val="0"/>
                <w:color w:val="000000" w:themeColor="text1"/>
                <w:lang w:val="cs-CZ"/>
              </w:rPr>
              <w:t xml:space="preserve">dalšího úsilí o zajištění konzistentnosti </w:t>
            </w:r>
            <w:r w:rsidR="00CB7D4B" w:rsidRPr="00ED3950">
              <w:rPr>
                <w:b w:val="0"/>
                <w:bCs/>
                <w:color w:val="000000" w:themeColor="text1"/>
                <w:lang w:val="cs-CZ"/>
              </w:rPr>
              <w:t xml:space="preserve">odvětvových </w:t>
            </w:r>
            <w:r w:rsidRPr="00ED3950">
              <w:rPr>
                <w:b w:val="0"/>
                <w:color w:val="000000" w:themeColor="text1"/>
                <w:lang w:val="cs-CZ"/>
              </w:rPr>
              <w:t xml:space="preserve">metodik. Omezuje </w:t>
            </w:r>
            <w:r w:rsidRPr="00ED3950">
              <w:rPr>
                <w:b w:val="0"/>
                <w:color w:val="000000" w:themeColor="text1"/>
                <w:lang w:val="cs-CZ"/>
              </w:rPr>
              <w:t>administrativní zátěž pro orgány, protože se musí soustředit hlavně na svá klíčová odvětví, což také zajišťuje snadnou identifikaci odborných ministerstev v případech, kdy jsou zapotřebí detailní znalosti.</w:t>
            </w:r>
          </w:p>
          <w:p w:rsidR="00E44FDE" w:rsidRPr="00ED3950" w:rsidRDefault="00E44FDE" w:rsidP="006A5D72">
            <w:pPr>
              <w:ind w:left="0"/>
              <w:jc w:val="left"/>
              <w:rPr>
                <w:bCs/>
                <w:color w:val="000000" w:themeColor="text1"/>
                <w:lang w:val="cs-CZ"/>
              </w:rPr>
            </w:pPr>
          </w:p>
          <w:p w:rsidR="005840C5" w:rsidRPr="00ED3950" w:rsidRDefault="00ED3950">
            <w:pPr>
              <w:pStyle w:val="Titulek"/>
              <w:ind w:left="0"/>
              <w:rPr>
                <w:b/>
                <w:sz w:val="18"/>
                <w:szCs w:val="18"/>
                <w:lang w:val="cs-CZ"/>
              </w:rPr>
            </w:pPr>
            <w:proofErr w:type="spellStart"/>
            <w:r w:rsidRPr="00ED3950">
              <w:rPr>
                <w:b/>
                <w:sz w:val="18"/>
                <w:szCs w:val="18"/>
                <w:lang w:val="cs-CZ"/>
              </w:rPr>
              <w:t>Mezifederální</w:t>
            </w:r>
            <w:proofErr w:type="spellEnd"/>
            <w:r w:rsidRPr="00ED3950">
              <w:rPr>
                <w:b/>
                <w:sz w:val="18"/>
                <w:szCs w:val="18"/>
                <w:lang w:val="cs-CZ"/>
              </w:rPr>
              <w:t xml:space="preserve"> síť DNSH (Belgie)</w:t>
            </w:r>
          </w:p>
          <w:p w:rsidR="005840C5" w:rsidRPr="00ED3950" w:rsidRDefault="00ED3950">
            <w:pPr>
              <w:ind w:left="0"/>
              <w:jc w:val="left"/>
              <w:rPr>
                <w:b w:val="0"/>
                <w:bCs/>
                <w:color w:val="000000" w:themeColor="text1"/>
                <w:lang w:val="cs-CZ"/>
              </w:rPr>
            </w:pPr>
            <w:r w:rsidRPr="00ED3950">
              <w:rPr>
                <w:b w:val="0"/>
                <w:bCs/>
                <w:color w:val="000000" w:themeColor="text1"/>
                <w:szCs w:val="18"/>
                <w:lang w:val="cs-CZ"/>
              </w:rPr>
              <w:t xml:space="preserve">Belgie </w:t>
            </w:r>
            <w:r w:rsidRPr="00ED3950">
              <w:rPr>
                <w:b w:val="0"/>
                <w:color w:val="000000" w:themeColor="text1"/>
                <w:szCs w:val="18"/>
                <w:lang w:val="cs-CZ"/>
              </w:rPr>
              <w:t xml:space="preserve">vytvořila </w:t>
            </w:r>
            <w:r w:rsidRPr="00ED3950">
              <w:rPr>
                <w:b w:val="0"/>
                <w:bCs/>
                <w:color w:val="000000" w:themeColor="text1"/>
                <w:szCs w:val="18"/>
                <w:lang w:val="cs-CZ"/>
              </w:rPr>
              <w:t xml:space="preserve">strukturu řízení, která odráží zapojení regionálních a federálních orgánů do uplatňování zásady DNSH pro </w:t>
            </w:r>
            <w:r w:rsidR="00971D32" w:rsidRPr="00ED3950">
              <w:rPr>
                <w:b w:val="0"/>
                <w:bCs/>
                <w:color w:val="000000" w:themeColor="text1"/>
                <w:szCs w:val="18"/>
                <w:lang w:val="cs-CZ"/>
              </w:rPr>
              <w:t>RRF</w:t>
            </w:r>
            <w:r w:rsidRPr="00ED3950">
              <w:rPr>
                <w:b w:val="0"/>
                <w:bCs/>
                <w:color w:val="000000" w:themeColor="text1"/>
                <w:szCs w:val="18"/>
                <w:lang w:val="cs-CZ"/>
              </w:rPr>
              <w:t xml:space="preserve">. </w:t>
            </w:r>
            <w:proofErr w:type="spellStart"/>
            <w:r w:rsidRPr="00ED3950">
              <w:rPr>
                <w:b w:val="0"/>
                <w:bCs/>
                <w:color w:val="000000" w:themeColor="text1"/>
                <w:szCs w:val="18"/>
                <w:lang w:val="cs-CZ"/>
              </w:rPr>
              <w:t>Mezifederální</w:t>
            </w:r>
            <w:proofErr w:type="spellEnd"/>
            <w:r w:rsidRPr="00ED3950">
              <w:rPr>
                <w:b w:val="0"/>
                <w:bCs/>
                <w:color w:val="000000" w:themeColor="text1"/>
                <w:szCs w:val="18"/>
                <w:lang w:val="cs-CZ"/>
              </w:rPr>
              <w:t xml:space="preserve"> síť sdružuje zástupce orgánů provádějících RRP. V jejím čele stojí Federální úřad pro plánování, jemuž byly přiděleny vyhrazené pros</w:t>
            </w:r>
            <w:r w:rsidRPr="00ED3950">
              <w:rPr>
                <w:b w:val="0"/>
                <w:bCs/>
                <w:color w:val="000000" w:themeColor="text1"/>
                <w:szCs w:val="18"/>
                <w:lang w:val="cs-CZ"/>
              </w:rPr>
              <w:t xml:space="preserve">tředky, aby plnil funkci sekretariátu (a zvládl tak úkol spojený s určením ústředního orgánu). Zdá se, že tento postup zajišťuje rovnováhu mezi </w:t>
            </w:r>
            <w:r w:rsidRPr="00ED3950">
              <w:rPr>
                <w:b w:val="0"/>
                <w:bCs/>
                <w:color w:val="000000" w:themeColor="text1"/>
                <w:szCs w:val="18"/>
                <w:lang w:val="cs-CZ"/>
              </w:rPr>
              <w:lastRenderedPageBreak/>
              <w:t>potřebou koordinace a flexibilitou, která umožňuje zohlednit zkušenosti jiných orgánů. Síť podporuje sladění met</w:t>
            </w:r>
            <w:r w:rsidRPr="00ED3950">
              <w:rPr>
                <w:b w:val="0"/>
                <w:bCs/>
                <w:color w:val="000000" w:themeColor="text1"/>
                <w:szCs w:val="18"/>
                <w:lang w:val="cs-CZ"/>
              </w:rPr>
              <w:t>odik ve všech belgických jurisdikcích. Dále zajišťuje jednotný výklad evropských dokumentů a postupů srovnatelných členských států EU a koordinaci výzkumného úsilí na principu DNSH, aniž by bránila možnosti podrobnějších diskusí a metodik.</w:t>
            </w:r>
          </w:p>
          <w:p w:rsidR="00035C04" w:rsidRPr="00ED3950" w:rsidRDefault="00035C04" w:rsidP="009656D4">
            <w:pPr>
              <w:ind w:left="0"/>
              <w:jc w:val="left"/>
              <w:rPr>
                <w:color w:val="000000" w:themeColor="text1"/>
                <w:sz w:val="16"/>
                <w:szCs w:val="16"/>
                <w:lang w:val="cs-CZ"/>
              </w:rPr>
            </w:pPr>
          </w:p>
        </w:tc>
      </w:tr>
    </w:tbl>
    <w:p w:rsidR="001062CD" w:rsidRPr="00ED3950" w:rsidRDefault="001062CD" w:rsidP="00085ED8">
      <w:pPr>
        <w:rPr>
          <w:lang w:val="cs-CZ"/>
        </w:rPr>
      </w:pPr>
    </w:p>
    <w:p w:rsidR="005840C5" w:rsidRPr="00ED3950" w:rsidRDefault="00ED3950">
      <w:pPr>
        <w:pStyle w:val="Nadpis3"/>
        <w:tabs>
          <w:tab w:val="clear" w:pos="851"/>
          <w:tab w:val="left" w:pos="567"/>
        </w:tabs>
        <w:ind w:left="567" w:hanging="567"/>
        <w:rPr>
          <w:lang w:val="cs-CZ"/>
        </w:rPr>
      </w:pPr>
      <w:bookmarkStart w:id="21" w:name="_Toc131775835"/>
      <w:proofErr w:type="spellStart"/>
      <w:r w:rsidRPr="00ED3950">
        <w:rPr>
          <w:lang w:val="cs-CZ"/>
        </w:rPr>
        <w:t>Replikovateln</w:t>
      </w:r>
      <w:r w:rsidRPr="00ED3950">
        <w:rPr>
          <w:lang w:val="cs-CZ"/>
        </w:rPr>
        <w:t>ost</w:t>
      </w:r>
      <w:proofErr w:type="spellEnd"/>
      <w:r w:rsidRPr="00ED3950">
        <w:rPr>
          <w:lang w:val="cs-CZ"/>
        </w:rPr>
        <w:t xml:space="preserve"> do českého prostředí</w:t>
      </w:r>
      <w:bookmarkEnd w:id="21"/>
    </w:p>
    <w:p w:rsidR="005840C5" w:rsidRPr="00ED3950" w:rsidRDefault="00ED3950">
      <w:pPr>
        <w:rPr>
          <w:lang w:val="cs-CZ"/>
        </w:rPr>
      </w:pPr>
      <w:r w:rsidRPr="00ED3950">
        <w:rPr>
          <w:lang w:val="cs-CZ"/>
        </w:rPr>
        <w:t xml:space="preserve">Za účelem vyhodnocení </w:t>
      </w:r>
      <w:r w:rsidRPr="00ED3950">
        <w:rPr>
          <w:b/>
          <w:lang w:val="cs-CZ"/>
        </w:rPr>
        <w:t xml:space="preserve">možnosti replikace </w:t>
      </w:r>
      <w:r w:rsidRPr="00ED3950">
        <w:rPr>
          <w:lang w:val="cs-CZ"/>
        </w:rPr>
        <w:t xml:space="preserve">výše uvedených postupů do </w:t>
      </w:r>
      <w:r w:rsidR="005974EA" w:rsidRPr="00ED3950">
        <w:rPr>
          <w:lang w:val="cs-CZ"/>
        </w:rPr>
        <w:t>Česka</w:t>
      </w:r>
      <w:r w:rsidRPr="00ED3950">
        <w:rPr>
          <w:lang w:val="cs-CZ"/>
        </w:rPr>
        <w:t xml:space="preserve">, </w:t>
      </w:r>
      <w:r w:rsidR="001062CD" w:rsidRPr="00ED3950">
        <w:rPr>
          <w:lang w:val="cs-CZ"/>
        </w:rPr>
        <w:fldChar w:fldCharType="begin"/>
      </w:r>
      <w:r w:rsidR="001062CD" w:rsidRPr="00ED3950">
        <w:rPr>
          <w:lang w:val="cs-CZ"/>
        </w:rPr>
        <w:instrText xml:space="preserve"> REF _Ref128060478 \h  \* MERGEFORMAT </w:instrText>
      </w:r>
      <w:r w:rsidR="001062CD" w:rsidRPr="00ED3950">
        <w:rPr>
          <w:lang w:val="cs-CZ"/>
        </w:rPr>
      </w:r>
      <w:r w:rsidR="001062CD" w:rsidRPr="00ED3950">
        <w:rPr>
          <w:lang w:val="cs-CZ"/>
        </w:rPr>
        <w:fldChar w:fldCharType="separate"/>
      </w:r>
      <w:r w:rsidR="003C1993" w:rsidRPr="00ED3950">
        <w:rPr>
          <w:lang w:val="cs-CZ"/>
        </w:rPr>
        <w:t>Tabulka 3</w:t>
      </w:r>
      <w:r w:rsidR="001062CD" w:rsidRPr="00ED3950">
        <w:rPr>
          <w:lang w:val="cs-CZ"/>
        </w:rPr>
        <w:fldChar w:fldCharType="end"/>
      </w:r>
      <w:r w:rsidR="005974EA" w:rsidRPr="00ED3950">
        <w:rPr>
          <w:lang w:val="cs-CZ"/>
        </w:rPr>
        <w:t xml:space="preserve"> shrnuje </w:t>
      </w:r>
      <w:r w:rsidR="00E514D7" w:rsidRPr="00ED3950">
        <w:rPr>
          <w:b/>
          <w:lang w:val="cs-CZ"/>
        </w:rPr>
        <w:t xml:space="preserve">faktory, které umožňují </w:t>
      </w:r>
      <w:r w:rsidR="00B627EE" w:rsidRPr="00ED3950">
        <w:rPr>
          <w:lang w:val="cs-CZ"/>
        </w:rPr>
        <w:t xml:space="preserve">a brání </w:t>
      </w:r>
      <w:r w:rsidR="004632BF" w:rsidRPr="00ED3950">
        <w:rPr>
          <w:lang w:val="cs-CZ"/>
        </w:rPr>
        <w:t xml:space="preserve">zavedení </w:t>
      </w:r>
      <w:r w:rsidR="00C075EB" w:rsidRPr="00ED3950">
        <w:rPr>
          <w:lang w:val="cs-CZ"/>
        </w:rPr>
        <w:t xml:space="preserve">a úspěchu </w:t>
      </w:r>
      <w:r w:rsidR="00B627EE" w:rsidRPr="00ED3950">
        <w:rPr>
          <w:lang w:val="cs-CZ"/>
        </w:rPr>
        <w:t xml:space="preserve">těchto postupů. </w:t>
      </w:r>
      <w:r w:rsidR="00DF2D52" w:rsidRPr="00ED3950">
        <w:rPr>
          <w:lang w:val="cs-CZ"/>
        </w:rPr>
        <w:t xml:space="preserve">Příznivé faktory jsou zde </w:t>
      </w:r>
      <w:r w:rsidR="0066194F" w:rsidRPr="00ED3950">
        <w:rPr>
          <w:lang w:val="cs-CZ"/>
        </w:rPr>
        <w:t xml:space="preserve">definovány jako faktory, které umožňují zavedení </w:t>
      </w:r>
      <w:r w:rsidR="00F90DE6" w:rsidRPr="00ED3950">
        <w:rPr>
          <w:lang w:val="cs-CZ"/>
        </w:rPr>
        <w:t xml:space="preserve">a účinnost </w:t>
      </w:r>
      <w:r w:rsidR="0066194F" w:rsidRPr="00ED3950">
        <w:rPr>
          <w:lang w:val="cs-CZ"/>
        </w:rPr>
        <w:t>postupů</w:t>
      </w:r>
      <w:r w:rsidR="005930C7" w:rsidRPr="00ED3950">
        <w:rPr>
          <w:lang w:val="cs-CZ"/>
        </w:rPr>
        <w:t xml:space="preserve">. Naproti </w:t>
      </w:r>
      <w:r w:rsidR="004E21DF" w:rsidRPr="00ED3950">
        <w:rPr>
          <w:lang w:val="cs-CZ"/>
        </w:rPr>
        <w:t xml:space="preserve">tomu </w:t>
      </w:r>
      <w:r w:rsidR="00F90DE6" w:rsidRPr="00ED3950">
        <w:rPr>
          <w:lang w:val="cs-CZ"/>
        </w:rPr>
        <w:t>bariéry jsou definovány jako faktory, které brání zavedení a účinnosti postupů.</w:t>
      </w:r>
    </w:p>
    <w:p w:rsidR="003846EE" w:rsidRPr="00ED3950" w:rsidRDefault="003846EE" w:rsidP="003846EE">
      <w:pPr>
        <w:rPr>
          <w:lang w:val="cs-CZ"/>
        </w:rPr>
      </w:pPr>
    </w:p>
    <w:p w:rsidR="005840C5" w:rsidRPr="00ED3950" w:rsidRDefault="00ED3950">
      <w:pPr>
        <w:pStyle w:val="Titulek"/>
        <w:keepNext/>
        <w:rPr>
          <w:lang w:val="cs-CZ"/>
        </w:rPr>
      </w:pPr>
      <w:bookmarkStart w:id="22" w:name="_Ref128060478"/>
      <w:r w:rsidRPr="00ED3950">
        <w:rPr>
          <w:lang w:val="cs-CZ"/>
        </w:rPr>
        <w:t xml:space="preserve">Tabulka </w:t>
      </w:r>
      <w:r w:rsidR="0094316D" w:rsidRPr="00ED3950">
        <w:rPr>
          <w:lang w:val="cs-CZ"/>
        </w:rPr>
        <w:fldChar w:fldCharType="begin"/>
      </w:r>
      <w:r w:rsidR="0094316D" w:rsidRPr="00ED3950">
        <w:rPr>
          <w:lang w:val="cs-CZ"/>
        </w:rPr>
        <w:instrText xml:space="preserve"> SEQ Table \* ARABIC </w:instrText>
      </w:r>
      <w:r w:rsidR="0094316D" w:rsidRPr="00ED3950">
        <w:rPr>
          <w:lang w:val="cs-CZ"/>
        </w:rPr>
        <w:fldChar w:fldCharType="separate"/>
      </w:r>
      <w:r w:rsidR="003C1993" w:rsidRPr="00ED3950">
        <w:rPr>
          <w:lang w:val="cs-CZ"/>
        </w:rPr>
        <w:t>3</w:t>
      </w:r>
      <w:r w:rsidR="0094316D" w:rsidRPr="00ED3950">
        <w:rPr>
          <w:lang w:val="cs-CZ"/>
        </w:rPr>
        <w:fldChar w:fldCharType="end"/>
      </w:r>
      <w:bookmarkEnd w:id="22"/>
      <w:r w:rsidRPr="00ED3950">
        <w:rPr>
          <w:lang w:val="cs-CZ"/>
        </w:rPr>
        <w:t xml:space="preserve"> Příznivé faktory a překážky </w:t>
      </w:r>
      <w:r w:rsidRPr="00ED3950">
        <w:rPr>
          <w:lang w:val="cs-CZ"/>
        </w:rPr>
        <w:t xml:space="preserve">zkoumaných </w:t>
      </w:r>
      <w:r w:rsidRPr="00ED3950">
        <w:rPr>
          <w:lang w:val="cs-CZ"/>
        </w:rPr>
        <w:t>postupů řízení</w:t>
      </w:r>
    </w:p>
    <w:tbl>
      <w:tblPr>
        <w:tblStyle w:val="Table1"/>
        <w:tblW w:w="0" w:type="auto"/>
        <w:tblLook w:val="04A0" w:firstRow="1" w:lastRow="0" w:firstColumn="1" w:lastColumn="0" w:noHBand="0" w:noVBand="1"/>
      </w:tblPr>
      <w:tblGrid>
        <w:gridCol w:w="421"/>
        <w:gridCol w:w="1984"/>
        <w:gridCol w:w="1843"/>
        <w:gridCol w:w="2410"/>
        <w:gridCol w:w="1791"/>
      </w:tblGrid>
      <w:tr w:rsidR="001B2DC5" w:rsidRPr="00ED3950" w:rsidTr="001543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shd w:val="clear" w:color="auto" w:fill="B2CFCD" w:themeFill="accent3"/>
            <w:tcMar>
              <w:left w:w="28" w:type="dxa"/>
              <w:bottom w:w="28" w:type="dxa"/>
              <w:right w:w="28" w:type="dxa"/>
            </w:tcMar>
            <w:vAlign w:val="top"/>
          </w:tcPr>
          <w:p w:rsidR="00EE3FAE" w:rsidRPr="00ED3950" w:rsidRDefault="00EE3FAE" w:rsidP="003846EE">
            <w:pPr>
              <w:ind w:left="0"/>
              <w:rPr>
                <w:color w:val="auto"/>
                <w:sz w:val="16"/>
                <w:szCs w:val="16"/>
                <w:lang w:val="cs-CZ"/>
              </w:rPr>
            </w:pPr>
          </w:p>
        </w:tc>
        <w:tc>
          <w:tcPr>
            <w:tcW w:w="1984" w:type="dxa"/>
            <w:shd w:val="clear" w:color="auto" w:fill="B2CFCD" w:themeFill="accent3"/>
            <w:tcMar>
              <w:left w:w="28" w:type="dxa"/>
              <w:bottom w:w="28" w:type="dxa"/>
              <w:right w:w="28" w:type="dxa"/>
            </w:tcMar>
          </w:tcPr>
          <w:p w:rsidR="005840C5" w:rsidRPr="00ED3950" w:rsidRDefault="00ED3950">
            <w:pPr>
              <w:ind w:left="0"/>
              <w:cnfStyle w:val="100000000000" w:firstRow="1" w:lastRow="0" w:firstColumn="0" w:lastColumn="0" w:oddVBand="0" w:evenVBand="0" w:oddHBand="0" w:evenHBand="0" w:firstRowFirstColumn="0" w:firstRowLastColumn="0" w:lastRowFirstColumn="0" w:lastRowLastColumn="0"/>
              <w:rPr>
                <w:b w:val="0"/>
                <w:sz w:val="16"/>
                <w:szCs w:val="16"/>
                <w:lang w:val="cs-CZ"/>
              </w:rPr>
            </w:pPr>
            <w:r w:rsidRPr="00ED3950">
              <w:rPr>
                <w:color w:val="auto"/>
                <w:sz w:val="16"/>
                <w:szCs w:val="16"/>
                <w:lang w:val="cs-CZ"/>
              </w:rPr>
              <w:t>Systém řízení a budování kapacit pro RRP</w:t>
            </w:r>
          </w:p>
          <w:p w:rsidR="005840C5" w:rsidRPr="00ED3950" w:rsidRDefault="00ED3950">
            <w:pPr>
              <w:ind w:left="0"/>
              <w:cnfStyle w:val="100000000000" w:firstRow="1" w:lastRow="0" w:firstColumn="0" w:lastColumn="0" w:oddVBand="0" w:evenVBand="0" w:oddHBand="0" w:evenHBand="0" w:firstRowFirstColumn="0" w:firstRowLastColumn="0" w:lastRowFirstColumn="0" w:lastRowLastColumn="0"/>
              <w:rPr>
                <w:color w:val="auto"/>
                <w:sz w:val="16"/>
                <w:szCs w:val="16"/>
                <w:lang w:val="cs-CZ"/>
              </w:rPr>
            </w:pPr>
            <w:r w:rsidRPr="00ED3950">
              <w:rPr>
                <w:color w:val="auto"/>
                <w:sz w:val="16"/>
                <w:szCs w:val="16"/>
                <w:lang w:val="cs-CZ"/>
              </w:rPr>
              <w:t>(ES)</w:t>
            </w:r>
          </w:p>
        </w:tc>
        <w:tc>
          <w:tcPr>
            <w:tcW w:w="1843" w:type="dxa"/>
            <w:shd w:val="clear" w:color="auto" w:fill="B2CFCD" w:themeFill="accent3"/>
            <w:tcMar>
              <w:left w:w="28" w:type="dxa"/>
              <w:bottom w:w="28" w:type="dxa"/>
              <w:right w:w="28" w:type="dxa"/>
            </w:tcMar>
          </w:tcPr>
          <w:p w:rsidR="005840C5" w:rsidRPr="00ED3950" w:rsidRDefault="00C81E5A">
            <w:pPr>
              <w:ind w:left="0"/>
              <w:cnfStyle w:val="100000000000" w:firstRow="1" w:lastRow="0" w:firstColumn="0" w:lastColumn="0" w:oddVBand="0" w:evenVBand="0" w:oddHBand="0" w:evenHBand="0" w:firstRowFirstColumn="0" w:firstRowLastColumn="0" w:lastRowFirstColumn="0" w:lastRowLastColumn="0"/>
              <w:rPr>
                <w:b w:val="0"/>
                <w:sz w:val="16"/>
                <w:szCs w:val="16"/>
                <w:lang w:val="cs-CZ"/>
              </w:rPr>
            </w:pPr>
            <w:r w:rsidRPr="00ED3950">
              <w:rPr>
                <w:color w:val="auto"/>
                <w:sz w:val="16"/>
                <w:szCs w:val="16"/>
                <w:lang w:val="cs-CZ"/>
              </w:rPr>
              <w:t xml:space="preserve">Odborné </w:t>
            </w:r>
            <w:r w:rsidR="000B59AE" w:rsidRPr="00ED3950">
              <w:rPr>
                <w:color w:val="auto"/>
                <w:sz w:val="16"/>
                <w:szCs w:val="16"/>
                <w:lang w:val="cs-CZ"/>
              </w:rPr>
              <w:t xml:space="preserve">centrum </w:t>
            </w:r>
            <w:r w:rsidRPr="00ED3950">
              <w:rPr>
                <w:color w:val="auto"/>
                <w:sz w:val="16"/>
                <w:szCs w:val="16"/>
                <w:lang w:val="cs-CZ"/>
              </w:rPr>
              <w:t xml:space="preserve">a </w:t>
            </w:r>
            <w:proofErr w:type="spellStart"/>
            <w:r w:rsidRPr="00ED3950">
              <w:rPr>
                <w:color w:val="auto"/>
                <w:sz w:val="16"/>
                <w:szCs w:val="16"/>
                <w:lang w:val="cs-CZ"/>
              </w:rPr>
              <w:t>helpdesk</w:t>
            </w:r>
            <w:proofErr w:type="spellEnd"/>
            <w:r w:rsidRPr="00ED3950">
              <w:rPr>
                <w:color w:val="auto"/>
                <w:sz w:val="16"/>
                <w:szCs w:val="16"/>
                <w:lang w:val="cs-CZ"/>
              </w:rPr>
              <w:t xml:space="preserve"> pro DNSH</w:t>
            </w:r>
          </w:p>
          <w:p w:rsidR="005840C5" w:rsidRPr="00ED3950" w:rsidRDefault="00ED3950">
            <w:pPr>
              <w:ind w:left="0"/>
              <w:cnfStyle w:val="100000000000" w:firstRow="1" w:lastRow="0" w:firstColumn="0" w:lastColumn="0" w:oddVBand="0" w:evenVBand="0" w:oddHBand="0" w:evenHBand="0" w:firstRowFirstColumn="0" w:firstRowLastColumn="0" w:lastRowFirstColumn="0" w:lastRowLastColumn="0"/>
              <w:rPr>
                <w:color w:val="auto"/>
                <w:sz w:val="16"/>
                <w:szCs w:val="16"/>
                <w:lang w:val="cs-CZ"/>
              </w:rPr>
            </w:pPr>
            <w:r w:rsidRPr="00ED3950">
              <w:rPr>
                <w:color w:val="auto"/>
                <w:sz w:val="16"/>
                <w:szCs w:val="16"/>
                <w:lang w:val="cs-CZ"/>
              </w:rPr>
              <w:t>(BE)</w:t>
            </w:r>
          </w:p>
        </w:tc>
        <w:tc>
          <w:tcPr>
            <w:tcW w:w="2410" w:type="dxa"/>
            <w:shd w:val="clear" w:color="auto" w:fill="B2CFCD" w:themeFill="accent3"/>
            <w:tcMar>
              <w:left w:w="28" w:type="dxa"/>
              <w:bottom w:w="28" w:type="dxa"/>
              <w:right w:w="28" w:type="dxa"/>
            </w:tcMar>
          </w:tcPr>
          <w:p w:rsidR="005840C5" w:rsidRPr="00ED3950" w:rsidRDefault="00ED3950">
            <w:pPr>
              <w:ind w:left="0"/>
              <w:cnfStyle w:val="100000000000" w:firstRow="1" w:lastRow="0" w:firstColumn="0" w:lastColumn="0" w:oddVBand="0" w:evenVBand="0" w:oddHBand="0" w:evenHBand="0" w:firstRowFirstColumn="0" w:firstRowLastColumn="0" w:lastRowFirstColumn="0" w:lastRowLastColumn="0"/>
              <w:rPr>
                <w:b w:val="0"/>
                <w:sz w:val="16"/>
                <w:szCs w:val="16"/>
                <w:lang w:val="cs-CZ"/>
              </w:rPr>
            </w:pPr>
            <w:r w:rsidRPr="00ED3950">
              <w:rPr>
                <w:color w:val="auto"/>
                <w:sz w:val="16"/>
                <w:szCs w:val="16"/>
                <w:lang w:val="cs-CZ"/>
              </w:rPr>
              <w:t xml:space="preserve">Decentralizovaná správa </w:t>
            </w:r>
            <w:r w:rsidR="008301B2" w:rsidRPr="00ED3950">
              <w:rPr>
                <w:color w:val="auto"/>
                <w:sz w:val="16"/>
                <w:szCs w:val="16"/>
                <w:lang w:val="cs-CZ"/>
              </w:rPr>
              <w:t xml:space="preserve">pro odvětvové </w:t>
            </w:r>
            <w:r w:rsidR="00B40089" w:rsidRPr="00ED3950">
              <w:rPr>
                <w:color w:val="auto"/>
                <w:sz w:val="16"/>
                <w:szCs w:val="16"/>
                <w:lang w:val="cs-CZ"/>
              </w:rPr>
              <w:t>metodiky</w:t>
            </w:r>
          </w:p>
          <w:p w:rsidR="005840C5" w:rsidRPr="00ED3950" w:rsidRDefault="00ED3950">
            <w:pPr>
              <w:ind w:left="0"/>
              <w:cnfStyle w:val="100000000000" w:firstRow="1" w:lastRow="0" w:firstColumn="0" w:lastColumn="0" w:oddVBand="0" w:evenVBand="0" w:oddHBand="0" w:evenHBand="0" w:firstRowFirstColumn="0" w:firstRowLastColumn="0" w:lastRowFirstColumn="0" w:lastRowLastColumn="0"/>
              <w:rPr>
                <w:color w:val="auto"/>
                <w:sz w:val="16"/>
                <w:szCs w:val="16"/>
                <w:lang w:val="cs-CZ"/>
              </w:rPr>
            </w:pPr>
            <w:r w:rsidRPr="00ED3950">
              <w:rPr>
                <w:color w:val="auto"/>
                <w:sz w:val="16"/>
                <w:szCs w:val="16"/>
                <w:lang w:val="cs-CZ"/>
              </w:rPr>
              <w:t>(SK)</w:t>
            </w:r>
          </w:p>
        </w:tc>
        <w:tc>
          <w:tcPr>
            <w:tcW w:w="1791" w:type="dxa"/>
            <w:shd w:val="clear" w:color="auto" w:fill="B2CFCD" w:themeFill="accent3"/>
            <w:tcMar>
              <w:left w:w="28" w:type="dxa"/>
              <w:bottom w:w="28" w:type="dxa"/>
              <w:right w:w="28" w:type="dxa"/>
            </w:tcMar>
          </w:tcPr>
          <w:p w:rsidR="005840C5" w:rsidRPr="00ED3950" w:rsidRDefault="00ED3950">
            <w:pPr>
              <w:ind w:left="0"/>
              <w:cnfStyle w:val="100000000000" w:firstRow="1" w:lastRow="0" w:firstColumn="0" w:lastColumn="0" w:oddVBand="0" w:evenVBand="0" w:oddHBand="0" w:evenHBand="0" w:firstRowFirstColumn="0" w:firstRowLastColumn="0" w:lastRowFirstColumn="0" w:lastRowLastColumn="0"/>
              <w:rPr>
                <w:b w:val="0"/>
                <w:sz w:val="16"/>
                <w:szCs w:val="16"/>
                <w:lang w:val="cs-CZ"/>
              </w:rPr>
            </w:pPr>
            <w:proofErr w:type="spellStart"/>
            <w:r w:rsidRPr="00ED3950">
              <w:rPr>
                <w:color w:val="auto"/>
                <w:sz w:val="16"/>
                <w:szCs w:val="16"/>
                <w:lang w:val="cs-CZ"/>
              </w:rPr>
              <w:t>Mezifederální</w:t>
            </w:r>
            <w:proofErr w:type="spellEnd"/>
            <w:r w:rsidRPr="00ED3950">
              <w:rPr>
                <w:color w:val="auto"/>
                <w:sz w:val="16"/>
                <w:szCs w:val="16"/>
                <w:lang w:val="cs-CZ"/>
              </w:rPr>
              <w:t xml:space="preserve"> síť DNSH</w:t>
            </w:r>
          </w:p>
          <w:p w:rsidR="005840C5" w:rsidRPr="00ED3950" w:rsidRDefault="00ED3950">
            <w:pPr>
              <w:ind w:left="0"/>
              <w:cnfStyle w:val="100000000000" w:firstRow="1" w:lastRow="0" w:firstColumn="0" w:lastColumn="0" w:oddVBand="0" w:evenVBand="0" w:oddHBand="0" w:evenHBand="0" w:firstRowFirstColumn="0" w:firstRowLastColumn="0" w:lastRowFirstColumn="0" w:lastRowLastColumn="0"/>
              <w:rPr>
                <w:color w:val="auto"/>
                <w:sz w:val="16"/>
                <w:szCs w:val="16"/>
                <w:lang w:val="cs-CZ"/>
              </w:rPr>
            </w:pPr>
            <w:r w:rsidRPr="00ED3950">
              <w:rPr>
                <w:color w:val="auto"/>
                <w:sz w:val="16"/>
                <w:szCs w:val="16"/>
                <w:lang w:val="cs-CZ"/>
              </w:rPr>
              <w:t>(BE)</w:t>
            </w:r>
          </w:p>
        </w:tc>
      </w:tr>
      <w:tr w:rsidR="00AA307C" w:rsidRPr="00ED3950" w:rsidTr="00154307">
        <w:trPr>
          <w:cantSplit/>
          <w:trHeight w:val="1134"/>
        </w:trPr>
        <w:tc>
          <w:tcPr>
            <w:cnfStyle w:val="001000000000" w:firstRow="0" w:lastRow="0" w:firstColumn="1" w:lastColumn="0" w:oddVBand="0" w:evenVBand="0" w:oddHBand="0" w:evenHBand="0" w:firstRowFirstColumn="0" w:firstRowLastColumn="0" w:lastRowFirstColumn="0" w:lastRowLastColumn="0"/>
            <w:tcW w:w="421" w:type="dxa"/>
            <w:shd w:val="clear" w:color="auto" w:fill="B2CFCD" w:themeFill="accent3"/>
            <w:tcMar>
              <w:left w:w="28" w:type="dxa"/>
              <w:right w:w="28" w:type="dxa"/>
            </w:tcMar>
            <w:textDirection w:val="btLr"/>
            <w:vAlign w:val="top"/>
          </w:tcPr>
          <w:p w:rsidR="005840C5" w:rsidRPr="00ED3950" w:rsidRDefault="00ED3950">
            <w:pPr>
              <w:ind w:left="113" w:right="113"/>
              <w:jc w:val="center"/>
              <w:rPr>
                <w:b/>
                <w:sz w:val="16"/>
                <w:szCs w:val="16"/>
                <w:lang w:val="cs-CZ"/>
              </w:rPr>
            </w:pPr>
            <w:r w:rsidRPr="00ED3950">
              <w:rPr>
                <w:b/>
                <w:sz w:val="16"/>
                <w:szCs w:val="16"/>
                <w:lang w:val="cs-CZ"/>
              </w:rPr>
              <w:t xml:space="preserve">Umožňující </w:t>
            </w:r>
            <w:r w:rsidR="000B59AE" w:rsidRPr="00ED3950">
              <w:rPr>
                <w:b/>
                <w:sz w:val="16"/>
                <w:szCs w:val="16"/>
                <w:lang w:val="cs-CZ"/>
              </w:rPr>
              <w:t>nástroje</w:t>
            </w:r>
          </w:p>
        </w:tc>
        <w:tc>
          <w:tcPr>
            <w:tcW w:w="1984" w:type="dxa"/>
            <w:tcMar>
              <w:top w:w="28" w:type="dxa"/>
              <w:left w:w="28" w:type="dxa"/>
              <w:right w:w="28" w:type="dxa"/>
            </w:tcMar>
          </w:tcPr>
          <w:p w:rsidR="005840C5" w:rsidRPr="00ED3950" w:rsidRDefault="00ED3950">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cs-CZ"/>
              </w:rPr>
            </w:pPr>
            <w:r w:rsidRPr="00ED3950">
              <w:rPr>
                <w:sz w:val="16"/>
                <w:szCs w:val="16"/>
                <w:lang w:val="cs-CZ"/>
              </w:rPr>
              <w:t xml:space="preserve">E1 </w:t>
            </w:r>
            <w:r w:rsidR="00FD4525" w:rsidRPr="00ED3950">
              <w:rPr>
                <w:sz w:val="16"/>
                <w:szCs w:val="16"/>
                <w:lang w:val="cs-CZ"/>
              </w:rPr>
              <w:t>Jasný mandát</w:t>
            </w:r>
          </w:p>
          <w:p w:rsidR="005840C5" w:rsidRPr="00ED3950" w:rsidRDefault="00ED3950">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cs-CZ"/>
              </w:rPr>
            </w:pPr>
            <w:r w:rsidRPr="00ED3950">
              <w:rPr>
                <w:sz w:val="16"/>
                <w:szCs w:val="16"/>
                <w:lang w:val="cs-CZ"/>
              </w:rPr>
              <w:t xml:space="preserve">E2 </w:t>
            </w:r>
            <w:r w:rsidR="00FD4525" w:rsidRPr="00ED3950">
              <w:rPr>
                <w:sz w:val="16"/>
                <w:szCs w:val="16"/>
                <w:lang w:val="cs-CZ"/>
              </w:rPr>
              <w:t>Účelový rozpočet</w:t>
            </w:r>
          </w:p>
          <w:p w:rsidR="005840C5" w:rsidRPr="00ED3950" w:rsidRDefault="00ED3950">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cs-CZ"/>
              </w:rPr>
            </w:pPr>
            <w:r w:rsidRPr="00ED3950">
              <w:rPr>
                <w:sz w:val="16"/>
                <w:szCs w:val="16"/>
                <w:lang w:val="cs-CZ"/>
              </w:rPr>
              <w:t xml:space="preserve">E3 </w:t>
            </w:r>
            <w:r w:rsidR="00136CDD" w:rsidRPr="00ED3950">
              <w:rPr>
                <w:sz w:val="16"/>
                <w:szCs w:val="16"/>
                <w:lang w:val="cs-CZ"/>
              </w:rPr>
              <w:t>Ověření EK</w:t>
            </w:r>
          </w:p>
          <w:p w:rsidR="005840C5" w:rsidRPr="00ED3950" w:rsidRDefault="00ED3950">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cs-CZ"/>
              </w:rPr>
            </w:pPr>
            <w:r w:rsidRPr="00ED3950">
              <w:rPr>
                <w:sz w:val="16"/>
                <w:szCs w:val="16"/>
                <w:lang w:val="cs-CZ"/>
              </w:rPr>
              <w:t xml:space="preserve">E4 </w:t>
            </w:r>
            <w:r w:rsidR="001D149A" w:rsidRPr="00ED3950">
              <w:rPr>
                <w:sz w:val="16"/>
                <w:szCs w:val="16"/>
                <w:lang w:val="cs-CZ"/>
              </w:rPr>
              <w:t>Velký tým</w:t>
            </w:r>
          </w:p>
        </w:tc>
        <w:tc>
          <w:tcPr>
            <w:tcW w:w="1843" w:type="dxa"/>
            <w:tcMar>
              <w:top w:w="28" w:type="dxa"/>
              <w:left w:w="28" w:type="dxa"/>
              <w:right w:w="28" w:type="dxa"/>
            </w:tcMar>
          </w:tcPr>
          <w:p w:rsidR="005840C5" w:rsidRPr="00ED3950" w:rsidRDefault="00ED3950">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cs-CZ"/>
              </w:rPr>
            </w:pPr>
            <w:r w:rsidRPr="00ED3950">
              <w:rPr>
                <w:sz w:val="16"/>
                <w:szCs w:val="16"/>
                <w:lang w:val="cs-CZ"/>
              </w:rPr>
              <w:t xml:space="preserve">E1 </w:t>
            </w:r>
            <w:r w:rsidR="00601A33" w:rsidRPr="00ED3950">
              <w:rPr>
                <w:sz w:val="16"/>
                <w:szCs w:val="16"/>
                <w:lang w:val="cs-CZ"/>
              </w:rPr>
              <w:t>Jasný mandát</w:t>
            </w:r>
          </w:p>
          <w:p w:rsidR="005840C5" w:rsidRPr="00ED3950" w:rsidRDefault="00ED3950">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cs-CZ"/>
              </w:rPr>
            </w:pPr>
            <w:r w:rsidRPr="00ED3950">
              <w:rPr>
                <w:sz w:val="16"/>
                <w:szCs w:val="16"/>
                <w:lang w:val="cs-CZ"/>
              </w:rPr>
              <w:t xml:space="preserve">E2 </w:t>
            </w:r>
            <w:r w:rsidR="00601A33" w:rsidRPr="00ED3950">
              <w:rPr>
                <w:sz w:val="16"/>
                <w:szCs w:val="16"/>
                <w:lang w:val="cs-CZ"/>
              </w:rPr>
              <w:t>Účelový rozpočet</w:t>
            </w:r>
          </w:p>
          <w:p w:rsidR="005840C5" w:rsidRPr="00ED3950" w:rsidRDefault="00ED3950">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cs-CZ"/>
              </w:rPr>
            </w:pPr>
            <w:r w:rsidRPr="00ED3950">
              <w:rPr>
                <w:sz w:val="16"/>
                <w:szCs w:val="16"/>
                <w:lang w:val="cs-CZ"/>
              </w:rPr>
              <w:t xml:space="preserve">E5 </w:t>
            </w:r>
            <w:r w:rsidR="009526D0" w:rsidRPr="00ED3950">
              <w:rPr>
                <w:sz w:val="16"/>
                <w:szCs w:val="16"/>
                <w:lang w:val="cs-CZ"/>
              </w:rPr>
              <w:t>Technická podpora</w:t>
            </w:r>
          </w:p>
          <w:p w:rsidR="005840C5" w:rsidRPr="00ED3950" w:rsidRDefault="00E7591A">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cs-CZ"/>
              </w:rPr>
            </w:pPr>
            <w:r w:rsidRPr="00ED3950">
              <w:rPr>
                <w:sz w:val="16"/>
                <w:szCs w:val="16"/>
                <w:lang w:val="cs-CZ"/>
              </w:rPr>
              <w:t xml:space="preserve">E7 </w:t>
            </w:r>
            <w:r w:rsidR="003427AE" w:rsidRPr="00ED3950">
              <w:rPr>
                <w:sz w:val="16"/>
                <w:szCs w:val="16"/>
                <w:lang w:val="cs-CZ"/>
              </w:rPr>
              <w:t xml:space="preserve">Pestrý </w:t>
            </w:r>
            <w:r w:rsidR="00A46300" w:rsidRPr="00ED3950">
              <w:rPr>
                <w:sz w:val="16"/>
                <w:szCs w:val="16"/>
                <w:lang w:val="cs-CZ"/>
              </w:rPr>
              <w:t>tým</w:t>
            </w:r>
          </w:p>
        </w:tc>
        <w:tc>
          <w:tcPr>
            <w:tcW w:w="2410" w:type="dxa"/>
            <w:tcMar>
              <w:top w:w="28" w:type="dxa"/>
              <w:left w:w="28" w:type="dxa"/>
              <w:right w:w="28" w:type="dxa"/>
            </w:tcMar>
          </w:tcPr>
          <w:p w:rsidR="005840C5" w:rsidRPr="00ED3950" w:rsidRDefault="00ED3950">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cs-CZ"/>
              </w:rPr>
            </w:pPr>
            <w:r w:rsidRPr="00ED3950">
              <w:rPr>
                <w:sz w:val="16"/>
                <w:szCs w:val="16"/>
                <w:lang w:val="cs-CZ"/>
              </w:rPr>
              <w:t xml:space="preserve">E6 </w:t>
            </w:r>
            <w:r w:rsidR="00601A33" w:rsidRPr="00ED3950">
              <w:rPr>
                <w:sz w:val="16"/>
                <w:szCs w:val="16"/>
                <w:lang w:val="cs-CZ"/>
              </w:rPr>
              <w:t>Využití stávajících odborných znalostí</w:t>
            </w:r>
          </w:p>
          <w:p w:rsidR="005840C5" w:rsidRPr="00ED3950" w:rsidRDefault="00ED3950">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cs-CZ"/>
              </w:rPr>
            </w:pPr>
            <w:r w:rsidRPr="00ED3950">
              <w:rPr>
                <w:sz w:val="16"/>
                <w:szCs w:val="16"/>
                <w:lang w:val="cs-CZ"/>
              </w:rPr>
              <w:t xml:space="preserve">E5 </w:t>
            </w:r>
            <w:r w:rsidR="009526D0" w:rsidRPr="00ED3950">
              <w:rPr>
                <w:sz w:val="16"/>
                <w:szCs w:val="16"/>
                <w:lang w:val="cs-CZ"/>
              </w:rPr>
              <w:t>Technická podpora</w:t>
            </w:r>
          </w:p>
          <w:p w:rsidR="005840C5" w:rsidRPr="00ED3950" w:rsidRDefault="00ED3950">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cs-CZ"/>
              </w:rPr>
            </w:pPr>
            <w:r w:rsidRPr="00ED3950">
              <w:rPr>
                <w:sz w:val="16"/>
                <w:szCs w:val="16"/>
                <w:lang w:val="cs-CZ"/>
              </w:rPr>
              <w:t xml:space="preserve">E8 </w:t>
            </w:r>
            <w:r w:rsidR="000A5951" w:rsidRPr="00ED3950">
              <w:rPr>
                <w:sz w:val="16"/>
                <w:szCs w:val="16"/>
                <w:lang w:val="cs-CZ"/>
              </w:rPr>
              <w:t>Odvětvové pokyny</w:t>
            </w:r>
          </w:p>
        </w:tc>
        <w:tc>
          <w:tcPr>
            <w:tcW w:w="1791" w:type="dxa"/>
            <w:tcMar>
              <w:top w:w="28" w:type="dxa"/>
              <w:left w:w="28" w:type="dxa"/>
              <w:right w:w="28" w:type="dxa"/>
            </w:tcMar>
          </w:tcPr>
          <w:p w:rsidR="005840C5" w:rsidRPr="00ED3950" w:rsidRDefault="00ED3950">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cs-CZ"/>
              </w:rPr>
            </w:pPr>
            <w:r w:rsidRPr="00ED3950">
              <w:rPr>
                <w:sz w:val="16"/>
                <w:szCs w:val="16"/>
                <w:lang w:val="cs-CZ"/>
              </w:rPr>
              <w:t xml:space="preserve">E1 </w:t>
            </w:r>
            <w:r w:rsidR="00601A33" w:rsidRPr="00ED3950">
              <w:rPr>
                <w:sz w:val="16"/>
                <w:szCs w:val="16"/>
                <w:lang w:val="cs-CZ"/>
              </w:rPr>
              <w:t>Jasný mandát</w:t>
            </w:r>
          </w:p>
          <w:p w:rsidR="005840C5" w:rsidRPr="00ED3950" w:rsidRDefault="00ED3950">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cs-CZ"/>
              </w:rPr>
            </w:pPr>
            <w:r w:rsidRPr="00ED3950">
              <w:rPr>
                <w:sz w:val="16"/>
                <w:szCs w:val="16"/>
                <w:lang w:val="cs-CZ"/>
              </w:rPr>
              <w:t xml:space="preserve">E2 </w:t>
            </w:r>
            <w:r w:rsidR="00601A33" w:rsidRPr="00ED3950">
              <w:rPr>
                <w:sz w:val="16"/>
                <w:szCs w:val="16"/>
                <w:lang w:val="cs-CZ"/>
              </w:rPr>
              <w:t>Účelový rozpočet</w:t>
            </w:r>
          </w:p>
          <w:p w:rsidR="005840C5" w:rsidRPr="00ED3950" w:rsidRDefault="00ED3950">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cs-CZ"/>
              </w:rPr>
            </w:pPr>
            <w:r w:rsidRPr="00ED3950">
              <w:rPr>
                <w:sz w:val="16"/>
                <w:szCs w:val="16"/>
                <w:lang w:val="cs-CZ"/>
              </w:rPr>
              <w:t>E7 Pestrý tým</w:t>
            </w:r>
          </w:p>
        </w:tc>
      </w:tr>
      <w:tr w:rsidR="00AA307C" w:rsidRPr="00ED3950" w:rsidTr="00843E30">
        <w:trPr>
          <w:cantSplit/>
          <w:trHeight w:val="916"/>
        </w:trPr>
        <w:tc>
          <w:tcPr>
            <w:cnfStyle w:val="001000000000" w:firstRow="0" w:lastRow="0" w:firstColumn="1" w:lastColumn="0" w:oddVBand="0" w:evenVBand="0" w:oddHBand="0" w:evenHBand="0" w:firstRowFirstColumn="0" w:firstRowLastColumn="0" w:lastRowFirstColumn="0" w:lastRowLastColumn="0"/>
            <w:tcW w:w="421" w:type="dxa"/>
            <w:shd w:val="clear" w:color="auto" w:fill="B2CFCD" w:themeFill="accent3"/>
            <w:tcMar>
              <w:left w:w="28" w:type="dxa"/>
              <w:right w:w="28" w:type="dxa"/>
            </w:tcMar>
            <w:textDirection w:val="btLr"/>
            <w:vAlign w:val="top"/>
          </w:tcPr>
          <w:p w:rsidR="005840C5" w:rsidRPr="00ED3950" w:rsidRDefault="00ED3950">
            <w:pPr>
              <w:ind w:left="113" w:right="113"/>
              <w:jc w:val="center"/>
              <w:rPr>
                <w:b/>
                <w:sz w:val="16"/>
                <w:szCs w:val="16"/>
                <w:lang w:val="cs-CZ"/>
              </w:rPr>
            </w:pPr>
            <w:r w:rsidRPr="00ED3950">
              <w:rPr>
                <w:b/>
                <w:sz w:val="16"/>
                <w:szCs w:val="16"/>
                <w:lang w:val="cs-CZ"/>
              </w:rPr>
              <w:t>Překážky</w:t>
            </w:r>
          </w:p>
        </w:tc>
        <w:tc>
          <w:tcPr>
            <w:tcW w:w="1984" w:type="dxa"/>
            <w:tcMar>
              <w:top w:w="28" w:type="dxa"/>
              <w:left w:w="28" w:type="dxa"/>
              <w:right w:w="28" w:type="dxa"/>
            </w:tcMar>
          </w:tcPr>
          <w:p w:rsidR="005840C5" w:rsidRPr="00ED3950" w:rsidRDefault="00ED3950">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cs-CZ"/>
              </w:rPr>
            </w:pPr>
            <w:r w:rsidRPr="00ED3950">
              <w:rPr>
                <w:sz w:val="16"/>
                <w:szCs w:val="16"/>
                <w:lang w:val="cs-CZ"/>
              </w:rPr>
              <w:t>Nebylo zjištěno</w:t>
            </w:r>
          </w:p>
        </w:tc>
        <w:tc>
          <w:tcPr>
            <w:tcW w:w="1843" w:type="dxa"/>
            <w:tcMar>
              <w:top w:w="28" w:type="dxa"/>
              <w:left w:w="28" w:type="dxa"/>
              <w:right w:w="28" w:type="dxa"/>
            </w:tcMar>
          </w:tcPr>
          <w:p w:rsidR="005840C5" w:rsidRPr="00ED3950" w:rsidRDefault="00ED3950">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cs-CZ"/>
              </w:rPr>
            </w:pPr>
            <w:r w:rsidRPr="00ED3950">
              <w:rPr>
                <w:sz w:val="16"/>
                <w:szCs w:val="16"/>
                <w:lang w:val="cs-CZ"/>
              </w:rPr>
              <w:t>Nebylo zjištěno</w:t>
            </w:r>
          </w:p>
        </w:tc>
        <w:tc>
          <w:tcPr>
            <w:tcW w:w="2410" w:type="dxa"/>
            <w:tcMar>
              <w:top w:w="28" w:type="dxa"/>
              <w:left w:w="28" w:type="dxa"/>
              <w:right w:w="28" w:type="dxa"/>
            </w:tcMar>
          </w:tcPr>
          <w:p w:rsidR="005840C5" w:rsidRPr="00ED3950" w:rsidRDefault="00ED3950">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cs-CZ"/>
              </w:rPr>
            </w:pPr>
            <w:r w:rsidRPr="00ED3950">
              <w:rPr>
                <w:sz w:val="16"/>
                <w:szCs w:val="16"/>
                <w:lang w:val="cs-CZ"/>
              </w:rPr>
              <w:t xml:space="preserve">B1 </w:t>
            </w:r>
            <w:r w:rsidR="00601A33" w:rsidRPr="00ED3950">
              <w:rPr>
                <w:sz w:val="16"/>
                <w:szCs w:val="16"/>
                <w:lang w:val="cs-CZ"/>
              </w:rPr>
              <w:t xml:space="preserve">Absence politické </w:t>
            </w:r>
            <w:r w:rsidR="004E21DF" w:rsidRPr="00ED3950">
              <w:rPr>
                <w:sz w:val="16"/>
                <w:szCs w:val="16"/>
                <w:lang w:val="cs-CZ"/>
              </w:rPr>
              <w:t>podpory</w:t>
            </w:r>
          </w:p>
          <w:p w:rsidR="005840C5" w:rsidRPr="00ED3950" w:rsidRDefault="00ED3950">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cs-CZ"/>
              </w:rPr>
            </w:pPr>
            <w:r w:rsidRPr="00ED3950">
              <w:rPr>
                <w:sz w:val="16"/>
                <w:szCs w:val="16"/>
                <w:lang w:val="cs-CZ"/>
              </w:rPr>
              <w:t xml:space="preserve">B2 </w:t>
            </w:r>
            <w:r w:rsidR="003E096A" w:rsidRPr="00ED3950">
              <w:rPr>
                <w:sz w:val="16"/>
                <w:szCs w:val="16"/>
                <w:lang w:val="cs-CZ"/>
              </w:rPr>
              <w:t>Absence jasných mandátů</w:t>
            </w:r>
          </w:p>
          <w:p w:rsidR="005840C5" w:rsidRPr="00ED3950" w:rsidRDefault="00ED3950">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cs-CZ"/>
              </w:rPr>
            </w:pPr>
            <w:r w:rsidRPr="00ED3950">
              <w:rPr>
                <w:sz w:val="16"/>
                <w:szCs w:val="16"/>
                <w:lang w:val="cs-CZ"/>
              </w:rPr>
              <w:t xml:space="preserve">B3 </w:t>
            </w:r>
            <w:r w:rsidR="009E37A1" w:rsidRPr="00ED3950">
              <w:rPr>
                <w:sz w:val="16"/>
                <w:szCs w:val="16"/>
                <w:lang w:val="cs-CZ"/>
              </w:rPr>
              <w:t>Extrémně malý tým</w:t>
            </w:r>
          </w:p>
        </w:tc>
        <w:tc>
          <w:tcPr>
            <w:tcW w:w="1791" w:type="dxa"/>
            <w:tcMar>
              <w:top w:w="28" w:type="dxa"/>
              <w:left w:w="28" w:type="dxa"/>
              <w:right w:w="28" w:type="dxa"/>
            </w:tcMar>
          </w:tcPr>
          <w:p w:rsidR="005840C5" w:rsidRPr="00ED3950" w:rsidRDefault="00ED3950">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cs-CZ"/>
              </w:rPr>
            </w:pPr>
            <w:r w:rsidRPr="00ED3950">
              <w:rPr>
                <w:sz w:val="16"/>
                <w:szCs w:val="16"/>
                <w:lang w:val="cs-CZ"/>
              </w:rPr>
              <w:t xml:space="preserve">B4 </w:t>
            </w:r>
            <w:r w:rsidR="00B84532" w:rsidRPr="00ED3950">
              <w:rPr>
                <w:sz w:val="16"/>
                <w:szCs w:val="16"/>
                <w:lang w:val="cs-CZ"/>
              </w:rPr>
              <w:t xml:space="preserve">Možné </w:t>
            </w:r>
            <w:r w:rsidR="0013046E" w:rsidRPr="00ED3950">
              <w:rPr>
                <w:sz w:val="16"/>
                <w:szCs w:val="16"/>
                <w:lang w:val="cs-CZ"/>
              </w:rPr>
              <w:t xml:space="preserve">překrývání </w:t>
            </w:r>
            <w:r w:rsidR="007305A5" w:rsidRPr="00ED3950">
              <w:rPr>
                <w:sz w:val="16"/>
                <w:szCs w:val="16"/>
                <w:lang w:val="cs-CZ"/>
              </w:rPr>
              <w:t xml:space="preserve">mandátů </w:t>
            </w:r>
            <w:r w:rsidR="008B2F06" w:rsidRPr="00ED3950">
              <w:rPr>
                <w:sz w:val="16"/>
                <w:szCs w:val="16"/>
                <w:lang w:val="cs-CZ"/>
              </w:rPr>
              <w:t>subjektů</w:t>
            </w:r>
            <w:r w:rsidR="008B2F06" w:rsidRPr="00ED3950">
              <w:rPr>
                <w:rStyle w:val="Znakapoznpodarou"/>
                <w:sz w:val="16"/>
                <w:szCs w:val="16"/>
                <w:lang w:val="cs-CZ"/>
              </w:rPr>
              <w:footnoteReference w:id="5"/>
            </w:r>
          </w:p>
        </w:tc>
      </w:tr>
    </w:tbl>
    <w:p w:rsidR="004842BF" w:rsidRPr="00ED3950" w:rsidRDefault="004842BF" w:rsidP="003846EE">
      <w:pPr>
        <w:rPr>
          <w:lang w:val="cs-CZ"/>
        </w:rPr>
      </w:pPr>
    </w:p>
    <w:p w:rsidR="005840C5" w:rsidRPr="00ED3950" w:rsidRDefault="00ED3950">
      <w:pPr>
        <w:pStyle w:val="Nadpis4"/>
        <w:rPr>
          <w:lang w:val="cs-CZ"/>
        </w:rPr>
      </w:pPr>
      <w:proofErr w:type="spellStart"/>
      <w:r w:rsidRPr="00ED3950">
        <w:rPr>
          <w:lang w:val="cs-CZ"/>
        </w:rPr>
        <w:t>Replikovatelnost</w:t>
      </w:r>
      <w:proofErr w:type="spellEnd"/>
      <w:r w:rsidRPr="00ED3950">
        <w:rPr>
          <w:lang w:val="cs-CZ"/>
        </w:rPr>
        <w:t xml:space="preserve"> specializovaného týmu </w:t>
      </w:r>
      <w:r w:rsidR="00292A0A" w:rsidRPr="00ED3950">
        <w:rPr>
          <w:lang w:val="cs-CZ"/>
        </w:rPr>
        <w:t>DNSH (</w:t>
      </w:r>
      <w:r w:rsidRPr="00ED3950">
        <w:rPr>
          <w:lang w:val="cs-CZ"/>
        </w:rPr>
        <w:t xml:space="preserve">na </w:t>
      </w:r>
      <w:r w:rsidR="00250153" w:rsidRPr="00ED3950">
        <w:rPr>
          <w:lang w:val="cs-CZ"/>
        </w:rPr>
        <w:t xml:space="preserve">základě </w:t>
      </w:r>
      <w:r w:rsidR="00B172AC" w:rsidRPr="00ED3950">
        <w:rPr>
          <w:lang w:val="cs-CZ"/>
        </w:rPr>
        <w:t>belgického a španělského modelu)</w:t>
      </w:r>
      <w:r w:rsidR="006D7625" w:rsidRPr="00ED3950">
        <w:rPr>
          <w:lang w:val="cs-CZ"/>
        </w:rPr>
        <w:t>.</w:t>
      </w:r>
    </w:p>
    <w:p w:rsidR="005840C5" w:rsidRPr="00ED3950" w:rsidRDefault="00ED3950">
      <w:pPr>
        <w:rPr>
          <w:lang w:val="cs-CZ"/>
        </w:rPr>
      </w:pPr>
      <w:r w:rsidRPr="00ED3950">
        <w:rPr>
          <w:lang w:val="cs-CZ"/>
        </w:rPr>
        <w:t xml:space="preserve">V </w:t>
      </w:r>
      <w:r w:rsidR="00C535C2" w:rsidRPr="00ED3950">
        <w:rPr>
          <w:lang w:val="cs-CZ"/>
        </w:rPr>
        <w:t xml:space="preserve">České republice </w:t>
      </w:r>
      <w:r w:rsidR="009B65AB" w:rsidRPr="00ED3950">
        <w:rPr>
          <w:lang w:val="cs-CZ"/>
        </w:rPr>
        <w:t xml:space="preserve">koordinuje provádění </w:t>
      </w:r>
      <w:r w:rsidR="00530A17" w:rsidRPr="00ED3950">
        <w:rPr>
          <w:b/>
          <w:lang w:val="cs-CZ"/>
        </w:rPr>
        <w:t xml:space="preserve">rámcových </w:t>
      </w:r>
      <w:r w:rsidR="00E20AF4" w:rsidRPr="00ED3950">
        <w:rPr>
          <w:b/>
          <w:lang w:val="cs-CZ"/>
        </w:rPr>
        <w:t xml:space="preserve">směrnic pro životní prostředí </w:t>
      </w:r>
      <w:r w:rsidR="00B14E7B" w:rsidRPr="00ED3950">
        <w:rPr>
          <w:lang w:val="cs-CZ"/>
        </w:rPr>
        <w:t xml:space="preserve">Ministerstvo </w:t>
      </w:r>
      <w:r w:rsidR="000514FF" w:rsidRPr="00ED3950">
        <w:rPr>
          <w:lang w:val="cs-CZ"/>
        </w:rPr>
        <w:t xml:space="preserve">průmyslu a obchodu </w:t>
      </w:r>
      <w:r w:rsidR="006F190F" w:rsidRPr="00ED3950">
        <w:rPr>
          <w:lang w:val="cs-CZ"/>
        </w:rPr>
        <w:t>(pro RRF) a Ministerstvo pro místní rozvoj (pro Fond politiky soudržnosti)</w:t>
      </w:r>
      <w:r w:rsidR="00491C4E" w:rsidRPr="00ED3950">
        <w:rPr>
          <w:lang w:val="cs-CZ"/>
        </w:rPr>
        <w:t xml:space="preserve">. </w:t>
      </w:r>
      <w:r w:rsidR="00397F08" w:rsidRPr="00ED3950">
        <w:rPr>
          <w:lang w:val="cs-CZ"/>
        </w:rPr>
        <w:t xml:space="preserve">Absence týmu, který by se plně věnoval koordinaci a budování kapacit pro </w:t>
      </w:r>
      <w:r w:rsidR="00EE2784" w:rsidRPr="00ED3950">
        <w:rPr>
          <w:lang w:val="cs-CZ"/>
        </w:rPr>
        <w:t xml:space="preserve">uplatňování zásady DNSH, </w:t>
      </w:r>
      <w:r w:rsidR="00FC358C" w:rsidRPr="00ED3950">
        <w:rPr>
          <w:lang w:val="cs-CZ"/>
        </w:rPr>
        <w:t xml:space="preserve">brání </w:t>
      </w:r>
      <w:r w:rsidR="00EE2784" w:rsidRPr="00ED3950">
        <w:rPr>
          <w:lang w:val="cs-CZ"/>
        </w:rPr>
        <w:t xml:space="preserve">dopadu pokynů </w:t>
      </w:r>
      <w:r w:rsidR="00E15088" w:rsidRPr="00ED3950">
        <w:rPr>
          <w:lang w:val="cs-CZ"/>
        </w:rPr>
        <w:t>[</w:t>
      </w:r>
      <w:r w:rsidR="00912D62" w:rsidRPr="00ED3950">
        <w:rPr>
          <w:lang w:val="cs-CZ"/>
        </w:rPr>
        <w:t>B3</w:t>
      </w:r>
      <w:r w:rsidR="00E15088" w:rsidRPr="00ED3950">
        <w:rPr>
          <w:lang w:val="cs-CZ"/>
        </w:rPr>
        <w:t>]</w:t>
      </w:r>
      <w:r w:rsidR="00EE2784" w:rsidRPr="00ED3950">
        <w:rPr>
          <w:lang w:val="cs-CZ"/>
        </w:rPr>
        <w:t>.</w:t>
      </w:r>
    </w:p>
    <w:p w:rsidR="005840C5" w:rsidRPr="00ED3950" w:rsidRDefault="00A0315C">
      <w:pPr>
        <w:rPr>
          <w:lang w:val="cs-CZ"/>
        </w:rPr>
      </w:pPr>
      <w:r w:rsidRPr="00ED3950">
        <w:rPr>
          <w:lang w:val="cs-CZ"/>
        </w:rPr>
        <w:t xml:space="preserve">Vytvoření specializovaného týmu s </w:t>
      </w:r>
      <w:r w:rsidR="00A21B27" w:rsidRPr="00ED3950">
        <w:rPr>
          <w:lang w:val="cs-CZ"/>
        </w:rPr>
        <w:t xml:space="preserve">podobným mandátem, jaký má </w:t>
      </w:r>
      <w:r w:rsidR="00B566D1" w:rsidRPr="00ED3950">
        <w:rPr>
          <w:lang w:val="cs-CZ"/>
        </w:rPr>
        <w:t xml:space="preserve">španělská divize DNSH </w:t>
      </w:r>
      <w:r w:rsidR="00CA11C9" w:rsidRPr="00ED3950">
        <w:rPr>
          <w:lang w:val="cs-CZ"/>
        </w:rPr>
        <w:t xml:space="preserve">a/nebo </w:t>
      </w:r>
      <w:r w:rsidR="00B566D1" w:rsidRPr="00ED3950">
        <w:rPr>
          <w:lang w:val="cs-CZ"/>
        </w:rPr>
        <w:t xml:space="preserve">belgický </w:t>
      </w:r>
      <w:r w:rsidR="00CA11C9" w:rsidRPr="00ED3950">
        <w:rPr>
          <w:lang w:val="cs-CZ"/>
        </w:rPr>
        <w:t xml:space="preserve">federální </w:t>
      </w:r>
      <w:proofErr w:type="spellStart"/>
      <w:r w:rsidR="00B566D1" w:rsidRPr="00ED3950">
        <w:rPr>
          <w:lang w:val="cs-CZ"/>
        </w:rPr>
        <w:t>Helpdesk</w:t>
      </w:r>
      <w:proofErr w:type="spellEnd"/>
      <w:r w:rsidR="00CA11C9" w:rsidRPr="00ED3950">
        <w:rPr>
          <w:lang w:val="cs-CZ"/>
        </w:rPr>
        <w:t xml:space="preserve"> DNSH, </w:t>
      </w:r>
      <w:r w:rsidR="00AC7701" w:rsidRPr="00ED3950">
        <w:rPr>
          <w:lang w:val="cs-CZ"/>
        </w:rPr>
        <w:t xml:space="preserve">by </w:t>
      </w:r>
      <w:r w:rsidR="00D975CF" w:rsidRPr="00ED3950">
        <w:rPr>
          <w:lang w:val="cs-CZ"/>
        </w:rPr>
        <w:t xml:space="preserve">poskytovalo </w:t>
      </w:r>
      <w:r w:rsidR="00D975CF" w:rsidRPr="00ED3950">
        <w:rPr>
          <w:b/>
          <w:lang w:val="cs-CZ"/>
        </w:rPr>
        <w:t xml:space="preserve">cílenou podporu při provádění </w:t>
      </w:r>
      <w:r w:rsidR="00CA11C9" w:rsidRPr="00ED3950">
        <w:rPr>
          <w:b/>
          <w:bCs/>
          <w:lang w:val="cs-CZ"/>
        </w:rPr>
        <w:t xml:space="preserve">pokynů DNSH </w:t>
      </w:r>
      <w:r w:rsidR="003A1E20" w:rsidRPr="00ED3950">
        <w:rPr>
          <w:b/>
          <w:bCs/>
          <w:lang w:val="cs-CZ"/>
        </w:rPr>
        <w:t>prostřednictvím různých operačních programů (OP) a fondů</w:t>
      </w:r>
      <w:r w:rsidR="005402C2" w:rsidRPr="00ED3950">
        <w:rPr>
          <w:lang w:val="cs-CZ"/>
        </w:rPr>
        <w:t xml:space="preserve">. </w:t>
      </w:r>
      <w:r w:rsidR="004A0B4E" w:rsidRPr="00ED3950">
        <w:rPr>
          <w:lang w:val="cs-CZ"/>
        </w:rPr>
        <w:t xml:space="preserve">To </w:t>
      </w:r>
      <w:r w:rsidR="00ED3950" w:rsidRPr="00ED3950">
        <w:rPr>
          <w:lang w:val="cs-CZ"/>
        </w:rPr>
        <w:t xml:space="preserve">by vyžadovalo </w:t>
      </w:r>
      <w:r w:rsidR="004E21DF" w:rsidRPr="00ED3950">
        <w:rPr>
          <w:lang w:val="cs-CZ"/>
        </w:rPr>
        <w:t xml:space="preserve">navržení </w:t>
      </w:r>
      <w:r w:rsidR="00ED3950" w:rsidRPr="00ED3950">
        <w:rPr>
          <w:lang w:val="cs-CZ"/>
        </w:rPr>
        <w:t>jasného mandátu</w:t>
      </w:r>
      <w:r w:rsidR="003B66A7" w:rsidRPr="00ED3950">
        <w:rPr>
          <w:lang w:val="cs-CZ"/>
        </w:rPr>
        <w:t xml:space="preserve">, vhodných zdrojů </w:t>
      </w:r>
      <w:r w:rsidR="00ED3950" w:rsidRPr="00ED3950">
        <w:rPr>
          <w:lang w:val="cs-CZ"/>
        </w:rPr>
        <w:t xml:space="preserve">a </w:t>
      </w:r>
      <w:r w:rsidR="003B66A7" w:rsidRPr="00ED3950">
        <w:rPr>
          <w:lang w:val="cs-CZ"/>
        </w:rPr>
        <w:t xml:space="preserve">vyjasnění </w:t>
      </w:r>
      <w:r w:rsidR="00ED3950" w:rsidRPr="00ED3950">
        <w:rPr>
          <w:lang w:val="cs-CZ"/>
        </w:rPr>
        <w:t xml:space="preserve">rozdělení </w:t>
      </w:r>
      <w:r w:rsidR="0040042D" w:rsidRPr="00ED3950">
        <w:rPr>
          <w:lang w:val="cs-CZ"/>
        </w:rPr>
        <w:t xml:space="preserve">rolí </w:t>
      </w:r>
      <w:r w:rsidR="00ED3950" w:rsidRPr="00ED3950">
        <w:rPr>
          <w:lang w:val="cs-CZ"/>
        </w:rPr>
        <w:t>s řídicími orgány (</w:t>
      </w:r>
      <w:r w:rsidR="007913DA" w:rsidRPr="00ED3950">
        <w:rPr>
          <w:lang w:val="cs-CZ"/>
        </w:rPr>
        <w:t xml:space="preserve">tj. </w:t>
      </w:r>
      <w:r w:rsidR="00ED3950" w:rsidRPr="00ED3950">
        <w:rPr>
          <w:lang w:val="cs-CZ"/>
        </w:rPr>
        <w:t xml:space="preserve">konečná odpovědnost, </w:t>
      </w:r>
      <w:r w:rsidR="0041511B" w:rsidRPr="00ED3950">
        <w:rPr>
          <w:lang w:val="cs-CZ"/>
        </w:rPr>
        <w:t>zajištění kvality, sběr dat atd.)</w:t>
      </w:r>
      <w:r w:rsidR="00753A3B" w:rsidRPr="00ED3950">
        <w:rPr>
          <w:lang w:val="cs-CZ"/>
        </w:rPr>
        <w:t xml:space="preserve">. </w:t>
      </w:r>
      <w:r w:rsidR="0011060E" w:rsidRPr="00ED3950">
        <w:rPr>
          <w:lang w:val="cs-CZ"/>
        </w:rPr>
        <w:t xml:space="preserve">Česká divize DNSH nebo </w:t>
      </w:r>
      <w:proofErr w:type="spellStart"/>
      <w:r w:rsidR="0011060E" w:rsidRPr="00ED3950">
        <w:rPr>
          <w:lang w:val="cs-CZ"/>
        </w:rPr>
        <w:t>Helpdesk</w:t>
      </w:r>
      <w:proofErr w:type="spellEnd"/>
      <w:r w:rsidR="0011060E" w:rsidRPr="00ED3950">
        <w:rPr>
          <w:lang w:val="cs-CZ"/>
        </w:rPr>
        <w:t xml:space="preserve"> DNSH by měly mít </w:t>
      </w:r>
      <w:r w:rsidR="004E21DF" w:rsidRPr="00ED3950">
        <w:rPr>
          <w:lang w:val="cs-CZ"/>
        </w:rPr>
        <w:t xml:space="preserve">k dispozici </w:t>
      </w:r>
      <w:r w:rsidR="0011060E" w:rsidRPr="00ED3950">
        <w:rPr>
          <w:lang w:val="cs-CZ"/>
        </w:rPr>
        <w:t xml:space="preserve">zdroje a </w:t>
      </w:r>
      <w:r w:rsidR="004771EB" w:rsidRPr="00ED3950">
        <w:rPr>
          <w:lang w:val="cs-CZ"/>
        </w:rPr>
        <w:t xml:space="preserve">kapacity pro </w:t>
      </w:r>
      <w:r w:rsidR="00AA2434" w:rsidRPr="00ED3950">
        <w:rPr>
          <w:lang w:val="cs-CZ"/>
        </w:rPr>
        <w:t xml:space="preserve">zavádění a provádění </w:t>
      </w:r>
      <w:r w:rsidR="00607A4E" w:rsidRPr="00ED3950">
        <w:rPr>
          <w:lang w:val="cs-CZ"/>
        </w:rPr>
        <w:t xml:space="preserve">českých národních pokynů DNSH, podobně jako je tomu u </w:t>
      </w:r>
      <w:r w:rsidR="003B2493" w:rsidRPr="00ED3950">
        <w:rPr>
          <w:lang w:val="cs-CZ"/>
        </w:rPr>
        <w:t xml:space="preserve">španělských a belgických </w:t>
      </w:r>
      <w:r w:rsidR="00E066D7" w:rsidRPr="00ED3950">
        <w:rPr>
          <w:lang w:val="cs-CZ"/>
        </w:rPr>
        <w:t>pokynů</w:t>
      </w:r>
      <w:r w:rsidR="00D275A1" w:rsidRPr="00ED3950">
        <w:rPr>
          <w:lang w:val="cs-CZ"/>
        </w:rPr>
        <w:t xml:space="preserve">. </w:t>
      </w:r>
    </w:p>
    <w:p w:rsidR="00790A1F" w:rsidRPr="00ED3950" w:rsidRDefault="00790A1F" w:rsidP="00A0315C">
      <w:pPr>
        <w:rPr>
          <w:lang w:val="cs-CZ"/>
        </w:rPr>
      </w:pPr>
    </w:p>
    <w:p w:rsidR="005840C5" w:rsidRPr="00ED3950" w:rsidRDefault="00ED3950">
      <w:pPr>
        <w:pStyle w:val="Bulletpoint"/>
        <w:ind w:left="851" w:hanging="284"/>
        <w:rPr>
          <w:lang w:val="cs-CZ"/>
        </w:rPr>
      </w:pPr>
      <w:r w:rsidRPr="00ED3950">
        <w:rPr>
          <w:lang w:val="cs-CZ"/>
        </w:rPr>
        <w:t xml:space="preserve">Tuto replikaci postupů </w:t>
      </w:r>
      <w:r w:rsidR="00224F31" w:rsidRPr="00ED3950">
        <w:rPr>
          <w:lang w:val="cs-CZ"/>
        </w:rPr>
        <w:t xml:space="preserve">by mohlo umožnit zejména </w:t>
      </w:r>
      <w:r w:rsidR="002561E6" w:rsidRPr="00ED3950">
        <w:rPr>
          <w:lang w:val="cs-CZ"/>
        </w:rPr>
        <w:t xml:space="preserve">seskupení osob, které v současné době pracují v rámci operačních programů </w:t>
      </w:r>
      <w:r w:rsidR="00E47121" w:rsidRPr="00ED3950">
        <w:rPr>
          <w:lang w:val="cs-CZ"/>
        </w:rPr>
        <w:t xml:space="preserve">a ministerstev </w:t>
      </w:r>
      <w:r w:rsidR="004E21DF" w:rsidRPr="00ED3950">
        <w:rPr>
          <w:lang w:val="cs-CZ"/>
        </w:rPr>
        <w:t xml:space="preserve">a </w:t>
      </w:r>
      <w:r w:rsidR="00E47121" w:rsidRPr="00ED3950">
        <w:rPr>
          <w:lang w:val="cs-CZ"/>
        </w:rPr>
        <w:t xml:space="preserve">které mají dobré znalosti tvůrců projektů a rámců ochrany životního prostředí </w:t>
      </w:r>
      <w:r w:rsidR="00210D48" w:rsidRPr="00ED3950">
        <w:rPr>
          <w:lang w:val="cs-CZ"/>
        </w:rPr>
        <w:t>[E6, E7]</w:t>
      </w:r>
      <w:r w:rsidR="00E47121" w:rsidRPr="00ED3950">
        <w:rPr>
          <w:lang w:val="cs-CZ"/>
        </w:rPr>
        <w:t xml:space="preserve">. </w:t>
      </w:r>
      <w:r w:rsidR="006C4825" w:rsidRPr="00ED3950">
        <w:rPr>
          <w:lang w:val="cs-CZ"/>
        </w:rPr>
        <w:t xml:space="preserve">Tato skupina </w:t>
      </w:r>
      <w:r w:rsidR="00C34336" w:rsidRPr="00ED3950">
        <w:rPr>
          <w:lang w:val="cs-CZ"/>
        </w:rPr>
        <w:t>by mohla fungovat jako divize DNSH</w:t>
      </w:r>
      <w:r w:rsidR="004B3FC2" w:rsidRPr="00ED3950">
        <w:rPr>
          <w:lang w:val="cs-CZ"/>
        </w:rPr>
        <w:t xml:space="preserve">. </w:t>
      </w:r>
      <w:r w:rsidR="002E6E03" w:rsidRPr="00ED3950">
        <w:rPr>
          <w:lang w:val="cs-CZ"/>
        </w:rPr>
        <w:t xml:space="preserve">Takové </w:t>
      </w:r>
      <w:r w:rsidR="00966568" w:rsidRPr="00ED3950">
        <w:rPr>
          <w:lang w:val="cs-CZ"/>
        </w:rPr>
        <w:t xml:space="preserve">doporučení </w:t>
      </w:r>
      <w:r w:rsidR="002E6E03" w:rsidRPr="00ED3950">
        <w:rPr>
          <w:lang w:val="cs-CZ"/>
        </w:rPr>
        <w:t xml:space="preserve">lze prozkoumat v </w:t>
      </w:r>
      <w:r w:rsidR="00966568" w:rsidRPr="00ED3950">
        <w:rPr>
          <w:lang w:val="cs-CZ"/>
        </w:rPr>
        <w:t xml:space="preserve">souvislosti s DLV5 </w:t>
      </w:r>
      <w:r w:rsidR="00D23E2C" w:rsidRPr="00ED3950">
        <w:rPr>
          <w:lang w:val="cs-CZ"/>
        </w:rPr>
        <w:t xml:space="preserve">v rámci </w:t>
      </w:r>
      <w:r w:rsidR="00495DD9" w:rsidRPr="00ED3950">
        <w:rPr>
          <w:lang w:val="cs-CZ"/>
        </w:rPr>
        <w:t>současného projektu TSI [</w:t>
      </w:r>
      <w:r w:rsidR="00F2051F" w:rsidRPr="00ED3950">
        <w:rPr>
          <w:lang w:val="cs-CZ"/>
        </w:rPr>
        <w:t>E5]</w:t>
      </w:r>
      <w:r w:rsidR="00522092" w:rsidRPr="00ED3950" w:rsidDel="00522092">
        <w:rPr>
          <w:lang w:val="cs-CZ"/>
        </w:rPr>
        <w:t xml:space="preserve">. </w:t>
      </w:r>
    </w:p>
    <w:p w:rsidR="005840C5" w:rsidRPr="00ED3950" w:rsidRDefault="00ED3950">
      <w:pPr>
        <w:rPr>
          <w:lang w:val="cs-CZ"/>
        </w:rPr>
      </w:pPr>
      <w:r w:rsidRPr="00ED3950">
        <w:rPr>
          <w:lang w:val="cs-CZ"/>
        </w:rPr>
        <w:t xml:space="preserve">Kromě překážek uvedených v </w:t>
      </w:r>
      <w:r w:rsidR="001062CD" w:rsidRPr="00ED3950">
        <w:rPr>
          <w:lang w:val="cs-CZ"/>
        </w:rPr>
        <w:fldChar w:fldCharType="begin"/>
      </w:r>
      <w:r w:rsidR="001062CD" w:rsidRPr="00ED3950">
        <w:rPr>
          <w:highlight w:val="yellow"/>
          <w:lang w:val="cs-CZ"/>
        </w:rPr>
        <w:instrText xml:space="preserve"> REF _Ref128060478 \h  \* MERGEFORMAT </w:instrText>
      </w:r>
      <w:r w:rsidR="001062CD" w:rsidRPr="00ED3950">
        <w:rPr>
          <w:lang w:val="cs-CZ"/>
        </w:rPr>
      </w:r>
      <w:r w:rsidR="001062CD" w:rsidRPr="00ED3950">
        <w:rPr>
          <w:lang w:val="cs-CZ"/>
        </w:rPr>
        <w:fldChar w:fldCharType="separate"/>
      </w:r>
      <w:proofErr w:type="gramStart"/>
      <w:r w:rsidR="001062CD" w:rsidRPr="00ED3950">
        <w:rPr>
          <w:lang w:val="cs-CZ"/>
        </w:rPr>
        <w:t>Tabulka</w:t>
      </w:r>
      <w:proofErr w:type="gramEnd"/>
      <w:r w:rsidR="001062CD" w:rsidRPr="00ED3950">
        <w:rPr>
          <w:lang w:val="cs-CZ"/>
        </w:rPr>
        <w:t xml:space="preserve"> </w:t>
      </w:r>
      <w:r w:rsidR="001C3259" w:rsidRPr="00ED3950">
        <w:rPr>
          <w:lang w:val="cs-CZ"/>
        </w:rPr>
        <w:t>3</w:t>
      </w:r>
      <w:r w:rsidR="001062CD" w:rsidRPr="00ED3950">
        <w:rPr>
          <w:lang w:val="cs-CZ"/>
        </w:rPr>
        <w:fldChar w:fldCharType="end"/>
      </w:r>
      <w:r w:rsidRPr="00ED3950">
        <w:rPr>
          <w:lang w:val="cs-CZ"/>
        </w:rPr>
        <w:t xml:space="preserve">je </w:t>
      </w:r>
      <w:proofErr w:type="spellStart"/>
      <w:r w:rsidR="007366F0" w:rsidRPr="00ED3950">
        <w:rPr>
          <w:lang w:val="cs-CZ"/>
        </w:rPr>
        <w:t>replikovatelnost</w:t>
      </w:r>
      <w:proofErr w:type="spellEnd"/>
      <w:r w:rsidR="007366F0" w:rsidRPr="00ED3950">
        <w:rPr>
          <w:lang w:val="cs-CZ"/>
        </w:rPr>
        <w:t xml:space="preserve"> </w:t>
      </w:r>
      <w:r w:rsidR="0072526D" w:rsidRPr="00ED3950">
        <w:rPr>
          <w:lang w:val="cs-CZ"/>
        </w:rPr>
        <w:t xml:space="preserve">částečně omezena skutečností, že divize DNSH </w:t>
      </w:r>
      <w:r w:rsidR="0020043C" w:rsidRPr="00ED3950">
        <w:rPr>
          <w:lang w:val="cs-CZ"/>
        </w:rPr>
        <w:t xml:space="preserve">se zaměřuje </w:t>
      </w:r>
      <w:r w:rsidR="0072526D" w:rsidRPr="00ED3950">
        <w:rPr>
          <w:lang w:val="cs-CZ"/>
        </w:rPr>
        <w:t xml:space="preserve">výhradně </w:t>
      </w:r>
      <w:r w:rsidR="0020043C" w:rsidRPr="00ED3950">
        <w:rPr>
          <w:lang w:val="cs-CZ"/>
        </w:rPr>
        <w:t xml:space="preserve">na princip DNSH v rámci </w:t>
      </w:r>
      <w:r w:rsidR="008E76DD" w:rsidRPr="00ED3950">
        <w:rPr>
          <w:lang w:val="cs-CZ"/>
        </w:rPr>
        <w:t xml:space="preserve">RRF, </w:t>
      </w:r>
      <w:r w:rsidR="00FD5E81" w:rsidRPr="00ED3950">
        <w:rPr>
          <w:lang w:val="cs-CZ"/>
        </w:rPr>
        <w:t xml:space="preserve">zatímco Česko </w:t>
      </w:r>
      <w:r w:rsidR="00E36281" w:rsidRPr="00ED3950">
        <w:rPr>
          <w:lang w:val="cs-CZ"/>
        </w:rPr>
        <w:t xml:space="preserve">řídí </w:t>
      </w:r>
      <w:r w:rsidR="008E76DD" w:rsidRPr="00ED3950">
        <w:rPr>
          <w:lang w:val="cs-CZ"/>
        </w:rPr>
        <w:t xml:space="preserve">implementaci RRF a </w:t>
      </w:r>
      <w:r w:rsidR="00A0778A" w:rsidRPr="00ED3950">
        <w:rPr>
          <w:lang w:val="cs-CZ"/>
        </w:rPr>
        <w:t xml:space="preserve">fondů politiky soudržnosti odděleně. </w:t>
      </w:r>
    </w:p>
    <w:p w:rsidR="00410C45" w:rsidRPr="00ED3950" w:rsidRDefault="00410C45" w:rsidP="00A0315C">
      <w:pPr>
        <w:rPr>
          <w:lang w:val="cs-CZ"/>
        </w:rPr>
      </w:pPr>
    </w:p>
    <w:p w:rsidR="005840C5" w:rsidRPr="00ED3950" w:rsidRDefault="00ED3950">
      <w:pPr>
        <w:rPr>
          <w:lang w:val="cs-CZ"/>
        </w:rPr>
      </w:pPr>
      <w:proofErr w:type="spellStart"/>
      <w:r w:rsidRPr="00ED3950">
        <w:rPr>
          <w:lang w:val="cs-CZ"/>
        </w:rPr>
        <w:t>Replikovatelnost</w:t>
      </w:r>
      <w:proofErr w:type="spellEnd"/>
      <w:r w:rsidRPr="00ED3950">
        <w:rPr>
          <w:lang w:val="cs-CZ"/>
        </w:rPr>
        <w:t xml:space="preserve"> ilustrativních příkladů je uvedena v dokumentu </w:t>
      </w:r>
      <w:r w:rsidRPr="00ED3950">
        <w:rPr>
          <w:lang w:val="cs-CZ"/>
        </w:rPr>
        <w:fldChar w:fldCharType="begin"/>
      </w:r>
      <w:r w:rsidRPr="00ED3950">
        <w:rPr>
          <w:lang w:val="cs-CZ"/>
        </w:rPr>
        <w:instrText xml:space="preserve"> REF _Ref128124856 \h  \* MERGEFORMAT </w:instrText>
      </w:r>
      <w:r w:rsidRPr="00ED3950">
        <w:rPr>
          <w:lang w:val="cs-CZ"/>
        </w:rPr>
      </w:r>
      <w:r w:rsidRPr="00ED3950">
        <w:rPr>
          <w:lang w:val="cs-CZ"/>
        </w:rPr>
        <w:fldChar w:fldCharType="separate"/>
      </w:r>
      <w:r w:rsidR="00CD3B74" w:rsidRPr="00ED3950">
        <w:rPr>
          <w:lang w:val="cs-CZ"/>
        </w:rPr>
        <w:t>Rámeček 2</w:t>
      </w:r>
      <w:r w:rsidRPr="00ED3950">
        <w:rPr>
          <w:lang w:val="cs-CZ"/>
        </w:rPr>
        <w:fldChar w:fldCharType="end"/>
      </w:r>
      <w:r w:rsidRPr="00ED3950">
        <w:rPr>
          <w:lang w:val="cs-CZ"/>
        </w:rPr>
        <w:t>.</w:t>
      </w:r>
    </w:p>
    <w:p w:rsidR="003362A4" w:rsidRPr="00ED3950" w:rsidRDefault="003362A4" w:rsidP="003846EE">
      <w:pPr>
        <w:rPr>
          <w:lang w:val="cs-CZ"/>
        </w:rPr>
      </w:pPr>
    </w:p>
    <w:p w:rsidR="005840C5" w:rsidRPr="00ED3950" w:rsidRDefault="00ED3950">
      <w:pPr>
        <w:pStyle w:val="Titulek"/>
        <w:keepNext/>
        <w:rPr>
          <w:lang w:val="cs-CZ"/>
        </w:rPr>
      </w:pPr>
      <w:bookmarkStart w:id="23" w:name="_Ref128124856"/>
      <w:r w:rsidRPr="00ED3950">
        <w:rPr>
          <w:lang w:val="cs-CZ"/>
        </w:rPr>
        <w:t xml:space="preserve">Box </w:t>
      </w:r>
      <w:r w:rsidR="0094316D" w:rsidRPr="00ED3950">
        <w:rPr>
          <w:lang w:val="cs-CZ"/>
        </w:rPr>
        <w:fldChar w:fldCharType="begin"/>
      </w:r>
      <w:r w:rsidR="0094316D" w:rsidRPr="00ED3950">
        <w:rPr>
          <w:lang w:val="cs-CZ"/>
        </w:rPr>
        <w:instrText xml:space="preserve"> SEQ Box \* ARABIC </w:instrText>
      </w:r>
      <w:r w:rsidR="0094316D" w:rsidRPr="00ED3950">
        <w:rPr>
          <w:lang w:val="cs-CZ"/>
        </w:rPr>
        <w:fldChar w:fldCharType="separate"/>
      </w:r>
      <w:r w:rsidR="00CD3B74" w:rsidRPr="00ED3950">
        <w:rPr>
          <w:lang w:val="cs-CZ"/>
        </w:rPr>
        <w:t>2</w:t>
      </w:r>
      <w:r w:rsidR="0094316D" w:rsidRPr="00ED3950">
        <w:rPr>
          <w:lang w:val="cs-CZ"/>
        </w:rPr>
        <w:fldChar w:fldCharType="end"/>
      </w:r>
      <w:bookmarkEnd w:id="23"/>
      <w:r w:rsidRPr="00ED3950">
        <w:rPr>
          <w:lang w:val="cs-CZ"/>
        </w:rPr>
        <w:t xml:space="preserve"> </w:t>
      </w:r>
      <w:proofErr w:type="spellStart"/>
      <w:r w:rsidRPr="00ED3950">
        <w:rPr>
          <w:lang w:val="cs-CZ"/>
        </w:rPr>
        <w:t>Replikovatelnost</w:t>
      </w:r>
      <w:proofErr w:type="spellEnd"/>
      <w:r w:rsidRPr="00ED3950">
        <w:rPr>
          <w:lang w:val="cs-CZ"/>
        </w:rPr>
        <w:t xml:space="preserve"> ilustrativních </w:t>
      </w:r>
      <w:r w:rsidR="00E84F47" w:rsidRPr="00ED3950">
        <w:rPr>
          <w:lang w:val="cs-CZ"/>
        </w:rPr>
        <w:t xml:space="preserve">postupů </w:t>
      </w:r>
      <w:r w:rsidRPr="00ED3950">
        <w:rPr>
          <w:lang w:val="cs-CZ"/>
        </w:rPr>
        <w:t>řízení</w:t>
      </w:r>
    </w:p>
    <w:tbl>
      <w:tblPr>
        <w:tblStyle w:val="Table1"/>
        <w:tblW w:w="5000" w:type="pct"/>
        <w:shd w:val="clear" w:color="auto" w:fill="E0EBEB" w:themeFill="accent3" w:themeFillTint="66"/>
        <w:tblLook w:val="04A0" w:firstRow="1" w:lastRow="0" w:firstColumn="1" w:lastColumn="0" w:noHBand="0" w:noVBand="1"/>
      </w:tblPr>
      <w:tblGrid>
        <w:gridCol w:w="9016"/>
      </w:tblGrid>
      <w:tr w:rsidR="00BB10A5" w:rsidRPr="00ED3950" w:rsidTr="009A78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E0EBEB" w:themeFill="accent3" w:themeFillTint="66"/>
          </w:tcPr>
          <w:p w:rsidR="005840C5" w:rsidRPr="00ED3950" w:rsidRDefault="00ED3950">
            <w:pPr>
              <w:pStyle w:val="Titulek"/>
              <w:ind w:left="0"/>
              <w:rPr>
                <w:b/>
                <w:bCs w:val="0"/>
                <w:szCs w:val="18"/>
                <w:lang w:val="cs-CZ"/>
              </w:rPr>
            </w:pPr>
            <w:proofErr w:type="spellStart"/>
            <w:r w:rsidRPr="00ED3950">
              <w:rPr>
                <w:b/>
                <w:bCs w:val="0"/>
                <w:sz w:val="18"/>
                <w:szCs w:val="18"/>
                <w:lang w:val="cs-CZ"/>
              </w:rPr>
              <w:t>Replikovatelnost</w:t>
            </w:r>
            <w:proofErr w:type="spellEnd"/>
            <w:r w:rsidRPr="00ED3950">
              <w:rPr>
                <w:b/>
                <w:bCs w:val="0"/>
                <w:sz w:val="18"/>
                <w:szCs w:val="18"/>
                <w:lang w:val="cs-CZ"/>
              </w:rPr>
              <w:t xml:space="preserve"> </w:t>
            </w:r>
            <w:r w:rsidR="009A7834" w:rsidRPr="00ED3950">
              <w:rPr>
                <w:b/>
                <w:bCs w:val="0"/>
                <w:sz w:val="18"/>
                <w:szCs w:val="18"/>
                <w:lang w:val="cs-CZ"/>
              </w:rPr>
              <w:t xml:space="preserve">decentralizované správy směrem k rozvoji </w:t>
            </w:r>
            <w:r w:rsidRPr="00ED3950">
              <w:rPr>
                <w:b/>
                <w:bCs w:val="0"/>
                <w:sz w:val="18"/>
                <w:szCs w:val="18"/>
                <w:lang w:val="cs-CZ"/>
              </w:rPr>
              <w:t>odvětvových metodik (</w:t>
            </w:r>
            <w:r w:rsidR="004E21DF" w:rsidRPr="00ED3950">
              <w:rPr>
                <w:b/>
                <w:bCs w:val="0"/>
                <w:sz w:val="18"/>
                <w:szCs w:val="18"/>
                <w:lang w:val="cs-CZ"/>
              </w:rPr>
              <w:t xml:space="preserve">na základě </w:t>
            </w:r>
            <w:r w:rsidRPr="00ED3950">
              <w:rPr>
                <w:b/>
                <w:bCs w:val="0"/>
                <w:sz w:val="18"/>
                <w:szCs w:val="18"/>
                <w:lang w:val="cs-CZ"/>
              </w:rPr>
              <w:t>slovenského modelu).</w:t>
            </w:r>
          </w:p>
          <w:p w:rsidR="005840C5" w:rsidRPr="00ED3950" w:rsidRDefault="00ED3950">
            <w:pPr>
              <w:ind w:left="0"/>
              <w:jc w:val="left"/>
              <w:rPr>
                <w:bCs/>
                <w:color w:val="000000" w:themeColor="text1"/>
                <w:lang w:val="cs-CZ"/>
              </w:rPr>
            </w:pPr>
            <w:r w:rsidRPr="00ED3950">
              <w:rPr>
                <w:b w:val="0"/>
                <w:bCs/>
                <w:color w:val="000000" w:themeColor="text1"/>
                <w:lang w:val="cs-CZ"/>
              </w:rPr>
              <w:t>Vzhledem k tomu, že v Česku existují rámcové environmentální směrnice pro jednotlivá odvětví, nezdá se, že by slovenský model bylo možné replikov</w:t>
            </w:r>
            <w:r w:rsidRPr="00ED3950">
              <w:rPr>
                <w:b w:val="0"/>
                <w:bCs/>
                <w:color w:val="000000" w:themeColor="text1"/>
                <w:lang w:val="cs-CZ"/>
              </w:rPr>
              <w:t xml:space="preserve">at [E8]. </w:t>
            </w:r>
            <w:r w:rsidR="00853F2E" w:rsidRPr="00ED3950">
              <w:rPr>
                <w:b w:val="0"/>
                <w:bCs/>
                <w:color w:val="000000" w:themeColor="text1"/>
                <w:lang w:val="cs-CZ"/>
              </w:rPr>
              <w:t xml:space="preserve">Rámcové pokyny poskytují jasný </w:t>
            </w:r>
            <w:r w:rsidR="0064695C" w:rsidRPr="00ED3950">
              <w:rPr>
                <w:b w:val="0"/>
                <w:bCs/>
                <w:color w:val="000000" w:themeColor="text1"/>
                <w:lang w:val="cs-CZ"/>
              </w:rPr>
              <w:t xml:space="preserve">návod na sladění procesů a hodnocení DNSH ve všech odvětvích, čímž se odvětvové metodiky stávají </w:t>
            </w:r>
            <w:r w:rsidR="001D06C7" w:rsidRPr="00ED3950">
              <w:rPr>
                <w:b w:val="0"/>
                <w:bCs/>
                <w:color w:val="000000" w:themeColor="text1"/>
                <w:lang w:val="cs-CZ"/>
              </w:rPr>
              <w:t>nadbytečnými</w:t>
            </w:r>
            <w:r w:rsidR="00F804F4" w:rsidRPr="00ED3950">
              <w:rPr>
                <w:b w:val="0"/>
                <w:bCs/>
                <w:color w:val="000000" w:themeColor="text1"/>
                <w:lang w:val="cs-CZ"/>
              </w:rPr>
              <w:t xml:space="preserve">. Česko navíc určilo ústřední orgán, který </w:t>
            </w:r>
            <w:r w:rsidR="00A46CF4" w:rsidRPr="00ED3950">
              <w:rPr>
                <w:b w:val="0"/>
                <w:bCs/>
                <w:color w:val="000000" w:themeColor="text1"/>
                <w:lang w:val="cs-CZ"/>
              </w:rPr>
              <w:t xml:space="preserve">pokyny vypracoval (tj. Ministerstvo životního prostředí), </w:t>
            </w:r>
            <w:r w:rsidR="00537179" w:rsidRPr="00ED3950">
              <w:rPr>
                <w:b w:val="0"/>
                <w:bCs/>
                <w:color w:val="000000" w:themeColor="text1"/>
                <w:lang w:val="cs-CZ"/>
              </w:rPr>
              <w:t xml:space="preserve">ale </w:t>
            </w:r>
            <w:r w:rsidR="00753105" w:rsidRPr="00ED3950">
              <w:rPr>
                <w:b w:val="0"/>
                <w:bCs/>
                <w:color w:val="000000" w:themeColor="text1"/>
                <w:lang w:val="cs-CZ"/>
              </w:rPr>
              <w:t>koordinace provádění RRP a CPR je v kompetenci Ministerstva průmyslu a obchodu, respektive Ministerstva pro místní rozvoj</w:t>
            </w:r>
            <w:r w:rsidR="00A46CF4" w:rsidRPr="00ED3950">
              <w:rPr>
                <w:b w:val="0"/>
                <w:bCs/>
                <w:color w:val="000000" w:themeColor="text1"/>
                <w:lang w:val="cs-CZ"/>
              </w:rPr>
              <w:t xml:space="preserve">. </w:t>
            </w:r>
            <w:r w:rsidR="003161E0" w:rsidRPr="00ED3950">
              <w:rPr>
                <w:b w:val="0"/>
                <w:bCs/>
                <w:color w:val="000000" w:themeColor="text1"/>
                <w:lang w:val="cs-CZ"/>
              </w:rPr>
              <w:t xml:space="preserve">Zdá se tedy, že </w:t>
            </w:r>
            <w:r w:rsidR="0036114C" w:rsidRPr="00ED3950">
              <w:rPr>
                <w:b w:val="0"/>
                <w:bCs/>
                <w:color w:val="000000" w:themeColor="text1"/>
                <w:lang w:val="cs-CZ"/>
              </w:rPr>
              <w:t xml:space="preserve">decentralizovaný </w:t>
            </w:r>
            <w:r w:rsidR="003161E0" w:rsidRPr="00ED3950">
              <w:rPr>
                <w:b w:val="0"/>
                <w:bCs/>
                <w:color w:val="000000" w:themeColor="text1"/>
                <w:lang w:val="cs-CZ"/>
              </w:rPr>
              <w:t xml:space="preserve">slovenský model není pro Česko </w:t>
            </w:r>
            <w:proofErr w:type="spellStart"/>
            <w:r w:rsidR="003161E0" w:rsidRPr="00ED3950">
              <w:rPr>
                <w:b w:val="0"/>
                <w:bCs/>
                <w:color w:val="000000" w:themeColor="text1"/>
                <w:lang w:val="cs-CZ"/>
              </w:rPr>
              <w:t>replikovatelný</w:t>
            </w:r>
            <w:proofErr w:type="spellEnd"/>
            <w:r w:rsidR="003161E0" w:rsidRPr="00ED3950">
              <w:rPr>
                <w:b w:val="0"/>
                <w:bCs/>
                <w:color w:val="000000" w:themeColor="text1"/>
                <w:lang w:val="cs-CZ"/>
              </w:rPr>
              <w:t>.</w:t>
            </w:r>
          </w:p>
          <w:p w:rsidR="00E84F47" w:rsidRPr="00ED3950" w:rsidRDefault="00E84F47" w:rsidP="00C74158">
            <w:pPr>
              <w:ind w:left="0"/>
              <w:jc w:val="left"/>
              <w:rPr>
                <w:b w:val="0"/>
                <w:bCs/>
                <w:color w:val="000000" w:themeColor="text1"/>
                <w:szCs w:val="16"/>
                <w:lang w:val="cs-CZ"/>
              </w:rPr>
            </w:pPr>
          </w:p>
          <w:p w:rsidR="005840C5" w:rsidRPr="00ED3950" w:rsidRDefault="00ED3950">
            <w:pPr>
              <w:pStyle w:val="Nadpis4"/>
              <w:ind w:firstLine="0"/>
              <w:outlineLvl w:val="3"/>
              <w:rPr>
                <w:b/>
                <w:bCs w:val="0"/>
                <w:color w:val="005962" w:themeColor="accent1"/>
                <w:lang w:val="cs-CZ"/>
              </w:rPr>
            </w:pPr>
            <w:proofErr w:type="spellStart"/>
            <w:r w:rsidRPr="00ED3950">
              <w:rPr>
                <w:b/>
                <w:bCs w:val="0"/>
                <w:color w:val="005962" w:themeColor="accent1"/>
                <w:lang w:val="cs-CZ"/>
              </w:rPr>
              <w:t>Replikovatelnost</w:t>
            </w:r>
            <w:proofErr w:type="spellEnd"/>
            <w:r w:rsidRPr="00ED3950">
              <w:rPr>
                <w:b/>
                <w:bCs w:val="0"/>
                <w:color w:val="005962" w:themeColor="accent1"/>
                <w:lang w:val="cs-CZ"/>
              </w:rPr>
              <w:t xml:space="preserve"> </w:t>
            </w:r>
            <w:proofErr w:type="spellStart"/>
            <w:r w:rsidRPr="00ED3950">
              <w:rPr>
                <w:b/>
                <w:bCs w:val="0"/>
                <w:color w:val="005962" w:themeColor="accent1"/>
                <w:lang w:val="cs-CZ"/>
              </w:rPr>
              <w:t>mezifederální</w:t>
            </w:r>
            <w:proofErr w:type="spellEnd"/>
            <w:r w:rsidRPr="00ED3950">
              <w:rPr>
                <w:b/>
                <w:bCs w:val="0"/>
                <w:color w:val="005962" w:themeColor="accent1"/>
                <w:lang w:val="cs-CZ"/>
              </w:rPr>
              <w:t xml:space="preserve"> sítě DNSH </w:t>
            </w:r>
            <w:r w:rsidRPr="00ED3950">
              <w:rPr>
                <w:b/>
                <w:bCs w:val="0"/>
                <w:color w:val="005962" w:themeColor="accent1"/>
                <w:lang w:val="cs-CZ"/>
              </w:rPr>
              <w:t>(</w:t>
            </w:r>
            <w:r w:rsidR="004E21DF" w:rsidRPr="00ED3950">
              <w:rPr>
                <w:b/>
                <w:bCs w:val="0"/>
                <w:color w:val="005962" w:themeColor="accent1"/>
                <w:lang w:val="cs-CZ"/>
              </w:rPr>
              <w:t xml:space="preserve">na základě </w:t>
            </w:r>
            <w:r w:rsidRPr="00ED3950">
              <w:rPr>
                <w:b/>
                <w:bCs w:val="0"/>
                <w:color w:val="005962" w:themeColor="accent1"/>
                <w:lang w:val="cs-CZ"/>
              </w:rPr>
              <w:t>belgického modelu)</w:t>
            </w:r>
          </w:p>
          <w:p w:rsidR="005840C5" w:rsidRPr="00ED3950" w:rsidRDefault="00ED3950">
            <w:pPr>
              <w:ind w:left="0"/>
              <w:jc w:val="left"/>
              <w:rPr>
                <w:color w:val="000000" w:themeColor="text1"/>
                <w:sz w:val="16"/>
                <w:szCs w:val="16"/>
                <w:lang w:val="cs-CZ"/>
              </w:rPr>
            </w:pPr>
            <w:r w:rsidRPr="00ED3950">
              <w:rPr>
                <w:b w:val="0"/>
                <w:bCs/>
                <w:color w:val="000000" w:themeColor="text1"/>
                <w:lang w:val="cs-CZ"/>
              </w:rPr>
              <w:t xml:space="preserve">Vzhledem k centralizovanému uplatňování principu DNSH se zdá, že </w:t>
            </w:r>
            <w:proofErr w:type="spellStart"/>
            <w:r w:rsidRPr="00ED3950">
              <w:rPr>
                <w:b w:val="0"/>
                <w:bCs/>
                <w:color w:val="000000" w:themeColor="text1"/>
                <w:lang w:val="cs-CZ"/>
              </w:rPr>
              <w:t>mezifederální</w:t>
            </w:r>
            <w:proofErr w:type="spellEnd"/>
            <w:r w:rsidRPr="00ED3950">
              <w:rPr>
                <w:b w:val="0"/>
                <w:bCs/>
                <w:color w:val="000000" w:themeColor="text1"/>
                <w:lang w:val="cs-CZ"/>
              </w:rPr>
              <w:t xml:space="preserve"> síť DNSH není snadno </w:t>
            </w:r>
            <w:proofErr w:type="spellStart"/>
            <w:r w:rsidRPr="00ED3950">
              <w:rPr>
                <w:b w:val="0"/>
                <w:bCs/>
                <w:color w:val="000000" w:themeColor="text1"/>
                <w:lang w:val="cs-CZ"/>
              </w:rPr>
              <w:t>replikovatelná</w:t>
            </w:r>
            <w:proofErr w:type="spellEnd"/>
            <w:r w:rsidRPr="00ED3950">
              <w:rPr>
                <w:b w:val="0"/>
                <w:bCs/>
                <w:color w:val="000000" w:themeColor="text1"/>
                <w:lang w:val="cs-CZ"/>
              </w:rPr>
              <w:t xml:space="preserve">. Význam sítě se skutečně jeví jako omezený, </w:t>
            </w:r>
            <w:r w:rsidR="004E21DF" w:rsidRPr="00ED3950">
              <w:rPr>
                <w:b w:val="0"/>
                <w:bCs/>
                <w:color w:val="000000" w:themeColor="text1"/>
                <w:lang w:val="cs-CZ"/>
              </w:rPr>
              <w:t xml:space="preserve">protože </w:t>
            </w:r>
            <w:r w:rsidRPr="00ED3950">
              <w:rPr>
                <w:b w:val="0"/>
                <w:bCs/>
                <w:color w:val="000000" w:themeColor="text1"/>
                <w:lang w:val="cs-CZ"/>
              </w:rPr>
              <w:t>do českých procesů DNSH nejsou zapojeny regionální nebo místní zúčastn</w:t>
            </w:r>
            <w:r w:rsidRPr="00ED3950">
              <w:rPr>
                <w:b w:val="0"/>
                <w:bCs/>
                <w:color w:val="000000" w:themeColor="text1"/>
                <w:lang w:val="cs-CZ"/>
              </w:rPr>
              <w:t xml:space="preserve">ěné strany. Belgický model by však mohl být replikován </w:t>
            </w:r>
            <w:r w:rsidR="004E21DF" w:rsidRPr="00ED3950">
              <w:rPr>
                <w:b w:val="0"/>
                <w:bCs/>
                <w:color w:val="000000" w:themeColor="text1"/>
                <w:lang w:val="cs-CZ"/>
              </w:rPr>
              <w:t xml:space="preserve">zaměřením se na </w:t>
            </w:r>
            <w:r w:rsidRPr="00ED3950">
              <w:rPr>
                <w:b w:val="0"/>
                <w:bCs/>
                <w:color w:val="000000" w:themeColor="text1"/>
                <w:lang w:val="cs-CZ"/>
              </w:rPr>
              <w:t xml:space="preserve">tematickou - nikoli jurisdikční - síť [E7]. Mohla by být institucionalizována síť úřadů, akademiků a příslušných institucí (např. Hydrometeorologického ústavu </w:t>
            </w:r>
            <w:r w:rsidRPr="00ED3950">
              <w:rPr>
                <w:b w:val="0"/>
                <w:color w:val="000000" w:themeColor="text1"/>
                <w:lang w:val="cs-CZ"/>
              </w:rPr>
              <w:t xml:space="preserve">nebo Akademie věd ČR) </w:t>
            </w:r>
            <w:r w:rsidRPr="00ED3950">
              <w:rPr>
                <w:b w:val="0"/>
                <w:bCs/>
                <w:color w:val="000000" w:themeColor="text1"/>
                <w:lang w:val="cs-CZ"/>
              </w:rPr>
              <w:t>[E1]</w:t>
            </w:r>
            <w:r w:rsidRPr="00ED3950">
              <w:rPr>
                <w:b w:val="0"/>
                <w:bCs/>
                <w:color w:val="000000" w:themeColor="text1"/>
                <w:lang w:val="cs-CZ"/>
              </w:rPr>
              <w:t xml:space="preserve">, která by zajišťovala pravidelnou výměnu informací o datových úložištích pro aplikaci principu DNSH (ta jsou v současnosti decentralizovaná) a o stavu výzkumu náročných odvětví a environmentální integrity </w:t>
            </w:r>
            <w:r w:rsidRPr="00ED3950">
              <w:rPr>
                <w:b w:val="0"/>
                <w:bCs/>
                <w:color w:val="000000" w:themeColor="text1"/>
                <w:lang w:val="cs-CZ"/>
              </w:rPr>
              <w:t>- ta by mohla být postavena na modelu současné pra</w:t>
            </w:r>
            <w:r w:rsidRPr="00ED3950">
              <w:rPr>
                <w:b w:val="0"/>
                <w:bCs/>
                <w:color w:val="000000" w:themeColor="text1"/>
                <w:lang w:val="cs-CZ"/>
              </w:rPr>
              <w:t>xe v ČR pro aplikaci KP</w:t>
            </w:r>
            <w:r w:rsidRPr="00ED3950">
              <w:rPr>
                <w:b w:val="0"/>
                <w:bCs/>
                <w:color w:val="000000" w:themeColor="text1"/>
                <w:lang w:val="cs-CZ"/>
              </w:rPr>
              <w:t xml:space="preserve">. To by umožnilo řešit tato témata - která byla během konzultací zdůrazněna jako výzvy - centrálním, avšak flexibilním způsobem. Podobně jako u jiných postupů by replikaci </w:t>
            </w:r>
            <w:proofErr w:type="spellStart"/>
            <w:r w:rsidRPr="00ED3950">
              <w:rPr>
                <w:b w:val="0"/>
                <w:bCs/>
                <w:color w:val="000000" w:themeColor="text1"/>
                <w:lang w:val="cs-CZ"/>
              </w:rPr>
              <w:t>mezifederální</w:t>
            </w:r>
            <w:proofErr w:type="spellEnd"/>
            <w:r w:rsidRPr="00ED3950">
              <w:rPr>
                <w:b w:val="0"/>
                <w:bCs/>
                <w:color w:val="000000" w:themeColor="text1"/>
                <w:lang w:val="cs-CZ"/>
              </w:rPr>
              <w:t xml:space="preserve"> sítě DNSH mohl bránit nedostatek zdrojů pro úča</w:t>
            </w:r>
            <w:r w:rsidRPr="00ED3950">
              <w:rPr>
                <w:b w:val="0"/>
                <w:bCs/>
                <w:color w:val="000000" w:themeColor="text1"/>
                <w:lang w:val="cs-CZ"/>
              </w:rPr>
              <w:t>stníky i sekretariát [E2].</w:t>
            </w:r>
          </w:p>
        </w:tc>
      </w:tr>
    </w:tbl>
    <w:p w:rsidR="00FA11F9" w:rsidRPr="00ED3950" w:rsidRDefault="00FA11F9" w:rsidP="00BB10A5">
      <w:pPr>
        <w:ind w:left="0"/>
        <w:rPr>
          <w:lang w:val="cs-CZ"/>
        </w:rPr>
      </w:pPr>
    </w:p>
    <w:p w:rsidR="005840C5" w:rsidRPr="00ED3950" w:rsidRDefault="00ED3950">
      <w:pPr>
        <w:pStyle w:val="Nadpis2"/>
        <w:rPr>
          <w:lang w:val="cs-CZ"/>
        </w:rPr>
      </w:pPr>
      <w:bookmarkStart w:id="24" w:name="_Toc131775836"/>
      <w:r w:rsidRPr="00ED3950">
        <w:rPr>
          <w:lang w:val="cs-CZ"/>
        </w:rPr>
        <w:t xml:space="preserve">Provádění zjednodušených a </w:t>
      </w:r>
      <w:r w:rsidR="00722BEA" w:rsidRPr="00ED3950">
        <w:rPr>
          <w:lang w:val="cs-CZ"/>
        </w:rPr>
        <w:t xml:space="preserve">podrobných </w:t>
      </w:r>
      <w:r w:rsidRPr="00ED3950">
        <w:rPr>
          <w:lang w:val="cs-CZ"/>
        </w:rPr>
        <w:t>hodnocení DNSH</w:t>
      </w:r>
      <w:bookmarkEnd w:id="24"/>
    </w:p>
    <w:p w:rsidR="005840C5" w:rsidRPr="00ED3950" w:rsidRDefault="00ED3950">
      <w:pPr>
        <w:pStyle w:val="Nadpis3"/>
        <w:tabs>
          <w:tab w:val="clear" w:pos="851"/>
          <w:tab w:val="left" w:pos="567"/>
        </w:tabs>
        <w:ind w:left="567" w:hanging="567"/>
        <w:rPr>
          <w:lang w:val="cs-CZ"/>
        </w:rPr>
      </w:pPr>
      <w:bookmarkStart w:id="25" w:name="_Toc131775837"/>
      <w:r w:rsidRPr="00ED3950">
        <w:rPr>
          <w:lang w:val="cs-CZ"/>
        </w:rPr>
        <w:t xml:space="preserve">Kontext </w:t>
      </w:r>
      <w:r w:rsidR="00B62D69" w:rsidRPr="00ED3950">
        <w:rPr>
          <w:lang w:val="cs-CZ"/>
        </w:rPr>
        <w:t>výzvy</w:t>
      </w:r>
      <w:bookmarkEnd w:id="25"/>
    </w:p>
    <w:p w:rsidR="005840C5" w:rsidRPr="00ED3950" w:rsidRDefault="00ED3950">
      <w:pPr>
        <w:rPr>
          <w:lang w:val="cs-CZ"/>
        </w:rPr>
      </w:pPr>
      <w:r w:rsidRPr="00ED3950">
        <w:rPr>
          <w:lang w:val="cs-CZ"/>
        </w:rPr>
        <w:t xml:space="preserve">Druhý </w:t>
      </w:r>
      <w:proofErr w:type="spellStart"/>
      <w:r w:rsidRPr="00ED3950">
        <w:rPr>
          <w:lang w:val="cs-CZ"/>
        </w:rPr>
        <w:t>webinář</w:t>
      </w:r>
      <w:proofErr w:type="spellEnd"/>
      <w:r w:rsidRPr="00ED3950">
        <w:rPr>
          <w:lang w:val="cs-CZ"/>
        </w:rPr>
        <w:t xml:space="preserve"> se zaměřil na zkušenosti a poznatky získané při provádění zjednodušeného i podrobného hodnocení DNSH. Konkrétně se diskuse soustředila na následující otázky:</w:t>
      </w:r>
    </w:p>
    <w:p w:rsidR="005840C5" w:rsidRPr="00ED3950" w:rsidRDefault="00ED3950">
      <w:pPr>
        <w:pStyle w:val="Bulletpoint"/>
        <w:ind w:left="851" w:hanging="284"/>
        <w:rPr>
          <w:lang w:val="cs-CZ"/>
        </w:rPr>
      </w:pPr>
      <w:r w:rsidRPr="00ED3950">
        <w:rPr>
          <w:b/>
          <w:bCs/>
          <w:lang w:val="cs-CZ"/>
        </w:rPr>
        <w:t xml:space="preserve">Vypracování účinných metodik předběžného </w:t>
      </w:r>
      <w:proofErr w:type="spellStart"/>
      <w:r w:rsidR="00702F48" w:rsidRPr="00ED3950">
        <w:rPr>
          <w:b/>
          <w:bCs/>
          <w:lang w:val="cs-CZ"/>
        </w:rPr>
        <w:t>screeningu</w:t>
      </w:r>
      <w:proofErr w:type="spellEnd"/>
      <w:r w:rsidR="00702F48" w:rsidRPr="00ED3950">
        <w:rPr>
          <w:b/>
          <w:bCs/>
          <w:lang w:val="cs-CZ"/>
        </w:rPr>
        <w:t xml:space="preserve"> s </w:t>
      </w:r>
      <w:r w:rsidR="001E582F" w:rsidRPr="00ED3950">
        <w:rPr>
          <w:lang w:val="cs-CZ"/>
        </w:rPr>
        <w:t xml:space="preserve">ohledem na </w:t>
      </w:r>
      <w:r w:rsidR="00677B94" w:rsidRPr="00ED3950">
        <w:rPr>
          <w:lang w:val="cs-CZ"/>
        </w:rPr>
        <w:t xml:space="preserve">rozdíly v pokynech DNSH v </w:t>
      </w:r>
      <w:r w:rsidR="001E582F" w:rsidRPr="00ED3950">
        <w:rPr>
          <w:lang w:val="cs-CZ"/>
        </w:rPr>
        <w:t xml:space="preserve">různých fondech EU </w:t>
      </w:r>
      <w:r w:rsidR="004B571E" w:rsidRPr="00ED3950">
        <w:rPr>
          <w:lang w:val="cs-CZ"/>
        </w:rPr>
        <w:t xml:space="preserve">a s ohledem na to, že část </w:t>
      </w:r>
      <w:r w:rsidR="004878B6" w:rsidRPr="00ED3950">
        <w:rPr>
          <w:lang w:val="cs-CZ"/>
        </w:rPr>
        <w:t xml:space="preserve">rizik </w:t>
      </w:r>
      <w:r w:rsidR="000101E3" w:rsidRPr="00ED3950">
        <w:rPr>
          <w:lang w:val="cs-CZ"/>
        </w:rPr>
        <w:t>závažné újmy se týká provozní fáze projektů</w:t>
      </w:r>
      <w:r w:rsidR="004B571E" w:rsidRPr="00ED3950">
        <w:rPr>
          <w:b/>
          <w:bCs/>
          <w:lang w:val="cs-CZ"/>
        </w:rPr>
        <w:t>;</w:t>
      </w:r>
    </w:p>
    <w:p w:rsidR="005840C5" w:rsidRPr="00ED3950" w:rsidRDefault="00ED3950">
      <w:pPr>
        <w:pStyle w:val="Bulletpoint"/>
        <w:ind w:left="851" w:hanging="284"/>
        <w:rPr>
          <w:lang w:val="cs-CZ"/>
        </w:rPr>
      </w:pPr>
      <w:r w:rsidRPr="00ED3950">
        <w:rPr>
          <w:b/>
          <w:bCs/>
          <w:lang w:val="cs-CZ"/>
        </w:rPr>
        <w:t>Definice pojmu "významná újma</w:t>
      </w:r>
      <w:r w:rsidR="00895884" w:rsidRPr="00ED3950">
        <w:rPr>
          <w:b/>
          <w:bCs/>
          <w:lang w:val="cs-CZ"/>
        </w:rPr>
        <w:t xml:space="preserve">" </w:t>
      </w:r>
      <w:r w:rsidR="00471280" w:rsidRPr="00ED3950">
        <w:rPr>
          <w:b/>
          <w:bCs/>
          <w:lang w:val="cs-CZ"/>
        </w:rPr>
        <w:t xml:space="preserve">a "dostatečné" posouzení DNSH, </w:t>
      </w:r>
      <w:r w:rsidRPr="00ED3950">
        <w:rPr>
          <w:lang w:val="cs-CZ"/>
        </w:rPr>
        <w:t xml:space="preserve">přičemž je třeba zajistit, aby nebyla porušena integrita životního prostředí </w:t>
      </w:r>
      <w:r w:rsidR="0011140C" w:rsidRPr="00ED3950">
        <w:rPr>
          <w:lang w:val="cs-CZ"/>
        </w:rPr>
        <w:t xml:space="preserve">(například </w:t>
      </w:r>
      <w:r w:rsidR="00E646A6" w:rsidRPr="00ED3950">
        <w:rPr>
          <w:lang w:val="cs-CZ"/>
        </w:rPr>
        <w:t xml:space="preserve">Finský klimatický fond navrhuje, že </w:t>
      </w:r>
      <w:r w:rsidR="004B571E" w:rsidRPr="00ED3950">
        <w:rPr>
          <w:lang w:val="cs-CZ"/>
        </w:rPr>
        <w:t xml:space="preserve">by to mohlo být provedeno prostřednictvím </w:t>
      </w:r>
      <w:r w:rsidR="00C852A5" w:rsidRPr="00ED3950">
        <w:rPr>
          <w:lang w:val="cs-CZ"/>
        </w:rPr>
        <w:t xml:space="preserve">návrhu referenčních hodnot </w:t>
      </w:r>
      <w:r w:rsidR="00A07479" w:rsidRPr="00ED3950">
        <w:rPr>
          <w:lang w:val="cs-CZ"/>
        </w:rPr>
        <w:t>nebo akreditace externích poradců</w:t>
      </w:r>
      <w:r w:rsidR="004B571E" w:rsidRPr="00ED3950">
        <w:rPr>
          <w:lang w:val="cs-CZ"/>
        </w:rPr>
        <w:t>);</w:t>
      </w:r>
    </w:p>
    <w:p w:rsidR="005840C5" w:rsidRPr="00ED3950" w:rsidRDefault="00ED3950">
      <w:pPr>
        <w:pStyle w:val="Bulletpoint"/>
        <w:ind w:left="851" w:hanging="284"/>
        <w:rPr>
          <w:lang w:val="cs-CZ"/>
        </w:rPr>
      </w:pPr>
      <w:r w:rsidRPr="00ED3950">
        <w:rPr>
          <w:b/>
          <w:bCs/>
          <w:lang w:val="cs-CZ"/>
        </w:rPr>
        <w:t xml:space="preserve">usilovat o rovnováhu mezi standardizací a otázkami relevantními pro dané odvětví </w:t>
      </w:r>
      <w:r w:rsidRPr="00ED3950">
        <w:rPr>
          <w:lang w:val="cs-CZ"/>
        </w:rPr>
        <w:t xml:space="preserve">a uznávat význam typologie programů </w:t>
      </w:r>
      <w:r w:rsidRPr="00ED3950">
        <w:rPr>
          <w:lang w:val="cs-CZ"/>
        </w:rPr>
        <w:t>a projektů při určování nejvhodnějšího typu hodnocení DNSH</w:t>
      </w:r>
      <w:r w:rsidR="004B571E" w:rsidRPr="00ED3950">
        <w:rPr>
          <w:lang w:val="cs-CZ"/>
        </w:rPr>
        <w:t>.</w:t>
      </w:r>
    </w:p>
    <w:p w:rsidR="005840C5" w:rsidRPr="00ED3950" w:rsidRDefault="00ED3950">
      <w:pPr>
        <w:rPr>
          <w:lang w:val="cs-CZ"/>
        </w:rPr>
      </w:pPr>
      <w:proofErr w:type="spellStart"/>
      <w:r w:rsidRPr="00ED3950">
        <w:rPr>
          <w:lang w:val="cs-CZ"/>
        </w:rPr>
        <w:t>Webinář</w:t>
      </w:r>
      <w:proofErr w:type="spellEnd"/>
      <w:r w:rsidRPr="00ED3950">
        <w:rPr>
          <w:lang w:val="cs-CZ"/>
        </w:rPr>
        <w:t xml:space="preserve"> navíc poskytl </w:t>
      </w:r>
      <w:r w:rsidR="004E21DF" w:rsidRPr="00ED3950">
        <w:rPr>
          <w:lang w:val="cs-CZ"/>
        </w:rPr>
        <w:t xml:space="preserve">příležitost </w:t>
      </w:r>
      <w:r w:rsidRPr="00ED3950">
        <w:rPr>
          <w:lang w:val="cs-CZ"/>
        </w:rPr>
        <w:t xml:space="preserve">prozkoumat, jak by bylo možné využít </w:t>
      </w:r>
      <w:r w:rsidR="00880AE0" w:rsidRPr="00ED3950">
        <w:rPr>
          <w:b/>
          <w:bCs/>
          <w:lang w:val="cs-CZ"/>
        </w:rPr>
        <w:t xml:space="preserve">(vnitrostátní) </w:t>
      </w:r>
      <w:r w:rsidRPr="00ED3950">
        <w:rPr>
          <w:b/>
          <w:lang w:val="cs-CZ"/>
        </w:rPr>
        <w:t xml:space="preserve">právní rámce k </w:t>
      </w:r>
      <w:r w:rsidR="00A07479" w:rsidRPr="00ED3950">
        <w:rPr>
          <w:lang w:val="cs-CZ"/>
        </w:rPr>
        <w:t xml:space="preserve">objasnění, </w:t>
      </w:r>
      <w:r w:rsidRPr="00ED3950">
        <w:rPr>
          <w:lang w:val="cs-CZ"/>
        </w:rPr>
        <w:t xml:space="preserve">transformaci a/nebo zjednodušení </w:t>
      </w:r>
      <w:r w:rsidRPr="00ED3950">
        <w:rPr>
          <w:lang w:val="cs-CZ"/>
        </w:rPr>
        <w:t xml:space="preserve">hodnocení </w:t>
      </w:r>
      <w:r w:rsidRPr="00ED3950">
        <w:rPr>
          <w:lang w:val="cs-CZ"/>
        </w:rPr>
        <w:t xml:space="preserve">DNSH, a také </w:t>
      </w:r>
      <w:r w:rsidRPr="00ED3950">
        <w:rPr>
          <w:lang w:val="cs-CZ"/>
        </w:rPr>
        <w:t>prozkoumat obavy související s pozdějšími fázemi procesu hodnocení DNSH, na kterých se stále pracuje, zejména s fází monitorování.</w:t>
      </w:r>
    </w:p>
    <w:p w:rsidR="00173D84" w:rsidRPr="00ED3950" w:rsidRDefault="00173D84" w:rsidP="00DC20CF">
      <w:pPr>
        <w:rPr>
          <w:lang w:val="cs-CZ"/>
        </w:rPr>
      </w:pPr>
    </w:p>
    <w:p w:rsidR="005840C5" w:rsidRPr="00ED3950" w:rsidRDefault="00ED3950">
      <w:pPr>
        <w:pStyle w:val="Nadpis3"/>
        <w:tabs>
          <w:tab w:val="clear" w:pos="851"/>
          <w:tab w:val="left" w:pos="567"/>
        </w:tabs>
        <w:ind w:left="567" w:hanging="567"/>
        <w:rPr>
          <w:lang w:val="cs-CZ"/>
        </w:rPr>
      </w:pPr>
      <w:bookmarkStart w:id="26" w:name="_Toc131775838"/>
      <w:r w:rsidRPr="00ED3950">
        <w:rPr>
          <w:lang w:val="cs-CZ"/>
        </w:rPr>
        <w:t>Představení konkrétních případů</w:t>
      </w:r>
      <w:bookmarkEnd w:id="26"/>
    </w:p>
    <w:p w:rsidR="005840C5" w:rsidRPr="00ED3950" w:rsidRDefault="00ED3950">
      <w:pPr>
        <w:rPr>
          <w:lang w:val="cs-CZ"/>
        </w:rPr>
      </w:pPr>
      <w:r w:rsidRPr="00ED3950">
        <w:rPr>
          <w:lang w:val="cs-CZ"/>
        </w:rPr>
        <w:t xml:space="preserve">Druhý </w:t>
      </w:r>
      <w:proofErr w:type="spellStart"/>
      <w:r w:rsidRPr="00ED3950">
        <w:rPr>
          <w:lang w:val="cs-CZ"/>
        </w:rPr>
        <w:t>webinář</w:t>
      </w:r>
      <w:proofErr w:type="spellEnd"/>
      <w:r w:rsidRPr="00ED3950">
        <w:rPr>
          <w:lang w:val="cs-CZ"/>
        </w:rPr>
        <w:t xml:space="preserve"> se zaměřil na </w:t>
      </w:r>
      <w:r w:rsidRPr="00ED3950">
        <w:rPr>
          <w:b/>
          <w:lang w:val="cs-CZ"/>
        </w:rPr>
        <w:t xml:space="preserve">Slovensko </w:t>
      </w:r>
      <w:r w:rsidRPr="00ED3950">
        <w:rPr>
          <w:lang w:val="cs-CZ"/>
        </w:rPr>
        <w:t xml:space="preserve">a </w:t>
      </w:r>
      <w:r w:rsidRPr="00ED3950">
        <w:rPr>
          <w:b/>
          <w:lang w:val="cs-CZ"/>
        </w:rPr>
        <w:t xml:space="preserve">Finsko </w:t>
      </w:r>
      <w:r w:rsidRPr="00ED3950">
        <w:rPr>
          <w:lang w:val="cs-CZ"/>
        </w:rPr>
        <w:t xml:space="preserve">jako na případové studie, které byly vybrány </w:t>
      </w:r>
      <w:r w:rsidRPr="00ED3950">
        <w:rPr>
          <w:lang w:val="cs-CZ"/>
        </w:rPr>
        <w:t xml:space="preserve">na základě zjištěných osvědčených postupů a rozdílů v metodikách provádění. Finsko zavedlo centralizovanější přístup k DNSH začleněním zásady DNSH do svého vnitrostátního legislativního rámce. </w:t>
      </w:r>
      <w:r w:rsidRPr="00ED3950">
        <w:rPr>
          <w:lang w:val="cs-CZ"/>
        </w:rPr>
        <w:lastRenderedPageBreak/>
        <w:t xml:space="preserve">Naproti tomu Slovensko zvolilo </w:t>
      </w:r>
      <w:proofErr w:type="spellStart"/>
      <w:r w:rsidRPr="00ED3950">
        <w:rPr>
          <w:lang w:val="cs-CZ"/>
        </w:rPr>
        <w:t>decentralizovanější</w:t>
      </w:r>
      <w:proofErr w:type="spellEnd"/>
      <w:r w:rsidRPr="00ED3950">
        <w:rPr>
          <w:lang w:val="cs-CZ"/>
        </w:rPr>
        <w:t xml:space="preserve"> přístup, kte</w:t>
      </w:r>
      <w:r w:rsidRPr="00ED3950">
        <w:rPr>
          <w:lang w:val="cs-CZ"/>
        </w:rPr>
        <w:t xml:space="preserve">rý usnadnil vypracování podrobného procesu posuzování DNSH pro budovy, na které se vztahuje RRF. Představením a porovnáním těchto konkrétních </w:t>
      </w:r>
      <w:r w:rsidR="00B62D69" w:rsidRPr="00ED3950">
        <w:rPr>
          <w:lang w:val="cs-CZ"/>
        </w:rPr>
        <w:t xml:space="preserve">případů </w:t>
      </w:r>
      <w:r w:rsidRPr="00ED3950">
        <w:rPr>
          <w:lang w:val="cs-CZ"/>
        </w:rPr>
        <w:t>bylo možné určit výhody a nevýhody centralizovaného a decentralizovaného přístupu k zavádění DNSH.</w:t>
      </w:r>
    </w:p>
    <w:p w:rsidR="00AC08FC" w:rsidRPr="00ED3950" w:rsidRDefault="00AC08FC" w:rsidP="00AC08FC">
      <w:pPr>
        <w:rPr>
          <w:lang w:val="cs-CZ"/>
        </w:rPr>
      </w:pPr>
    </w:p>
    <w:p w:rsidR="005840C5" w:rsidRPr="00ED3950" w:rsidRDefault="00ED3950">
      <w:pPr>
        <w:rPr>
          <w:lang w:val="cs-CZ"/>
        </w:rPr>
      </w:pPr>
      <w:r w:rsidRPr="00ED3950">
        <w:rPr>
          <w:rFonts w:eastAsiaTheme="majorEastAsia" w:cstheme="majorBidi"/>
          <w:b/>
          <w:bCs/>
          <w:iCs/>
          <w:color w:val="F04E30"/>
          <w:lang w:val="cs-CZ"/>
        </w:rPr>
        <w:t>Odvětv</w:t>
      </w:r>
      <w:r w:rsidRPr="00ED3950">
        <w:rPr>
          <w:rFonts w:eastAsiaTheme="majorEastAsia" w:cstheme="majorBidi"/>
          <w:b/>
          <w:bCs/>
          <w:iCs/>
          <w:color w:val="F04E30"/>
          <w:lang w:val="cs-CZ"/>
        </w:rPr>
        <w:t xml:space="preserve">ový </w:t>
      </w:r>
      <w:r w:rsidR="00FD51BE" w:rsidRPr="00ED3950">
        <w:rPr>
          <w:rFonts w:eastAsiaTheme="majorEastAsia" w:cstheme="majorBidi"/>
          <w:b/>
          <w:bCs/>
          <w:iCs/>
          <w:color w:val="F04E30"/>
          <w:lang w:val="cs-CZ"/>
        </w:rPr>
        <w:t xml:space="preserve">přístup k </w:t>
      </w:r>
      <w:r w:rsidR="0088732C" w:rsidRPr="00ED3950">
        <w:rPr>
          <w:rFonts w:eastAsiaTheme="majorEastAsia" w:cstheme="majorBidi"/>
          <w:b/>
          <w:bCs/>
          <w:iCs/>
          <w:color w:val="F04E30"/>
          <w:lang w:val="cs-CZ"/>
        </w:rPr>
        <w:t>posuzování</w:t>
      </w:r>
      <w:r w:rsidR="00BB4E6F" w:rsidRPr="00ED3950">
        <w:rPr>
          <w:rFonts w:eastAsiaTheme="majorEastAsia" w:cstheme="majorBidi"/>
          <w:b/>
          <w:bCs/>
          <w:iCs/>
          <w:color w:val="F04E30"/>
          <w:lang w:val="cs-CZ"/>
        </w:rPr>
        <w:t xml:space="preserve"> DNSH </w:t>
      </w:r>
      <w:r w:rsidR="00AC08FC" w:rsidRPr="00ED3950">
        <w:rPr>
          <w:rFonts w:eastAsiaTheme="majorEastAsia" w:cstheme="majorBidi"/>
          <w:b/>
          <w:bCs/>
          <w:iCs/>
          <w:color w:val="F04E30"/>
          <w:lang w:val="cs-CZ"/>
        </w:rPr>
        <w:t>pro budovy (Slovensko)</w:t>
      </w:r>
    </w:p>
    <w:p w:rsidR="005840C5" w:rsidRPr="00ED3950" w:rsidRDefault="00ED3950">
      <w:pPr>
        <w:rPr>
          <w:lang w:val="cs-CZ"/>
        </w:rPr>
      </w:pPr>
      <w:r w:rsidRPr="00ED3950">
        <w:rPr>
          <w:lang w:val="cs-CZ"/>
        </w:rPr>
        <w:t xml:space="preserve">Řídicí struktura DNSH pro RRF na Slovensku funguje decentralizovaně. Odpovědnost za uplatňování principu DNSH v RRF nese Úřad vlády (ÚV) </w:t>
      </w:r>
      <w:r w:rsidR="00F861AD" w:rsidRPr="00ED3950">
        <w:rPr>
          <w:lang w:val="cs-CZ"/>
        </w:rPr>
        <w:t>SR</w:t>
      </w:r>
      <w:r w:rsidRPr="00ED3950">
        <w:rPr>
          <w:lang w:val="cs-CZ"/>
        </w:rPr>
        <w:t>. Pro zvýšení účinnosti tohoto procesu byla tři ministerstva jme</w:t>
      </w:r>
      <w:r w:rsidRPr="00ED3950">
        <w:rPr>
          <w:lang w:val="cs-CZ"/>
        </w:rPr>
        <w:t xml:space="preserve">nována zprostředkovateli a byl zřízen nezávislý technický poradní orgán. Obecně platí, že ministerstva se řídí pokyny </w:t>
      </w:r>
      <w:proofErr w:type="spellStart"/>
      <w:r w:rsidRPr="00ED3950">
        <w:rPr>
          <w:lang w:val="cs-CZ"/>
        </w:rPr>
        <w:t>OoG</w:t>
      </w:r>
      <w:proofErr w:type="spellEnd"/>
      <w:r w:rsidRPr="00ED3950">
        <w:rPr>
          <w:lang w:val="cs-CZ"/>
        </w:rPr>
        <w:t xml:space="preserve"> pro DNSH v oblasti RRF. Větší ministerstva však začala vypracovávat vlastní strategie pro řešení konkrétních potřeb a požadavků.</w:t>
      </w:r>
    </w:p>
    <w:p w:rsidR="00AC08FC" w:rsidRPr="00ED3950" w:rsidRDefault="00AC08FC" w:rsidP="00AC08FC">
      <w:pPr>
        <w:rPr>
          <w:lang w:val="cs-CZ"/>
        </w:rPr>
      </w:pPr>
    </w:p>
    <w:p w:rsidR="005840C5" w:rsidRPr="00ED3950" w:rsidRDefault="00ED3950">
      <w:pPr>
        <w:rPr>
          <w:lang w:val="cs-CZ"/>
        </w:rPr>
      </w:pPr>
      <w:r w:rsidRPr="00ED3950">
        <w:rPr>
          <w:lang w:val="cs-CZ"/>
        </w:rPr>
        <w:t>Nejk</w:t>
      </w:r>
      <w:r w:rsidRPr="00ED3950">
        <w:rPr>
          <w:lang w:val="cs-CZ"/>
        </w:rPr>
        <w:t xml:space="preserve">omplexnější </w:t>
      </w:r>
      <w:r w:rsidR="00EA08F4" w:rsidRPr="00ED3950">
        <w:rPr>
          <w:lang w:val="cs-CZ"/>
        </w:rPr>
        <w:t xml:space="preserve">a nejpodrobnější </w:t>
      </w:r>
      <w:r w:rsidRPr="00ED3950">
        <w:rPr>
          <w:lang w:val="cs-CZ"/>
        </w:rPr>
        <w:t xml:space="preserve">metodika pro </w:t>
      </w:r>
      <w:r w:rsidR="004E21DF" w:rsidRPr="00ED3950">
        <w:rPr>
          <w:lang w:val="cs-CZ"/>
        </w:rPr>
        <w:t xml:space="preserve">aplikaci </w:t>
      </w:r>
      <w:r w:rsidRPr="00ED3950">
        <w:rPr>
          <w:lang w:val="cs-CZ"/>
        </w:rPr>
        <w:t xml:space="preserve">DNSH </w:t>
      </w:r>
      <w:r w:rsidR="004E21DF" w:rsidRPr="00ED3950">
        <w:rPr>
          <w:lang w:val="cs-CZ"/>
        </w:rPr>
        <w:t xml:space="preserve">na </w:t>
      </w:r>
      <w:r w:rsidRPr="00ED3950">
        <w:rPr>
          <w:lang w:val="cs-CZ"/>
        </w:rPr>
        <w:t xml:space="preserve">Slovensku byla vyvinuta pro investice do </w:t>
      </w:r>
      <w:r w:rsidR="004E21DF" w:rsidRPr="00ED3950">
        <w:rPr>
          <w:lang w:val="cs-CZ"/>
        </w:rPr>
        <w:t>budov</w:t>
      </w:r>
      <w:r w:rsidRPr="00ED3950">
        <w:rPr>
          <w:lang w:val="cs-CZ"/>
        </w:rPr>
        <w:t xml:space="preserve">. </w:t>
      </w:r>
      <w:r w:rsidRPr="00ED3950">
        <w:rPr>
          <w:lang w:val="cs-CZ"/>
        </w:rPr>
        <w:t xml:space="preserve">To je do značné míry způsobeno tím, že značná část </w:t>
      </w:r>
      <w:r w:rsidR="001C5514" w:rsidRPr="00ED3950">
        <w:rPr>
          <w:lang w:val="cs-CZ"/>
        </w:rPr>
        <w:t xml:space="preserve">slovenských </w:t>
      </w:r>
      <w:r w:rsidRPr="00ED3950">
        <w:rPr>
          <w:lang w:val="cs-CZ"/>
        </w:rPr>
        <w:t xml:space="preserve">prostředků RRF ve výši 2,7 miliardy </w:t>
      </w:r>
      <w:r w:rsidR="001C5514" w:rsidRPr="00ED3950">
        <w:rPr>
          <w:lang w:val="cs-CZ"/>
        </w:rPr>
        <w:t xml:space="preserve">eur byla </w:t>
      </w:r>
      <w:r w:rsidRPr="00ED3950">
        <w:rPr>
          <w:lang w:val="cs-CZ"/>
        </w:rPr>
        <w:t xml:space="preserve">alokována </w:t>
      </w:r>
      <w:r w:rsidRPr="00ED3950">
        <w:rPr>
          <w:lang w:val="cs-CZ"/>
        </w:rPr>
        <w:t xml:space="preserve">na investice do budov. Vzhledem k tomu, že investice do budov jsou koordinovány napříč různými ministerstvy, je dohled nad procesem DNSH pro budovy v kompetenci </w:t>
      </w:r>
      <w:proofErr w:type="spellStart"/>
      <w:r w:rsidRPr="00ED3950">
        <w:rPr>
          <w:lang w:val="cs-CZ"/>
        </w:rPr>
        <w:t>OoG</w:t>
      </w:r>
      <w:proofErr w:type="spellEnd"/>
      <w:r w:rsidRPr="00ED3950">
        <w:rPr>
          <w:lang w:val="cs-CZ"/>
        </w:rPr>
        <w:t xml:space="preserve">. Součástí této metodiky je </w:t>
      </w:r>
      <w:r w:rsidRPr="00ED3950">
        <w:rPr>
          <w:b/>
          <w:lang w:val="cs-CZ"/>
        </w:rPr>
        <w:t>vlastní příručka s pokyny a šablonami pro hodnocení a podmínky f</w:t>
      </w:r>
      <w:r w:rsidRPr="00ED3950">
        <w:rPr>
          <w:b/>
          <w:lang w:val="cs-CZ"/>
        </w:rPr>
        <w:t>inancování</w:t>
      </w:r>
      <w:r w:rsidRPr="00ED3950">
        <w:rPr>
          <w:lang w:val="cs-CZ"/>
        </w:rPr>
        <w:t xml:space="preserve">. </w:t>
      </w:r>
      <w:r w:rsidRPr="00ED3950">
        <w:rPr>
          <w:lang w:val="cs-CZ"/>
        </w:rPr>
        <w:t xml:space="preserve">Proces se řídí pokyny pro DNSH uvedenými v </w:t>
      </w:r>
      <w:r w:rsidRPr="00ED3950">
        <w:rPr>
          <w:lang w:val="cs-CZ"/>
        </w:rPr>
        <w:t xml:space="preserve">nařízení o </w:t>
      </w:r>
      <w:r w:rsidRPr="00ED3950">
        <w:rPr>
          <w:lang w:val="cs-CZ"/>
        </w:rPr>
        <w:t>RRF a zahrnuje podmínky zelené značky, které zavádějí mechanismy ověřování a zajišťují soulad s úsilím o zmírnění dopadů změny klimatu a minimálními zárukami požadovanými pro dalších pět evr</w:t>
      </w:r>
      <w:r w:rsidRPr="00ED3950">
        <w:rPr>
          <w:lang w:val="cs-CZ"/>
        </w:rPr>
        <w:t>opských cílů v oblasti životního prostředí. Kromě toho byl vypracován kontrolní seznam, který má ministerstvům pomoci sladit jejich otevřené výzvy se zásadou DNSH. Podle slovenského zástupce tento kontrolní seznam zajišťuje, že kritéria pro různé typy výze</w:t>
      </w:r>
      <w:r w:rsidRPr="00ED3950">
        <w:rPr>
          <w:lang w:val="cs-CZ"/>
        </w:rPr>
        <w:t>v zahrnující stavební investice jsou relevantní</w:t>
      </w:r>
      <w:r w:rsidRPr="00ED3950">
        <w:rPr>
          <w:lang w:val="cs-CZ"/>
        </w:rPr>
        <w:t xml:space="preserve">. </w:t>
      </w:r>
    </w:p>
    <w:p w:rsidR="00B832AA" w:rsidRPr="00ED3950" w:rsidRDefault="00B832AA" w:rsidP="00AC08FC">
      <w:pPr>
        <w:rPr>
          <w:lang w:val="cs-CZ"/>
        </w:rPr>
      </w:pPr>
    </w:p>
    <w:p w:rsidR="005840C5" w:rsidRPr="00ED3950" w:rsidRDefault="00ED3950">
      <w:pPr>
        <w:rPr>
          <w:lang w:val="cs-CZ"/>
        </w:rPr>
      </w:pPr>
      <w:r w:rsidRPr="00ED3950">
        <w:rPr>
          <w:lang w:val="cs-CZ"/>
        </w:rPr>
        <w:t xml:space="preserve">Konkrétně byly definovány následující podmínky, které zaručují, že stavební investice jsou v souladu se zásadou DNSH: </w:t>
      </w:r>
    </w:p>
    <w:p w:rsidR="005840C5" w:rsidRPr="00ED3950" w:rsidRDefault="00ED3950">
      <w:pPr>
        <w:pStyle w:val="Odstavecseseznamem"/>
        <w:numPr>
          <w:ilvl w:val="0"/>
          <w:numId w:val="47"/>
        </w:numPr>
        <w:ind w:left="1134" w:hanging="283"/>
        <w:rPr>
          <w:lang w:val="cs-CZ"/>
        </w:rPr>
      </w:pPr>
      <w:r w:rsidRPr="00ED3950">
        <w:rPr>
          <w:lang w:val="cs-CZ"/>
        </w:rPr>
        <w:t>Kritéria pro vyloučení</w:t>
      </w:r>
      <w:r w:rsidR="00791B9E" w:rsidRPr="00ED3950">
        <w:rPr>
          <w:lang w:val="cs-CZ"/>
        </w:rPr>
        <w:t>;</w:t>
      </w:r>
    </w:p>
    <w:p w:rsidR="005840C5" w:rsidRPr="00ED3950" w:rsidRDefault="00ED3950">
      <w:pPr>
        <w:pStyle w:val="Odstavecseseznamem"/>
        <w:numPr>
          <w:ilvl w:val="0"/>
          <w:numId w:val="47"/>
        </w:numPr>
        <w:ind w:left="1134" w:hanging="283"/>
        <w:rPr>
          <w:lang w:val="cs-CZ"/>
        </w:rPr>
      </w:pPr>
      <w:r w:rsidRPr="00ED3950">
        <w:rPr>
          <w:lang w:val="cs-CZ"/>
        </w:rPr>
        <w:t xml:space="preserve">Technické </w:t>
      </w:r>
      <w:r w:rsidR="00081958" w:rsidRPr="00ED3950">
        <w:rPr>
          <w:lang w:val="cs-CZ"/>
        </w:rPr>
        <w:t xml:space="preserve">specifikace týkající se </w:t>
      </w:r>
      <w:r w:rsidR="00832930" w:rsidRPr="00ED3950">
        <w:rPr>
          <w:lang w:val="cs-CZ"/>
        </w:rPr>
        <w:t xml:space="preserve">stavebnictví (např. </w:t>
      </w:r>
      <w:r w:rsidR="00C846D2" w:rsidRPr="00ED3950">
        <w:rPr>
          <w:lang w:val="cs-CZ"/>
        </w:rPr>
        <w:t>kvalita použitých materiálů)</w:t>
      </w:r>
      <w:r w:rsidR="00791B9E" w:rsidRPr="00ED3950">
        <w:rPr>
          <w:lang w:val="cs-CZ"/>
        </w:rPr>
        <w:t>;</w:t>
      </w:r>
    </w:p>
    <w:p w:rsidR="005840C5" w:rsidRPr="00ED3950" w:rsidRDefault="00ED3950">
      <w:pPr>
        <w:pStyle w:val="Odstavecseseznamem"/>
        <w:numPr>
          <w:ilvl w:val="0"/>
          <w:numId w:val="47"/>
        </w:numPr>
        <w:ind w:left="1134" w:hanging="283"/>
        <w:rPr>
          <w:lang w:val="cs-CZ"/>
        </w:rPr>
      </w:pPr>
      <w:r w:rsidRPr="00ED3950">
        <w:rPr>
          <w:lang w:val="cs-CZ"/>
        </w:rPr>
        <w:t xml:space="preserve">Podmínky, které vyžadují soulad s platnými </w:t>
      </w:r>
      <w:r w:rsidR="003D3017" w:rsidRPr="00ED3950">
        <w:rPr>
          <w:lang w:val="cs-CZ"/>
        </w:rPr>
        <w:t xml:space="preserve">(vnitrostátními) </w:t>
      </w:r>
      <w:r w:rsidRPr="00ED3950">
        <w:rPr>
          <w:lang w:val="cs-CZ"/>
        </w:rPr>
        <w:t>právními předpisy</w:t>
      </w:r>
      <w:r w:rsidR="00791B9E" w:rsidRPr="00ED3950">
        <w:rPr>
          <w:lang w:val="cs-CZ"/>
        </w:rPr>
        <w:t>;</w:t>
      </w:r>
    </w:p>
    <w:p w:rsidR="005840C5" w:rsidRPr="00ED3950" w:rsidRDefault="00ED3950">
      <w:pPr>
        <w:pStyle w:val="Odstavecseseznamem"/>
        <w:numPr>
          <w:ilvl w:val="0"/>
          <w:numId w:val="47"/>
        </w:numPr>
        <w:ind w:left="1134" w:hanging="283"/>
        <w:rPr>
          <w:lang w:val="cs-CZ"/>
        </w:rPr>
      </w:pPr>
      <w:r w:rsidRPr="00ED3950">
        <w:rPr>
          <w:lang w:val="cs-CZ"/>
        </w:rPr>
        <w:t>Doporučení</w:t>
      </w:r>
      <w:r w:rsidR="00791B9E" w:rsidRPr="00ED3950">
        <w:rPr>
          <w:lang w:val="cs-CZ"/>
        </w:rPr>
        <w:t>.</w:t>
      </w:r>
    </w:p>
    <w:p w:rsidR="00266544" w:rsidRPr="00ED3950" w:rsidRDefault="00266544" w:rsidP="00F55FC4">
      <w:pPr>
        <w:tabs>
          <w:tab w:val="left" w:pos="851"/>
        </w:tabs>
        <w:rPr>
          <w:lang w:val="cs-CZ"/>
        </w:rPr>
      </w:pPr>
    </w:p>
    <w:p w:rsidR="005840C5" w:rsidRPr="00ED3950" w:rsidRDefault="004E21DF">
      <w:pPr>
        <w:tabs>
          <w:tab w:val="left" w:pos="851"/>
        </w:tabs>
        <w:rPr>
          <w:lang w:val="cs-CZ"/>
        </w:rPr>
      </w:pPr>
      <w:r w:rsidRPr="00ED3950">
        <w:rPr>
          <w:lang w:val="cs-CZ"/>
        </w:rPr>
        <w:t xml:space="preserve">Pro </w:t>
      </w:r>
      <w:r w:rsidR="00ED3950" w:rsidRPr="00ED3950">
        <w:rPr>
          <w:lang w:val="cs-CZ"/>
        </w:rPr>
        <w:t xml:space="preserve">další podporu hodnocení DNSH se připravuje zvláštní příručka o </w:t>
      </w:r>
      <w:r w:rsidR="00ED3950" w:rsidRPr="00ED3950">
        <w:rPr>
          <w:b/>
          <w:lang w:val="cs-CZ"/>
        </w:rPr>
        <w:t xml:space="preserve">stavebním odpadu, která </w:t>
      </w:r>
      <w:r w:rsidR="00ED3950" w:rsidRPr="00ED3950">
        <w:rPr>
          <w:lang w:val="cs-CZ"/>
        </w:rPr>
        <w:t xml:space="preserve">má řídícím orgánům pomoci zajistit </w:t>
      </w:r>
      <w:r w:rsidR="00ED3950" w:rsidRPr="00ED3950">
        <w:rPr>
          <w:b/>
          <w:lang w:val="cs-CZ"/>
        </w:rPr>
        <w:t xml:space="preserve">minimální hranici 70 % recyklace </w:t>
      </w:r>
      <w:r w:rsidR="00ED3950" w:rsidRPr="00ED3950">
        <w:rPr>
          <w:lang w:val="cs-CZ"/>
        </w:rPr>
        <w:t xml:space="preserve">stanovenou v </w:t>
      </w:r>
      <w:r w:rsidR="00F55FC4" w:rsidRPr="00ED3950">
        <w:rPr>
          <w:lang w:val="cs-CZ"/>
        </w:rPr>
        <w:t>aktu EU v přenesené pravomoci v oblasti klimatu</w:t>
      </w:r>
      <w:r w:rsidR="00ED3950" w:rsidRPr="00ED3950">
        <w:rPr>
          <w:lang w:val="cs-CZ"/>
        </w:rPr>
        <w:t xml:space="preserve">. </w:t>
      </w:r>
      <w:r w:rsidR="00ED3950" w:rsidRPr="00ED3950">
        <w:rPr>
          <w:lang w:val="cs-CZ"/>
        </w:rPr>
        <w:t>Ačkoli se jiné typy investic mohou lišit, předpokládá se, že komplexní pokyny DNSH vypracované pro budovy poskytnou cenné poznatky a poslouží jako vzor pro vytvo</w:t>
      </w:r>
      <w:r w:rsidR="00ED3950" w:rsidRPr="00ED3950">
        <w:rPr>
          <w:lang w:val="cs-CZ"/>
        </w:rPr>
        <w:t>ření specifických pokynů v jiných oblastech investic.</w:t>
      </w:r>
    </w:p>
    <w:p w:rsidR="00863C10" w:rsidRPr="00ED3950" w:rsidRDefault="00863C10" w:rsidP="00AC08FC">
      <w:pPr>
        <w:tabs>
          <w:tab w:val="left" w:pos="851"/>
        </w:tabs>
        <w:rPr>
          <w:lang w:val="cs-CZ"/>
        </w:rPr>
      </w:pPr>
    </w:p>
    <w:p w:rsidR="005840C5" w:rsidRPr="00ED3950" w:rsidRDefault="00ED3950">
      <w:pPr>
        <w:rPr>
          <w:rFonts w:eastAsiaTheme="majorEastAsia" w:cstheme="majorBidi"/>
          <w:b/>
          <w:color w:val="F04E30"/>
          <w:lang w:val="cs-CZ"/>
        </w:rPr>
      </w:pPr>
      <w:r w:rsidRPr="00ED3950">
        <w:rPr>
          <w:rFonts w:eastAsiaTheme="majorEastAsia" w:cstheme="majorBidi"/>
          <w:b/>
          <w:bCs/>
          <w:iCs/>
          <w:color w:val="F04E30"/>
          <w:lang w:val="cs-CZ"/>
        </w:rPr>
        <w:t>Zákon o přednostním pořadí pro povolování v oblasti životního prostředí (Finsko)</w:t>
      </w:r>
    </w:p>
    <w:p w:rsidR="005840C5" w:rsidRPr="00ED3950" w:rsidRDefault="00ED3950">
      <w:pPr>
        <w:rPr>
          <w:lang w:val="cs-CZ"/>
        </w:rPr>
      </w:pPr>
      <w:r w:rsidRPr="00ED3950">
        <w:rPr>
          <w:lang w:val="cs-CZ"/>
        </w:rPr>
        <w:t xml:space="preserve">Zásada DNSH byla identifikována jako užitečné zastřešující kritérium, které se vztahuje na všechny aspekty environmentální integrity </w:t>
      </w:r>
      <w:r w:rsidR="00757C09" w:rsidRPr="00ED3950">
        <w:rPr>
          <w:lang w:val="cs-CZ"/>
        </w:rPr>
        <w:t xml:space="preserve">během implementace finských fondů RRF. </w:t>
      </w:r>
      <w:r w:rsidR="00F16757" w:rsidRPr="00ED3950">
        <w:rPr>
          <w:lang w:val="cs-CZ"/>
        </w:rPr>
        <w:t xml:space="preserve">Meziresortní pracovní skupina pro financování zelené transformace ve Finsku </w:t>
      </w:r>
      <w:r w:rsidR="00343EDF" w:rsidRPr="00ED3950">
        <w:rPr>
          <w:lang w:val="cs-CZ"/>
        </w:rPr>
        <w:t xml:space="preserve">dospěla k závěru, </w:t>
      </w:r>
      <w:r w:rsidRPr="00ED3950">
        <w:rPr>
          <w:lang w:val="cs-CZ"/>
        </w:rPr>
        <w:t xml:space="preserve">že </w:t>
      </w:r>
      <w:r w:rsidR="009C6211" w:rsidRPr="00ED3950">
        <w:rPr>
          <w:lang w:val="cs-CZ"/>
        </w:rPr>
        <w:t xml:space="preserve">(poměrně dlouhé) environmentální </w:t>
      </w:r>
      <w:r w:rsidRPr="00ED3950">
        <w:rPr>
          <w:lang w:val="cs-CZ"/>
        </w:rPr>
        <w:t xml:space="preserve">povolování, zejména u investic souvisejících s energetikou </w:t>
      </w:r>
      <w:r w:rsidR="00487B3F" w:rsidRPr="00ED3950">
        <w:rPr>
          <w:lang w:val="cs-CZ"/>
        </w:rPr>
        <w:t xml:space="preserve">v </w:t>
      </w:r>
      <w:r w:rsidR="00690FF8" w:rsidRPr="00ED3950">
        <w:rPr>
          <w:lang w:val="cs-CZ"/>
        </w:rPr>
        <w:t xml:space="preserve">rámci </w:t>
      </w:r>
      <w:r w:rsidR="00487B3F" w:rsidRPr="00ED3950">
        <w:rPr>
          <w:lang w:val="cs-CZ"/>
        </w:rPr>
        <w:t xml:space="preserve">RRF, </w:t>
      </w:r>
      <w:r w:rsidR="0038759A" w:rsidRPr="00ED3950">
        <w:rPr>
          <w:lang w:val="cs-CZ"/>
        </w:rPr>
        <w:t xml:space="preserve">by mohlo </w:t>
      </w:r>
      <w:r w:rsidR="00690FF8" w:rsidRPr="00ED3950">
        <w:rPr>
          <w:lang w:val="cs-CZ"/>
        </w:rPr>
        <w:t xml:space="preserve">bránit </w:t>
      </w:r>
      <w:r w:rsidR="00F91ECE" w:rsidRPr="00ED3950">
        <w:rPr>
          <w:lang w:val="cs-CZ"/>
        </w:rPr>
        <w:t xml:space="preserve">rychlé realizaci </w:t>
      </w:r>
      <w:r w:rsidR="00367DBE" w:rsidRPr="00ED3950">
        <w:rPr>
          <w:lang w:val="cs-CZ"/>
        </w:rPr>
        <w:t xml:space="preserve">(velkých) infrastrukturních projektů, které jsou potřebné pro </w:t>
      </w:r>
      <w:r w:rsidR="00CA3BE9" w:rsidRPr="00ED3950">
        <w:rPr>
          <w:lang w:val="cs-CZ"/>
        </w:rPr>
        <w:t>rozšíření zelené transformace ve Finsku</w:t>
      </w:r>
      <w:r w:rsidRPr="00ED3950">
        <w:rPr>
          <w:lang w:val="cs-CZ"/>
        </w:rPr>
        <w:t xml:space="preserve">. </w:t>
      </w:r>
      <w:r w:rsidR="00CA7706" w:rsidRPr="00ED3950">
        <w:rPr>
          <w:lang w:val="cs-CZ"/>
        </w:rPr>
        <w:t xml:space="preserve">K </w:t>
      </w:r>
      <w:r w:rsidRPr="00ED3950">
        <w:rPr>
          <w:lang w:val="cs-CZ"/>
        </w:rPr>
        <w:t xml:space="preserve">překonání této překážky byl vypracován </w:t>
      </w:r>
      <w:r w:rsidR="00FF7A8E" w:rsidRPr="00ED3950">
        <w:rPr>
          <w:lang w:val="cs-CZ"/>
        </w:rPr>
        <w:t xml:space="preserve">a finským parlamentem přijat vnitrostátní zákon, který </w:t>
      </w:r>
      <w:r w:rsidR="003714AA" w:rsidRPr="00ED3950">
        <w:rPr>
          <w:lang w:val="cs-CZ"/>
        </w:rPr>
        <w:t xml:space="preserve">v </w:t>
      </w:r>
      <w:r w:rsidR="00D36982" w:rsidRPr="00ED3950">
        <w:rPr>
          <w:lang w:val="cs-CZ"/>
        </w:rPr>
        <w:t xml:space="preserve">procesu environmentálního povolování </w:t>
      </w:r>
      <w:r w:rsidR="00D74DC3" w:rsidRPr="00ED3950">
        <w:rPr>
          <w:lang w:val="cs-CZ"/>
        </w:rPr>
        <w:t xml:space="preserve">upřednostňuje </w:t>
      </w:r>
      <w:r w:rsidR="00775A1B" w:rsidRPr="00ED3950">
        <w:rPr>
          <w:lang w:val="cs-CZ"/>
        </w:rPr>
        <w:t xml:space="preserve">(infrastrukturní) projekty, </w:t>
      </w:r>
      <w:r w:rsidR="001B683A" w:rsidRPr="00ED3950">
        <w:rPr>
          <w:lang w:val="cs-CZ"/>
        </w:rPr>
        <w:t xml:space="preserve">které prošly </w:t>
      </w:r>
      <w:r w:rsidR="003C7496" w:rsidRPr="00ED3950">
        <w:rPr>
          <w:lang w:val="cs-CZ"/>
        </w:rPr>
        <w:t xml:space="preserve">posouzením </w:t>
      </w:r>
      <w:r w:rsidRPr="00ED3950">
        <w:rPr>
          <w:lang w:val="cs-CZ"/>
        </w:rPr>
        <w:t>DNSH</w:t>
      </w:r>
      <w:r w:rsidRPr="00ED3950">
        <w:rPr>
          <w:lang w:val="cs-CZ"/>
        </w:rPr>
        <w:t xml:space="preserve">. </w:t>
      </w:r>
      <w:r w:rsidRPr="00ED3950">
        <w:rPr>
          <w:lang w:val="cs-CZ"/>
        </w:rPr>
        <w:t xml:space="preserve">Princip DNSH </w:t>
      </w:r>
      <w:r w:rsidRPr="00ED3950">
        <w:rPr>
          <w:lang w:val="cs-CZ"/>
        </w:rPr>
        <w:t xml:space="preserve">se </w:t>
      </w:r>
      <w:r w:rsidR="00276BBE" w:rsidRPr="00ED3950">
        <w:rPr>
          <w:lang w:val="cs-CZ"/>
        </w:rPr>
        <w:t xml:space="preserve">tedy </w:t>
      </w:r>
      <w:r w:rsidRPr="00ED3950">
        <w:rPr>
          <w:lang w:val="cs-CZ"/>
        </w:rPr>
        <w:t xml:space="preserve">používá jako </w:t>
      </w:r>
      <w:r w:rsidR="00276BBE" w:rsidRPr="00ED3950">
        <w:rPr>
          <w:lang w:val="cs-CZ"/>
        </w:rPr>
        <w:t>"</w:t>
      </w:r>
      <w:r w:rsidRPr="00ED3950">
        <w:rPr>
          <w:lang w:val="cs-CZ"/>
        </w:rPr>
        <w:t>nástroj</w:t>
      </w:r>
      <w:r w:rsidR="00276BBE" w:rsidRPr="00ED3950">
        <w:rPr>
          <w:lang w:val="cs-CZ"/>
        </w:rPr>
        <w:t xml:space="preserve">" pro určení, </w:t>
      </w:r>
      <w:r w:rsidRPr="00ED3950">
        <w:rPr>
          <w:lang w:val="cs-CZ"/>
        </w:rPr>
        <w:t xml:space="preserve">které </w:t>
      </w:r>
      <w:r w:rsidRPr="00ED3950">
        <w:rPr>
          <w:lang w:val="cs-CZ"/>
        </w:rPr>
        <w:lastRenderedPageBreak/>
        <w:t xml:space="preserve">projekty jsou </w:t>
      </w:r>
      <w:r w:rsidR="00276BBE" w:rsidRPr="00ED3950">
        <w:rPr>
          <w:lang w:val="cs-CZ"/>
        </w:rPr>
        <w:t xml:space="preserve">způsobilé pro </w:t>
      </w:r>
      <w:r w:rsidR="00206CC9" w:rsidRPr="00ED3950">
        <w:rPr>
          <w:lang w:val="cs-CZ"/>
        </w:rPr>
        <w:t>zrychlené</w:t>
      </w:r>
      <w:r w:rsidRPr="00ED3950">
        <w:rPr>
          <w:lang w:val="cs-CZ"/>
        </w:rPr>
        <w:t xml:space="preserve"> vyřízení </w:t>
      </w:r>
      <w:r w:rsidR="00FF18CF" w:rsidRPr="00ED3950">
        <w:rPr>
          <w:lang w:val="cs-CZ"/>
        </w:rPr>
        <w:t xml:space="preserve">environmentálního povolení, pokud </w:t>
      </w:r>
      <w:r w:rsidR="009E5920" w:rsidRPr="00ED3950">
        <w:rPr>
          <w:lang w:val="cs-CZ"/>
        </w:rPr>
        <w:t>projekty spadají do odvětvové působnosti a podmínek zákona o prioritním pořadí</w:t>
      </w:r>
      <w:r w:rsidRPr="00ED3950">
        <w:rPr>
          <w:lang w:val="cs-CZ"/>
        </w:rPr>
        <w:t xml:space="preserve">. </w:t>
      </w:r>
      <w:r w:rsidR="005A45FF" w:rsidRPr="00ED3950">
        <w:rPr>
          <w:lang w:val="cs-CZ"/>
        </w:rPr>
        <w:t xml:space="preserve">Proces prioritního pořadí se vztahuje na </w:t>
      </w:r>
      <w:r w:rsidR="00543066" w:rsidRPr="00ED3950">
        <w:rPr>
          <w:lang w:val="cs-CZ"/>
        </w:rPr>
        <w:t xml:space="preserve">projekty financované z </w:t>
      </w:r>
      <w:r w:rsidR="00D176F6" w:rsidRPr="00ED3950">
        <w:rPr>
          <w:lang w:val="cs-CZ"/>
        </w:rPr>
        <w:t>jakéhokoli fondu</w:t>
      </w:r>
      <w:r w:rsidR="00E67DDF" w:rsidRPr="00ED3950">
        <w:rPr>
          <w:lang w:val="cs-CZ"/>
        </w:rPr>
        <w:t xml:space="preserve">. V </w:t>
      </w:r>
      <w:r w:rsidR="00F1567A" w:rsidRPr="00ED3950">
        <w:rPr>
          <w:lang w:val="cs-CZ"/>
        </w:rPr>
        <w:t xml:space="preserve">rámci </w:t>
      </w:r>
      <w:r w:rsidRPr="00ED3950">
        <w:rPr>
          <w:lang w:val="cs-CZ"/>
        </w:rPr>
        <w:t xml:space="preserve">procesu </w:t>
      </w:r>
      <w:r w:rsidR="00F1567A" w:rsidRPr="00ED3950">
        <w:rPr>
          <w:lang w:val="cs-CZ"/>
        </w:rPr>
        <w:t xml:space="preserve">hodnocení DNSH </w:t>
      </w:r>
      <w:r w:rsidRPr="00ED3950">
        <w:rPr>
          <w:lang w:val="cs-CZ"/>
        </w:rPr>
        <w:t xml:space="preserve">se nepoužívají žádná kvantitativní kritéria </w:t>
      </w:r>
      <w:r w:rsidRPr="00ED3950">
        <w:rPr>
          <w:lang w:val="cs-CZ"/>
        </w:rPr>
        <w:t>(např. LCA</w:t>
      </w:r>
      <w:r w:rsidR="00CA7706" w:rsidRPr="00ED3950">
        <w:rPr>
          <w:lang w:val="cs-CZ"/>
        </w:rPr>
        <w:t xml:space="preserve">), </w:t>
      </w:r>
      <w:r w:rsidR="00A4363A" w:rsidRPr="00ED3950">
        <w:rPr>
          <w:lang w:val="cs-CZ"/>
        </w:rPr>
        <w:t xml:space="preserve">ačkoli by mohla být </w:t>
      </w:r>
      <w:r w:rsidRPr="00ED3950">
        <w:rPr>
          <w:lang w:val="cs-CZ"/>
        </w:rPr>
        <w:t xml:space="preserve">použita </w:t>
      </w:r>
      <w:r w:rsidR="00A4363A" w:rsidRPr="00ED3950">
        <w:rPr>
          <w:lang w:val="cs-CZ"/>
        </w:rPr>
        <w:t xml:space="preserve">pro </w:t>
      </w:r>
      <w:r w:rsidRPr="00ED3950">
        <w:rPr>
          <w:lang w:val="cs-CZ"/>
        </w:rPr>
        <w:t xml:space="preserve">zdůvodnění dobrých výsledků. </w:t>
      </w:r>
      <w:r w:rsidRPr="00ED3950">
        <w:rPr>
          <w:lang w:val="cs-CZ"/>
        </w:rPr>
        <w:t xml:space="preserve">Je </w:t>
      </w:r>
      <w:r w:rsidRPr="00ED3950">
        <w:rPr>
          <w:lang w:val="cs-CZ"/>
        </w:rPr>
        <w:t xml:space="preserve">důležité si uvědomit, že </w:t>
      </w:r>
      <w:r w:rsidR="00EB6C6F" w:rsidRPr="00ED3950">
        <w:rPr>
          <w:lang w:val="cs-CZ"/>
        </w:rPr>
        <w:t xml:space="preserve">posouzení </w:t>
      </w:r>
      <w:r w:rsidRPr="00ED3950">
        <w:rPr>
          <w:lang w:val="cs-CZ"/>
        </w:rPr>
        <w:t xml:space="preserve">DNSH </w:t>
      </w:r>
      <w:r w:rsidR="00EB6C6F" w:rsidRPr="00ED3950">
        <w:rPr>
          <w:lang w:val="cs-CZ"/>
        </w:rPr>
        <w:t xml:space="preserve">v rámci zákona o prioritním pořadí </w:t>
      </w:r>
      <w:r w:rsidR="002356C3" w:rsidRPr="00ED3950">
        <w:rPr>
          <w:lang w:val="cs-CZ"/>
        </w:rPr>
        <w:t xml:space="preserve">nemá vliv na </w:t>
      </w:r>
      <w:r w:rsidRPr="00ED3950">
        <w:rPr>
          <w:lang w:val="cs-CZ"/>
        </w:rPr>
        <w:t>samotné environmen</w:t>
      </w:r>
      <w:r w:rsidRPr="00ED3950">
        <w:rPr>
          <w:lang w:val="cs-CZ"/>
        </w:rPr>
        <w:t xml:space="preserve">tální povolení </w:t>
      </w:r>
      <w:r w:rsidR="002356C3" w:rsidRPr="00ED3950">
        <w:rPr>
          <w:lang w:val="cs-CZ"/>
        </w:rPr>
        <w:t xml:space="preserve">ani na </w:t>
      </w:r>
      <w:r w:rsidR="00CF4483" w:rsidRPr="00ED3950">
        <w:rPr>
          <w:lang w:val="cs-CZ"/>
        </w:rPr>
        <w:t>proces přezkumu povolení</w:t>
      </w:r>
      <w:r w:rsidRPr="00ED3950">
        <w:rPr>
          <w:lang w:val="cs-CZ"/>
        </w:rPr>
        <w:t xml:space="preserve">; </w:t>
      </w:r>
      <w:r w:rsidRPr="00ED3950">
        <w:rPr>
          <w:lang w:val="cs-CZ"/>
        </w:rPr>
        <w:t xml:space="preserve">pouze zajišťuje, </w:t>
      </w:r>
      <w:r w:rsidR="00F43BA5" w:rsidRPr="00ED3950">
        <w:rPr>
          <w:lang w:val="cs-CZ"/>
        </w:rPr>
        <w:t xml:space="preserve">aby </w:t>
      </w:r>
      <w:r w:rsidRPr="00ED3950">
        <w:rPr>
          <w:lang w:val="cs-CZ"/>
        </w:rPr>
        <w:t xml:space="preserve">způsobilé projekty </w:t>
      </w:r>
      <w:r w:rsidR="00A60339" w:rsidRPr="00ED3950">
        <w:rPr>
          <w:lang w:val="cs-CZ"/>
        </w:rPr>
        <w:t xml:space="preserve">prošly </w:t>
      </w:r>
      <w:r w:rsidRPr="00ED3950">
        <w:rPr>
          <w:lang w:val="cs-CZ"/>
        </w:rPr>
        <w:t xml:space="preserve">povolovacím </w:t>
      </w:r>
      <w:r w:rsidR="00682E83" w:rsidRPr="00ED3950">
        <w:rPr>
          <w:lang w:val="cs-CZ"/>
        </w:rPr>
        <w:t xml:space="preserve">procesem do </w:t>
      </w:r>
      <w:r w:rsidRPr="00ED3950">
        <w:rPr>
          <w:lang w:val="cs-CZ"/>
        </w:rPr>
        <w:t>12 měsíců.</w:t>
      </w:r>
    </w:p>
    <w:p w:rsidR="00D8548C" w:rsidRPr="00ED3950" w:rsidRDefault="00D8548C" w:rsidP="00E4633B">
      <w:pPr>
        <w:rPr>
          <w:lang w:val="cs-CZ"/>
        </w:rPr>
      </w:pPr>
    </w:p>
    <w:p w:rsidR="005840C5" w:rsidRPr="00ED3950" w:rsidRDefault="00ED3950">
      <w:pPr>
        <w:rPr>
          <w:lang w:val="cs-CZ"/>
        </w:rPr>
      </w:pPr>
      <w:r w:rsidRPr="00ED3950">
        <w:rPr>
          <w:lang w:val="cs-CZ"/>
        </w:rPr>
        <w:t xml:space="preserve">Zavedení tohoto </w:t>
      </w:r>
      <w:r w:rsidRPr="00ED3950">
        <w:rPr>
          <w:lang w:val="cs-CZ"/>
        </w:rPr>
        <w:t xml:space="preserve">procesu </w:t>
      </w:r>
      <w:r w:rsidRPr="00ED3950">
        <w:rPr>
          <w:lang w:val="cs-CZ"/>
        </w:rPr>
        <w:t>vyžaduje zásadní zlepšení schopností regionálních státních správních orgánů</w:t>
      </w:r>
      <w:r w:rsidRPr="00ED3950">
        <w:rPr>
          <w:lang w:val="cs-CZ"/>
        </w:rPr>
        <w:t xml:space="preserve">, které jsou </w:t>
      </w:r>
      <w:r w:rsidRPr="00ED3950">
        <w:rPr>
          <w:lang w:val="cs-CZ"/>
        </w:rPr>
        <w:t xml:space="preserve">pověřeny </w:t>
      </w:r>
      <w:r w:rsidRPr="00ED3950">
        <w:rPr>
          <w:lang w:val="cs-CZ"/>
        </w:rPr>
        <w:t>prov</w:t>
      </w:r>
      <w:r w:rsidRPr="00ED3950">
        <w:rPr>
          <w:lang w:val="cs-CZ"/>
        </w:rPr>
        <w:t xml:space="preserve">áděním </w:t>
      </w:r>
      <w:r w:rsidRPr="00ED3950">
        <w:rPr>
          <w:lang w:val="cs-CZ"/>
        </w:rPr>
        <w:t xml:space="preserve">tohoto </w:t>
      </w:r>
      <w:r w:rsidRPr="00ED3950">
        <w:rPr>
          <w:lang w:val="cs-CZ"/>
        </w:rPr>
        <w:t>zrychleného povolovacího procesu</w:t>
      </w:r>
      <w:r w:rsidRPr="00ED3950">
        <w:rPr>
          <w:lang w:val="cs-CZ"/>
        </w:rPr>
        <w:t xml:space="preserve">. </w:t>
      </w:r>
      <w:r w:rsidRPr="00ED3950">
        <w:rPr>
          <w:lang w:val="cs-CZ"/>
        </w:rPr>
        <w:t xml:space="preserve">Úředníci </w:t>
      </w:r>
      <w:r w:rsidR="0052051D" w:rsidRPr="00ED3950">
        <w:rPr>
          <w:lang w:val="cs-CZ"/>
        </w:rPr>
        <w:t xml:space="preserve">byli vyškoleni a </w:t>
      </w:r>
      <w:r w:rsidRPr="00ED3950">
        <w:rPr>
          <w:lang w:val="cs-CZ"/>
        </w:rPr>
        <w:t xml:space="preserve">dostávají podporu v </w:t>
      </w:r>
      <w:r w:rsidR="005D68F0" w:rsidRPr="00ED3950">
        <w:rPr>
          <w:lang w:val="cs-CZ"/>
        </w:rPr>
        <w:t xml:space="preserve">rámci </w:t>
      </w:r>
      <w:r w:rsidR="0052051D" w:rsidRPr="00ED3950">
        <w:rPr>
          <w:lang w:val="cs-CZ"/>
        </w:rPr>
        <w:t xml:space="preserve">souběžného projektu TSI zaměřeného na vývoj vnitrostátních pokynů pro DNSH ve Finsku, </w:t>
      </w:r>
      <w:r w:rsidRPr="00ED3950">
        <w:rPr>
          <w:lang w:val="cs-CZ"/>
        </w:rPr>
        <w:t xml:space="preserve">aby </w:t>
      </w:r>
      <w:r w:rsidR="004A61D3" w:rsidRPr="00ED3950">
        <w:rPr>
          <w:lang w:val="cs-CZ"/>
        </w:rPr>
        <w:t xml:space="preserve">posílili a </w:t>
      </w:r>
      <w:r w:rsidRPr="00ED3950">
        <w:rPr>
          <w:lang w:val="cs-CZ"/>
        </w:rPr>
        <w:t xml:space="preserve">zvýšili schopnosti </w:t>
      </w:r>
      <w:r w:rsidR="004A61D3" w:rsidRPr="00ED3950">
        <w:rPr>
          <w:lang w:val="cs-CZ"/>
        </w:rPr>
        <w:t>příslušných povolovacích orgánů</w:t>
      </w:r>
      <w:r w:rsidRPr="00ED3950">
        <w:rPr>
          <w:lang w:val="cs-CZ"/>
        </w:rPr>
        <w:t xml:space="preserve">. </w:t>
      </w:r>
      <w:r w:rsidRPr="00ED3950">
        <w:rPr>
          <w:lang w:val="cs-CZ"/>
        </w:rPr>
        <w:t>Očekává se, že zavedením těchto změn se povolovací proces zefektivní a umožní efektivnější zavádění investic do ekologického přechodu.</w:t>
      </w:r>
    </w:p>
    <w:p w:rsidR="00D8548C" w:rsidRPr="00ED3950" w:rsidRDefault="00D8548C" w:rsidP="00D8548C">
      <w:pPr>
        <w:rPr>
          <w:lang w:val="cs-CZ"/>
        </w:rPr>
      </w:pPr>
    </w:p>
    <w:p w:rsidR="005840C5" w:rsidRPr="00ED3950" w:rsidRDefault="00ED3950">
      <w:pPr>
        <w:rPr>
          <w:lang w:val="cs-CZ"/>
        </w:rPr>
      </w:pPr>
      <w:r w:rsidRPr="00ED3950">
        <w:rPr>
          <w:lang w:val="cs-CZ"/>
        </w:rPr>
        <w:t xml:space="preserve">Zástupce </w:t>
      </w:r>
      <w:r w:rsidR="004A61D3" w:rsidRPr="00ED3950">
        <w:rPr>
          <w:lang w:val="cs-CZ"/>
        </w:rPr>
        <w:t xml:space="preserve">Finska </w:t>
      </w:r>
      <w:r w:rsidR="00862D8E" w:rsidRPr="00ED3950">
        <w:rPr>
          <w:lang w:val="cs-CZ"/>
        </w:rPr>
        <w:t xml:space="preserve">poznamenal, </w:t>
      </w:r>
      <w:r w:rsidRPr="00ED3950">
        <w:rPr>
          <w:lang w:val="cs-CZ"/>
        </w:rPr>
        <w:t xml:space="preserve">že </w:t>
      </w:r>
      <w:r w:rsidRPr="00ED3950">
        <w:rPr>
          <w:lang w:val="cs-CZ"/>
        </w:rPr>
        <w:t xml:space="preserve">tento systém </w:t>
      </w:r>
      <w:r w:rsidRPr="00ED3950">
        <w:rPr>
          <w:lang w:val="cs-CZ"/>
        </w:rPr>
        <w:t xml:space="preserve">vyžaduje </w:t>
      </w:r>
      <w:r w:rsidRPr="00ED3950">
        <w:rPr>
          <w:lang w:val="cs-CZ"/>
        </w:rPr>
        <w:t xml:space="preserve">silnou meziresortní spolupráci </w:t>
      </w:r>
      <w:r w:rsidRPr="00ED3950">
        <w:rPr>
          <w:lang w:val="cs-CZ"/>
        </w:rPr>
        <w:t>a silné technické schopnosti jednotl</w:t>
      </w:r>
      <w:r w:rsidRPr="00ED3950">
        <w:rPr>
          <w:lang w:val="cs-CZ"/>
        </w:rPr>
        <w:t xml:space="preserve">ivých ministerstev, protože </w:t>
      </w:r>
      <w:r w:rsidRPr="00ED3950">
        <w:rPr>
          <w:lang w:val="cs-CZ"/>
        </w:rPr>
        <w:t>provádějí posouzení dopadů, která spadají do jejich odvětví.</w:t>
      </w:r>
    </w:p>
    <w:p w:rsidR="00B62D69" w:rsidRPr="00ED3950" w:rsidRDefault="00B62D69" w:rsidP="00E4633B">
      <w:pPr>
        <w:rPr>
          <w:lang w:val="cs-CZ"/>
        </w:rPr>
      </w:pPr>
    </w:p>
    <w:p w:rsidR="005840C5" w:rsidRPr="00ED3950" w:rsidRDefault="00ED3950">
      <w:pPr>
        <w:rPr>
          <w:lang w:val="cs-CZ"/>
        </w:rPr>
      </w:pPr>
      <w:r w:rsidRPr="00ED3950">
        <w:rPr>
          <w:lang w:val="cs-CZ"/>
        </w:rPr>
        <w:t xml:space="preserve">Kromě těchto případů </w:t>
      </w:r>
      <w:r w:rsidR="00F93C13" w:rsidRPr="00ED3950">
        <w:rPr>
          <w:lang w:val="cs-CZ"/>
        </w:rPr>
        <w:t xml:space="preserve">byla </w:t>
      </w:r>
      <w:r w:rsidR="00DC0E10" w:rsidRPr="00ED3950">
        <w:rPr>
          <w:lang w:val="cs-CZ"/>
        </w:rPr>
        <w:t xml:space="preserve">během panelové diskuse na </w:t>
      </w:r>
      <w:proofErr w:type="spellStart"/>
      <w:r w:rsidR="00DC0E10" w:rsidRPr="00ED3950">
        <w:rPr>
          <w:lang w:val="cs-CZ"/>
        </w:rPr>
        <w:t>webináři</w:t>
      </w:r>
      <w:proofErr w:type="spellEnd"/>
      <w:r w:rsidR="00DC0E10" w:rsidRPr="00ED3950">
        <w:rPr>
          <w:lang w:val="cs-CZ"/>
        </w:rPr>
        <w:t xml:space="preserve"> 2 </w:t>
      </w:r>
      <w:r w:rsidRPr="00ED3950">
        <w:rPr>
          <w:lang w:val="cs-CZ"/>
        </w:rPr>
        <w:t xml:space="preserve">identifikována relevantní praxe, která poskytuje ilustraci příkladného řešení, jak čelit výzvám při </w:t>
      </w:r>
      <w:r w:rsidR="00F02D29" w:rsidRPr="00ED3950">
        <w:rPr>
          <w:lang w:val="cs-CZ"/>
        </w:rPr>
        <w:t>implementaci</w:t>
      </w:r>
      <w:r w:rsidRPr="00ED3950">
        <w:rPr>
          <w:lang w:val="cs-CZ"/>
        </w:rPr>
        <w:t xml:space="preserve">. </w:t>
      </w:r>
      <w:r w:rsidR="00F93C13" w:rsidRPr="00ED3950">
        <w:rPr>
          <w:lang w:val="cs-CZ"/>
        </w:rPr>
        <w:t xml:space="preserve">Její </w:t>
      </w:r>
      <w:r w:rsidRPr="00ED3950">
        <w:rPr>
          <w:lang w:val="cs-CZ"/>
        </w:rPr>
        <w:t xml:space="preserve">fungování a význam je uveden v </w:t>
      </w:r>
      <w:r w:rsidR="00E52899" w:rsidRPr="00ED3950">
        <w:rPr>
          <w:highlight w:val="yellow"/>
          <w:lang w:val="cs-CZ"/>
        </w:rPr>
        <w:fldChar w:fldCharType="begin"/>
      </w:r>
      <w:r w:rsidR="00E52899" w:rsidRPr="00ED3950">
        <w:rPr>
          <w:highlight w:val="yellow"/>
          <w:lang w:val="cs-CZ"/>
        </w:rPr>
        <w:instrText xml:space="preserve"> REF _Ref128125069 \h </w:instrText>
      </w:r>
      <w:r w:rsidR="00E52899" w:rsidRPr="00ED3950">
        <w:rPr>
          <w:highlight w:val="yellow"/>
          <w:lang w:val="cs-CZ"/>
        </w:rPr>
      </w:r>
      <w:r w:rsidRPr="00ED3950">
        <w:rPr>
          <w:highlight w:val="yellow"/>
          <w:lang w:val="cs-CZ"/>
        </w:rPr>
        <w:instrText xml:space="preserve"> \* MERGEFORMAT </w:instrText>
      </w:r>
      <w:r w:rsidR="00E52899" w:rsidRPr="00ED3950">
        <w:rPr>
          <w:highlight w:val="yellow"/>
          <w:lang w:val="cs-CZ"/>
        </w:rPr>
        <w:fldChar w:fldCharType="separate"/>
      </w:r>
      <w:r w:rsidR="00DC0E10" w:rsidRPr="00ED3950">
        <w:rPr>
          <w:lang w:val="cs-CZ"/>
        </w:rPr>
        <w:t>Rámeček 3</w:t>
      </w:r>
      <w:r w:rsidR="00E52899" w:rsidRPr="00ED3950">
        <w:rPr>
          <w:highlight w:val="yellow"/>
          <w:lang w:val="cs-CZ"/>
        </w:rPr>
        <w:fldChar w:fldCharType="end"/>
      </w:r>
      <w:r w:rsidRPr="00ED3950">
        <w:rPr>
          <w:lang w:val="cs-CZ"/>
        </w:rPr>
        <w:t>.</w:t>
      </w:r>
    </w:p>
    <w:p w:rsidR="00B74C0B" w:rsidRPr="00ED3950" w:rsidRDefault="00B74C0B" w:rsidP="00B74C0B">
      <w:pPr>
        <w:rPr>
          <w:lang w:val="cs-CZ"/>
        </w:rPr>
      </w:pPr>
    </w:p>
    <w:p w:rsidR="005840C5" w:rsidRPr="00ED3950" w:rsidRDefault="00ED3950">
      <w:pPr>
        <w:pStyle w:val="Titulek"/>
        <w:keepNext/>
        <w:rPr>
          <w:lang w:val="cs-CZ"/>
        </w:rPr>
      </w:pPr>
      <w:bookmarkStart w:id="27" w:name="_Ref128125069"/>
      <w:r w:rsidRPr="00ED3950">
        <w:rPr>
          <w:lang w:val="cs-CZ"/>
        </w:rPr>
        <w:t xml:space="preserve">Box </w:t>
      </w:r>
      <w:r w:rsidR="0094316D" w:rsidRPr="00ED3950">
        <w:rPr>
          <w:lang w:val="cs-CZ"/>
        </w:rPr>
        <w:fldChar w:fldCharType="begin"/>
      </w:r>
      <w:r w:rsidR="0094316D" w:rsidRPr="00ED3950">
        <w:rPr>
          <w:lang w:val="cs-CZ"/>
        </w:rPr>
        <w:instrText xml:space="preserve"> SEQ Box \* ARABIC </w:instrText>
      </w:r>
      <w:r w:rsidR="0094316D" w:rsidRPr="00ED3950">
        <w:rPr>
          <w:lang w:val="cs-CZ"/>
        </w:rPr>
        <w:fldChar w:fldCharType="separate"/>
      </w:r>
      <w:r w:rsidR="00DC0E10" w:rsidRPr="00ED3950">
        <w:rPr>
          <w:lang w:val="cs-CZ"/>
        </w:rPr>
        <w:t>3</w:t>
      </w:r>
      <w:r w:rsidR="0094316D" w:rsidRPr="00ED3950">
        <w:rPr>
          <w:lang w:val="cs-CZ"/>
        </w:rPr>
        <w:fldChar w:fldCharType="end"/>
      </w:r>
      <w:bookmarkEnd w:id="27"/>
      <w:r w:rsidRPr="00ED3950">
        <w:rPr>
          <w:lang w:val="cs-CZ"/>
        </w:rPr>
        <w:t xml:space="preserve"> Ilustrativní </w:t>
      </w:r>
      <w:r w:rsidR="004D1887" w:rsidRPr="00ED3950">
        <w:rPr>
          <w:lang w:val="cs-CZ"/>
        </w:rPr>
        <w:t xml:space="preserve">prováděcí </w:t>
      </w:r>
      <w:r w:rsidRPr="00ED3950">
        <w:rPr>
          <w:lang w:val="cs-CZ"/>
        </w:rPr>
        <w:t>praxe</w:t>
      </w:r>
    </w:p>
    <w:tbl>
      <w:tblPr>
        <w:tblStyle w:val="Table1"/>
        <w:tblW w:w="5000" w:type="pct"/>
        <w:shd w:val="clear" w:color="auto" w:fill="E0EBEB" w:themeFill="accent3" w:themeFillTint="66"/>
        <w:tblLook w:val="04A0" w:firstRow="1" w:lastRow="0" w:firstColumn="1" w:lastColumn="0" w:noHBand="0" w:noVBand="1"/>
      </w:tblPr>
      <w:tblGrid>
        <w:gridCol w:w="9016"/>
      </w:tblGrid>
      <w:tr w:rsidR="00B74C0B" w:rsidRPr="00ED39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E0EBEB" w:themeFill="accent3" w:themeFillTint="66"/>
          </w:tcPr>
          <w:p w:rsidR="005840C5" w:rsidRPr="00ED3950" w:rsidRDefault="00ED3950">
            <w:pPr>
              <w:ind w:left="0"/>
              <w:rPr>
                <w:rFonts w:eastAsia="Times New Roman"/>
                <w:bCs/>
                <w:color w:val="005962" w:themeColor="accent1"/>
                <w:lang w:val="cs-CZ"/>
              </w:rPr>
            </w:pPr>
            <w:r w:rsidRPr="00ED3950">
              <w:rPr>
                <w:rFonts w:eastAsia="Times New Roman"/>
                <w:bCs/>
                <w:color w:val="005962" w:themeColor="accent1"/>
                <w:lang w:val="cs-CZ"/>
              </w:rPr>
              <w:t>Velké podniky odpovědné za předběžné hodnocení (</w:t>
            </w:r>
            <w:r w:rsidR="00F93107" w:rsidRPr="00ED3950">
              <w:rPr>
                <w:rFonts w:eastAsia="Times New Roman"/>
                <w:bCs/>
                <w:color w:val="005962" w:themeColor="accent1"/>
                <w:lang w:val="cs-CZ"/>
              </w:rPr>
              <w:t>podle španělského modelu)</w:t>
            </w:r>
            <w:r w:rsidRPr="00ED3950">
              <w:rPr>
                <w:rFonts w:eastAsia="Times New Roman"/>
                <w:bCs/>
                <w:color w:val="005962" w:themeColor="accent1"/>
                <w:lang w:val="cs-CZ"/>
              </w:rPr>
              <w:t>.</w:t>
            </w:r>
          </w:p>
          <w:p w:rsidR="005840C5" w:rsidRPr="00ED3950" w:rsidRDefault="00ED3950">
            <w:pPr>
              <w:ind w:left="0"/>
              <w:jc w:val="left"/>
              <w:rPr>
                <w:color w:val="000000" w:themeColor="text1"/>
                <w:sz w:val="16"/>
                <w:szCs w:val="16"/>
                <w:lang w:val="cs-CZ"/>
              </w:rPr>
            </w:pPr>
            <w:r w:rsidRPr="00ED3950">
              <w:rPr>
                <w:b w:val="0"/>
                <w:color w:val="000000" w:themeColor="text1"/>
                <w:lang w:val="cs-CZ"/>
              </w:rPr>
              <w:t xml:space="preserve">Každé ministerstvo ve Španělsku nese odpovědnost za vypracování a správu předběžných hodnocení DNSH v </w:t>
            </w:r>
            <w:r w:rsidR="00971D32" w:rsidRPr="00ED3950">
              <w:rPr>
                <w:b w:val="0"/>
                <w:color w:val="000000" w:themeColor="text1"/>
                <w:lang w:val="cs-CZ"/>
              </w:rPr>
              <w:t>rámci RRF</w:t>
            </w:r>
            <w:r w:rsidRPr="00ED3950">
              <w:rPr>
                <w:b w:val="0"/>
                <w:color w:val="000000" w:themeColor="text1"/>
                <w:lang w:val="cs-CZ"/>
              </w:rPr>
              <w:t>. Větší podniky, které jsou příjemci podpory, však mohou být pověřeny prováděním těchto posouzení samy, spolu s požada</w:t>
            </w:r>
            <w:r w:rsidRPr="00ED3950">
              <w:rPr>
                <w:b w:val="0"/>
                <w:color w:val="000000" w:themeColor="text1"/>
                <w:lang w:val="cs-CZ"/>
              </w:rPr>
              <w:t xml:space="preserve">vkem na ověření nebo certifikaci třetí stranou. Tímto způsobem může Španělsko alokovat své zdroje na jiné požadavky a </w:t>
            </w:r>
            <w:r w:rsidR="00C11CEB" w:rsidRPr="00ED3950">
              <w:rPr>
                <w:b w:val="0"/>
                <w:color w:val="000000" w:themeColor="text1"/>
                <w:lang w:val="cs-CZ"/>
              </w:rPr>
              <w:t xml:space="preserve">zajistí, </w:t>
            </w:r>
            <w:r w:rsidRPr="00ED3950">
              <w:rPr>
                <w:b w:val="0"/>
                <w:color w:val="000000" w:themeColor="text1"/>
                <w:lang w:val="cs-CZ"/>
              </w:rPr>
              <w:t>že posouzení specifická pro jednotlivé projekty budou kvalitní a relevantní. Tento přístup je pro Španělsko samozřejmý, protože D</w:t>
            </w:r>
            <w:r w:rsidRPr="00ED3950">
              <w:rPr>
                <w:b w:val="0"/>
                <w:color w:val="000000" w:themeColor="text1"/>
                <w:lang w:val="cs-CZ"/>
              </w:rPr>
              <w:t xml:space="preserve">NSH je dlouhodobá úvaha a společnosti budou muset nevyhnutelně začlenit DNSH do svých postupů. Belgie rovněž uznala potenciál takového přístupu. </w:t>
            </w:r>
          </w:p>
        </w:tc>
      </w:tr>
    </w:tbl>
    <w:p w:rsidR="006D08EB" w:rsidRPr="00ED3950" w:rsidRDefault="006D08EB" w:rsidP="00E4633B">
      <w:pPr>
        <w:rPr>
          <w:lang w:val="cs-CZ"/>
        </w:rPr>
      </w:pPr>
    </w:p>
    <w:p w:rsidR="005840C5" w:rsidRPr="00ED3950" w:rsidRDefault="00ED3950">
      <w:pPr>
        <w:pStyle w:val="Nadpis3"/>
        <w:ind w:left="567" w:hanging="567"/>
        <w:rPr>
          <w:lang w:val="cs-CZ"/>
        </w:rPr>
      </w:pPr>
      <w:bookmarkStart w:id="28" w:name="_Toc131775839"/>
      <w:proofErr w:type="spellStart"/>
      <w:r w:rsidRPr="00ED3950">
        <w:rPr>
          <w:lang w:val="cs-CZ"/>
        </w:rPr>
        <w:t>Replikovatelnost</w:t>
      </w:r>
      <w:proofErr w:type="spellEnd"/>
      <w:r w:rsidRPr="00ED3950">
        <w:rPr>
          <w:lang w:val="cs-CZ"/>
        </w:rPr>
        <w:t xml:space="preserve"> do českého prostředí</w:t>
      </w:r>
      <w:bookmarkEnd w:id="28"/>
    </w:p>
    <w:p w:rsidR="005840C5" w:rsidRPr="00ED3950" w:rsidRDefault="00ED3950">
      <w:pPr>
        <w:rPr>
          <w:lang w:val="cs-CZ"/>
        </w:rPr>
      </w:pPr>
      <w:r w:rsidRPr="00ED3950">
        <w:rPr>
          <w:highlight w:val="yellow"/>
          <w:lang w:val="cs-CZ"/>
        </w:rPr>
        <w:fldChar w:fldCharType="begin"/>
      </w:r>
      <w:r w:rsidRPr="00ED3950">
        <w:rPr>
          <w:highlight w:val="yellow"/>
          <w:lang w:val="cs-CZ"/>
        </w:rPr>
        <w:instrText xml:space="preserve"> REF _Ref128060655 \h </w:instrText>
      </w:r>
      <w:r w:rsidRPr="00ED3950">
        <w:rPr>
          <w:highlight w:val="yellow"/>
          <w:lang w:val="cs-CZ"/>
        </w:rPr>
      </w:r>
      <w:r w:rsidRPr="00ED3950">
        <w:rPr>
          <w:highlight w:val="yellow"/>
          <w:lang w:val="cs-CZ"/>
        </w:rPr>
        <w:instrText xml:space="preserve"> \* MERGEFORMAT </w:instrText>
      </w:r>
      <w:r w:rsidRPr="00ED3950">
        <w:rPr>
          <w:highlight w:val="yellow"/>
          <w:lang w:val="cs-CZ"/>
        </w:rPr>
        <w:fldChar w:fldCharType="separate"/>
      </w:r>
      <w:r w:rsidRPr="00ED3950">
        <w:rPr>
          <w:lang w:val="cs-CZ"/>
        </w:rPr>
        <w:t xml:space="preserve">Tabulka </w:t>
      </w:r>
      <w:r w:rsidRPr="00ED3950">
        <w:rPr>
          <w:lang w:val="cs-CZ"/>
        </w:rPr>
        <w:t>4</w:t>
      </w:r>
      <w:r w:rsidRPr="00ED3950">
        <w:rPr>
          <w:highlight w:val="yellow"/>
          <w:lang w:val="cs-CZ"/>
        </w:rPr>
        <w:fldChar w:fldCharType="end"/>
      </w:r>
      <w:r w:rsidR="008A6193" w:rsidRPr="00ED3950">
        <w:rPr>
          <w:highlight w:val="yellow"/>
          <w:lang w:val="cs-CZ"/>
        </w:rPr>
        <w:fldChar w:fldCharType="begin"/>
      </w:r>
      <w:r w:rsidR="008A6193" w:rsidRPr="00ED3950">
        <w:rPr>
          <w:highlight w:val="yellow"/>
          <w:lang w:val="cs-CZ"/>
        </w:rPr>
        <w:instrText xml:space="preserve"> REF _Ref128060655 \h  \* MERGEFORMAT </w:instrText>
      </w:r>
      <w:r w:rsidR="008A6193" w:rsidRPr="00ED3950">
        <w:rPr>
          <w:highlight w:val="yellow"/>
          <w:lang w:val="cs-CZ"/>
        </w:rPr>
      </w:r>
      <w:r w:rsidR="008A6193" w:rsidRPr="00ED3950">
        <w:rPr>
          <w:highlight w:val="yellow"/>
          <w:lang w:val="cs-CZ"/>
        </w:rPr>
        <w:fldChar w:fldCharType="end"/>
      </w:r>
      <w:r w:rsidR="00504895" w:rsidRPr="00ED3950">
        <w:rPr>
          <w:lang w:val="cs-CZ"/>
        </w:rPr>
        <w:t xml:space="preserve"> shrnuje faktory podporující a bránící zavedení a úspěchu postupů, aby bylo možné posoudit jejich </w:t>
      </w:r>
      <w:proofErr w:type="spellStart"/>
      <w:r w:rsidR="00504895" w:rsidRPr="00ED3950">
        <w:rPr>
          <w:lang w:val="cs-CZ"/>
        </w:rPr>
        <w:t>replikovatelnost</w:t>
      </w:r>
      <w:proofErr w:type="spellEnd"/>
      <w:r w:rsidR="00504895" w:rsidRPr="00ED3950">
        <w:rPr>
          <w:lang w:val="cs-CZ"/>
        </w:rPr>
        <w:t xml:space="preserve"> v České republice.</w:t>
      </w:r>
      <w:r w:rsidR="00F90DE6" w:rsidRPr="00ED3950">
        <w:rPr>
          <w:lang w:val="cs-CZ"/>
        </w:rPr>
        <w:t xml:space="preserve"> Příznivé faktory jsou zde definovány jako faktory, které umožňují zavedení a účinnost postupů. </w:t>
      </w:r>
      <w:r w:rsidR="00CA7706" w:rsidRPr="00ED3950">
        <w:rPr>
          <w:lang w:val="cs-CZ"/>
        </w:rPr>
        <w:t xml:space="preserve">Naopak </w:t>
      </w:r>
      <w:r w:rsidR="00F90DE6" w:rsidRPr="00ED3950">
        <w:rPr>
          <w:lang w:val="cs-CZ"/>
        </w:rPr>
        <w:t>bariéry jsou definovány jako faktory, které brání zavedení a účinnosti postupů.</w:t>
      </w:r>
    </w:p>
    <w:p w:rsidR="00AF5505" w:rsidRPr="00ED3950" w:rsidRDefault="00AF5505" w:rsidP="00B62D69">
      <w:pPr>
        <w:rPr>
          <w:lang w:val="cs-CZ"/>
        </w:rPr>
      </w:pPr>
    </w:p>
    <w:p w:rsidR="005840C5" w:rsidRPr="00ED3950" w:rsidRDefault="00ED3950">
      <w:pPr>
        <w:pStyle w:val="Titulek"/>
        <w:keepNext/>
        <w:rPr>
          <w:lang w:val="cs-CZ"/>
        </w:rPr>
      </w:pPr>
      <w:bookmarkStart w:id="29" w:name="_Ref128060655"/>
      <w:r w:rsidRPr="00ED3950">
        <w:rPr>
          <w:lang w:val="cs-CZ"/>
        </w:rPr>
        <w:t xml:space="preserve">Tabulka </w:t>
      </w:r>
      <w:r w:rsidR="0094316D" w:rsidRPr="00ED3950">
        <w:rPr>
          <w:lang w:val="cs-CZ"/>
        </w:rPr>
        <w:fldChar w:fldCharType="begin"/>
      </w:r>
      <w:r w:rsidR="0094316D" w:rsidRPr="00ED3950">
        <w:rPr>
          <w:lang w:val="cs-CZ"/>
        </w:rPr>
        <w:instrText xml:space="preserve"> SEQ Table \* ARABIC </w:instrText>
      </w:r>
      <w:r w:rsidR="0094316D" w:rsidRPr="00ED3950">
        <w:rPr>
          <w:lang w:val="cs-CZ"/>
        </w:rPr>
        <w:fldChar w:fldCharType="separate"/>
      </w:r>
      <w:r w:rsidR="003C1993" w:rsidRPr="00ED3950">
        <w:rPr>
          <w:lang w:val="cs-CZ"/>
        </w:rPr>
        <w:t>4</w:t>
      </w:r>
      <w:r w:rsidR="0094316D" w:rsidRPr="00ED3950">
        <w:rPr>
          <w:lang w:val="cs-CZ"/>
        </w:rPr>
        <w:fldChar w:fldCharType="end"/>
      </w:r>
      <w:bookmarkEnd w:id="29"/>
      <w:r w:rsidRPr="00ED3950">
        <w:rPr>
          <w:lang w:val="cs-CZ"/>
        </w:rPr>
        <w:t xml:space="preserve"> Příznivé faktory a překážky zkoumaných postupů </w:t>
      </w:r>
      <w:r w:rsidRPr="00ED3950">
        <w:rPr>
          <w:lang w:val="cs-CZ"/>
        </w:rPr>
        <w:t>implementace</w:t>
      </w:r>
    </w:p>
    <w:tbl>
      <w:tblPr>
        <w:tblStyle w:val="Table1"/>
        <w:tblW w:w="0" w:type="auto"/>
        <w:tblLook w:val="04A0" w:firstRow="1" w:lastRow="0" w:firstColumn="1" w:lastColumn="0" w:noHBand="0" w:noVBand="1"/>
      </w:tblPr>
      <w:tblGrid>
        <w:gridCol w:w="530"/>
        <w:gridCol w:w="2500"/>
        <w:gridCol w:w="2635"/>
        <w:gridCol w:w="2723"/>
      </w:tblGrid>
      <w:tr w:rsidR="00AF5505" w:rsidRPr="00ED3950" w:rsidTr="004D0CAD">
        <w:trPr>
          <w:cnfStyle w:val="100000000000" w:firstRow="1" w:lastRow="0" w:firstColumn="0" w:lastColumn="0" w:oddVBand="0" w:evenVBand="0" w:oddHBand="0" w:evenHBand="0" w:firstRowFirstColumn="0" w:firstRowLastColumn="0" w:lastRowFirstColumn="0" w:lastRowLastColumn="0"/>
          <w:trHeight w:val="1166"/>
        </w:trPr>
        <w:tc>
          <w:tcPr>
            <w:cnfStyle w:val="001000000000" w:firstRow="0" w:lastRow="0" w:firstColumn="1" w:lastColumn="0" w:oddVBand="0" w:evenVBand="0" w:oddHBand="0" w:evenHBand="0" w:firstRowFirstColumn="0" w:firstRowLastColumn="0" w:lastRowFirstColumn="0" w:lastRowLastColumn="0"/>
            <w:tcW w:w="530" w:type="dxa"/>
            <w:shd w:val="clear" w:color="auto" w:fill="B2CFCD" w:themeFill="accent3"/>
            <w:tcMar>
              <w:left w:w="28" w:type="dxa"/>
              <w:bottom w:w="28" w:type="dxa"/>
              <w:right w:w="28" w:type="dxa"/>
            </w:tcMar>
            <w:vAlign w:val="top"/>
          </w:tcPr>
          <w:p w:rsidR="00AF5505" w:rsidRPr="00ED3950" w:rsidRDefault="00AF5505">
            <w:pPr>
              <w:ind w:left="0"/>
              <w:rPr>
                <w:color w:val="auto"/>
                <w:sz w:val="16"/>
                <w:szCs w:val="16"/>
                <w:lang w:val="cs-CZ"/>
              </w:rPr>
            </w:pPr>
          </w:p>
        </w:tc>
        <w:tc>
          <w:tcPr>
            <w:tcW w:w="2500" w:type="dxa"/>
            <w:shd w:val="clear" w:color="auto" w:fill="B2CFCD" w:themeFill="accent3"/>
            <w:tcMar>
              <w:left w:w="28" w:type="dxa"/>
              <w:bottom w:w="28" w:type="dxa"/>
              <w:right w:w="28" w:type="dxa"/>
            </w:tcMar>
          </w:tcPr>
          <w:p w:rsidR="005840C5" w:rsidRPr="00ED3950" w:rsidRDefault="00ED3950">
            <w:pPr>
              <w:ind w:left="0"/>
              <w:cnfStyle w:val="100000000000" w:firstRow="1" w:lastRow="0" w:firstColumn="0" w:lastColumn="0" w:oddVBand="0" w:evenVBand="0" w:oddHBand="0" w:evenHBand="0" w:firstRowFirstColumn="0" w:firstRowLastColumn="0" w:lastRowFirstColumn="0" w:lastRowLastColumn="0"/>
              <w:rPr>
                <w:b w:val="0"/>
                <w:sz w:val="16"/>
                <w:szCs w:val="16"/>
                <w:lang w:val="cs-CZ"/>
              </w:rPr>
            </w:pPr>
            <w:r w:rsidRPr="00ED3950">
              <w:rPr>
                <w:color w:val="auto"/>
                <w:sz w:val="16"/>
                <w:szCs w:val="16"/>
                <w:lang w:val="cs-CZ"/>
              </w:rPr>
              <w:t xml:space="preserve">Granulární přístup k </w:t>
            </w:r>
            <w:r w:rsidR="007D3D5E" w:rsidRPr="00ED3950">
              <w:rPr>
                <w:color w:val="auto"/>
                <w:sz w:val="16"/>
                <w:szCs w:val="16"/>
                <w:lang w:val="cs-CZ"/>
              </w:rPr>
              <w:t xml:space="preserve">budování </w:t>
            </w:r>
            <w:r w:rsidRPr="00ED3950">
              <w:rPr>
                <w:color w:val="auto"/>
                <w:sz w:val="16"/>
                <w:szCs w:val="16"/>
                <w:lang w:val="cs-CZ"/>
              </w:rPr>
              <w:t xml:space="preserve">DNSH </w:t>
            </w:r>
          </w:p>
          <w:p w:rsidR="005840C5" w:rsidRPr="00ED3950" w:rsidRDefault="00ED3950">
            <w:pPr>
              <w:ind w:left="0"/>
              <w:cnfStyle w:val="100000000000" w:firstRow="1" w:lastRow="0" w:firstColumn="0" w:lastColumn="0" w:oddVBand="0" w:evenVBand="0" w:oddHBand="0" w:evenHBand="0" w:firstRowFirstColumn="0" w:firstRowLastColumn="0" w:lastRowFirstColumn="0" w:lastRowLastColumn="0"/>
              <w:rPr>
                <w:color w:val="auto"/>
                <w:sz w:val="16"/>
                <w:szCs w:val="16"/>
                <w:lang w:val="cs-CZ"/>
              </w:rPr>
            </w:pPr>
            <w:r w:rsidRPr="00ED3950">
              <w:rPr>
                <w:color w:val="auto"/>
                <w:sz w:val="16"/>
                <w:szCs w:val="16"/>
                <w:lang w:val="cs-CZ"/>
              </w:rPr>
              <w:t>(</w:t>
            </w:r>
            <w:r w:rsidRPr="00ED3950">
              <w:rPr>
                <w:color w:val="auto"/>
                <w:sz w:val="16"/>
                <w:szCs w:val="16"/>
                <w:lang w:val="cs-CZ"/>
              </w:rPr>
              <w:t>SK</w:t>
            </w:r>
            <w:r w:rsidRPr="00ED3950">
              <w:rPr>
                <w:color w:val="auto"/>
                <w:sz w:val="16"/>
                <w:szCs w:val="16"/>
                <w:lang w:val="cs-CZ"/>
              </w:rPr>
              <w:t>)</w:t>
            </w:r>
          </w:p>
        </w:tc>
        <w:tc>
          <w:tcPr>
            <w:tcW w:w="2635" w:type="dxa"/>
            <w:shd w:val="clear" w:color="auto" w:fill="B2CFCD" w:themeFill="accent3"/>
            <w:tcMar>
              <w:left w:w="28" w:type="dxa"/>
              <w:bottom w:w="28" w:type="dxa"/>
              <w:right w:w="28" w:type="dxa"/>
            </w:tcMar>
          </w:tcPr>
          <w:p w:rsidR="005840C5" w:rsidRPr="00ED3950" w:rsidRDefault="00ED3950">
            <w:pPr>
              <w:ind w:left="0"/>
              <w:cnfStyle w:val="100000000000" w:firstRow="1" w:lastRow="0" w:firstColumn="0" w:lastColumn="0" w:oddVBand="0" w:evenVBand="0" w:oddHBand="0" w:evenHBand="0" w:firstRowFirstColumn="0" w:firstRowLastColumn="0" w:lastRowFirstColumn="0" w:lastRowLastColumn="0"/>
              <w:rPr>
                <w:b w:val="0"/>
                <w:color w:val="auto"/>
                <w:sz w:val="16"/>
                <w:szCs w:val="16"/>
                <w:lang w:val="cs-CZ"/>
              </w:rPr>
            </w:pPr>
            <w:r w:rsidRPr="00ED3950">
              <w:rPr>
                <w:color w:val="auto"/>
                <w:sz w:val="16"/>
                <w:szCs w:val="16"/>
                <w:lang w:val="cs-CZ"/>
              </w:rPr>
              <w:t xml:space="preserve">Zákon o přednostním pořadí pro povolování v oblasti životního prostředí </w:t>
            </w:r>
          </w:p>
          <w:p w:rsidR="005840C5" w:rsidRPr="00ED3950" w:rsidRDefault="00ED3950">
            <w:pPr>
              <w:ind w:left="0"/>
              <w:cnfStyle w:val="100000000000" w:firstRow="1" w:lastRow="0" w:firstColumn="0" w:lastColumn="0" w:oddVBand="0" w:evenVBand="0" w:oddHBand="0" w:evenHBand="0" w:firstRowFirstColumn="0" w:firstRowLastColumn="0" w:lastRowFirstColumn="0" w:lastRowLastColumn="0"/>
              <w:rPr>
                <w:color w:val="auto"/>
                <w:sz w:val="16"/>
                <w:szCs w:val="16"/>
                <w:lang w:val="cs-CZ"/>
              </w:rPr>
            </w:pPr>
            <w:r w:rsidRPr="00ED3950">
              <w:rPr>
                <w:color w:val="auto"/>
                <w:sz w:val="16"/>
                <w:szCs w:val="16"/>
                <w:lang w:val="cs-CZ"/>
              </w:rPr>
              <w:t>(FI)</w:t>
            </w:r>
          </w:p>
        </w:tc>
        <w:tc>
          <w:tcPr>
            <w:tcW w:w="2723" w:type="dxa"/>
            <w:shd w:val="clear" w:color="auto" w:fill="B2CFCD" w:themeFill="accent3"/>
            <w:tcMar>
              <w:left w:w="28" w:type="dxa"/>
              <w:bottom w:w="28" w:type="dxa"/>
              <w:right w:w="28" w:type="dxa"/>
            </w:tcMar>
          </w:tcPr>
          <w:p w:rsidR="005840C5" w:rsidRPr="00ED3950" w:rsidRDefault="00ED3950">
            <w:pPr>
              <w:ind w:left="0"/>
              <w:cnfStyle w:val="100000000000" w:firstRow="1" w:lastRow="0" w:firstColumn="0" w:lastColumn="0" w:oddVBand="0" w:evenVBand="0" w:oddHBand="0" w:evenHBand="0" w:firstRowFirstColumn="0" w:firstRowLastColumn="0" w:lastRowFirstColumn="0" w:lastRowLastColumn="0"/>
              <w:rPr>
                <w:b w:val="0"/>
                <w:sz w:val="15"/>
                <w:szCs w:val="15"/>
                <w:lang w:val="cs-CZ"/>
              </w:rPr>
            </w:pPr>
            <w:r w:rsidRPr="00ED3950">
              <w:rPr>
                <w:color w:val="auto"/>
                <w:sz w:val="15"/>
                <w:szCs w:val="15"/>
                <w:lang w:val="cs-CZ"/>
              </w:rPr>
              <w:t xml:space="preserve">Velké společnosti odpovědné za předběžné hodnocení </w:t>
            </w:r>
          </w:p>
          <w:p w:rsidR="005840C5" w:rsidRPr="00ED3950" w:rsidRDefault="00ED3950">
            <w:pPr>
              <w:ind w:left="0"/>
              <w:cnfStyle w:val="100000000000" w:firstRow="1" w:lastRow="0" w:firstColumn="0" w:lastColumn="0" w:oddVBand="0" w:evenVBand="0" w:oddHBand="0" w:evenHBand="0" w:firstRowFirstColumn="0" w:firstRowLastColumn="0" w:lastRowFirstColumn="0" w:lastRowLastColumn="0"/>
              <w:rPr>
                <w:color w:val="auto"/>
                <w:sz w:val="16"/>
                <w:szCs w:val="16"/>
                <w:lang w:val="cs-CZ"/>
              </w:rPr>
            </w:pPr>
            <w:r w:rsidRPr="00ED3950">
              <w:rPr>
                <w:color w:val="auto"/>
                <w:sz w:val="15"/>
                <w:szCs w:val="15"/>
                <w:lang w:val="cs-CZ"/>
              </w:rPr>
              <w:t xml:space="preserve">(ES)  </w:t>
            </w:r>
          </w:p>
        </w:tc>
      </w:tr>
      <w:tr w:rsidR="00AF5505" w:rsidRPr="00ED3950" w:rsidTr="004D0CAD">
        <w:trPr>
          <w:cantSplit/>
          <w:trHeight w:val="1112"/>
        </w:trPr>
        <w:tc>
          <w:tcPr>
            <w:cnfStyle w:val="001000000000" w:firstRow="0" w:lastRow="0" w:firstColumn="1" w:lastColumn="0" w:oddVBand="0" w:evenVBand="0" w:oddHBand="0" w:evenHBand="0" w:firstRowFirstColumn="0" w:firstRowLastColumn="0" w:lastRowFirstColumn="0" w:lastRowLastColumn="0"/>
            <w:tcW w:w="530" w:type="dxa"/>
            <w:shd w:val="clear" w:color="auto" w:fill="B2CFCD" w:themeFill="accent3"/>
            <w:tcMar>
              <w:left w:w="28" w:type="dxa"/>
              <w:right w:w="28" w:type="dxa"/>
            </w:tcMar>
            <w:textDirection w:val="btLr"/>
            <w:vAlign w:val="top"/>
          </w:tcPr>
          <w:p w:rsidR="005840C5" w:rsidRPr="00ED3950" w:rsidRDefault="00ED3950">
            <w:pPr>
              <w:ind w:left="113" w:right="113"/>
              <w:jc w:val="center"/>
              <w:rPr>
                <w:b/>
                <w:sz w:val="16"/>
                <w:szCs w:val="16"/>
                <w:lang w:val="cs-CZ"/>
              </w:rPr>
            </w:pPr>
            <w:r w:rsidRPr="00ED3950">
              <w:rPr>
                <w:b/>
                <w:sz w:val="16"/>
                <w:szCs w:val="16"/>
                <w:lang w:val="cs-CZ"/>
              </w:rPr>
              <w:lastRenderedPageBreak/>
              <w:t>Umožňující nástroje</w:t>
            </w:r>
          </w:p>
        </w:tc>
        <w:tc>
          <w:tcPr>
            <w:tcW w:w="2500" w:type="dxa"/>
            <w:tcMar>
              <w:top w:w="28" w:type="dxa"/>
              <w:left w:w="28" w:type="dxa"/>
              <w:right w:w="28" w:type="dxa"/>
            </w:tcMar>
          </w:tcPr>
          <w:p w:rsidR="005840C5" w:rsidRPr="00ED3950" w:rsidRDefault="00ED3950">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cs-CZ"/>
              </w:rPr>
            </w:pPr>
            <w:r w:rsidRPr="00ED3950">
              <w:rPr>
                <w:rFonts w:eastAsia="Calibri" w:cs="Times New Roman"/>
                <w:sz w:val="16"/>
                <w:szCs w:val="16"/>
                <w:lang w:val="cs-CZ"/>
              </w:rPr>
              <w:t xml:space="preserve">E1 </w:t>
            </w:r>
            <w:proofErr w:type="spellStart"/>
            <w:r w:rsidRPr="00ED3950">
              <w:rPr>
                <w:sz w:val="16"/>
                <w:szCs w:val="16"/>
                <w:lang w:val="cs-CZ"/>
              </w:rPr>
              <w:t>Descentralizovaná</w:t>
            </w:r>
            <w:proofErr w:type="spellEnd"/>
            <w:r w:rsidRPr="00ED3950">
              <w:rPr>
                <w:sz w:val="16"/>
                <w:szCs w:val="16"/>
                <w:lang w:val="cs-CZ"/>
              </w:rPr>
              <w:t xml:space="preserve"> správa DNSH</w:t>
            </w:r>
          </w:p>
          <w:p w:rsidR="005840C5" w:rsidRPr="00ED3950" w:rsidRDefault="00ED3950">
            <w:pPr>
              <w:spacing w:line="360" w:lineRule="auto"/>
              <w:ind w:left="0"/>
              <w:cnfStyle w:val="000000000000" w:firstRow="0" w:lastRow="0" w:firstColumn="0" w:lastColumn="0" w:oddVBand="0" w:evenVBand="0" w:oddHBand="0" w:evenHBand="0" w:firstRowFirstColumn="0" w:firstRowLastColumn="0" w:lastRowFirstColumn="0" w:lastRowLastColumn="0"/>
              <w:rPr>
                <w:color w:val="FF0000"/>
                <w:sz w:val="16"/>
                <w:szCs w:val="16"/>
                <w:lang w:val="cs-CZ"/>
              </w:rPr>
            </w:pPr>
            <w:r w:rsidRPr="00ED3950">
              <w:rPr>
                <w:sz w:val="16"/>
                <w:szCs w:val="16"/>
                <w:lang w:val="cs-CZ"/>
              </w:rPr>
              <w:t xml:space="preserve">Technická podpora </w:t>
            </w:r>
            <w:r w:rsidRPr="00ED3950">
              <w:rPr>
                <w:rFonts w:eastAsia="Calibri" w:cs="Times New Roman"/>
                <w:sz w:val="16"/>
                <w:szCs w:val="16"/>
                <w:lang w:val="cs-CZ"/>
              </w:rPr>
              <w:t>E2</w:t>
            </w:r>
          </w:p>
        </w:tc>
        <w:tc>
          <w:tcPr>
            <w:tcW w:w="2635" w:type="dxa"/>
            <w:tcMar>
              <w:top w:w="28" w:type="dxa"/>
              <w:left w:w="28" w:type="dxa"/>
              <w:right w:w="28" w:type="dxa"/>
            </w:tcMar>
          </w:tcPr>
          <w:p w:rsidR="005840C5" w:rsidRPr="00ED3950" w:rsidRDefault="00ED3950">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cs-CZ"/>
              </w:rPr>
            </w:pPr>
            <w:r w:rsidRPr="00ED3950">
              <w:rPr>
                <w:sz w:val="16"/>
                <w:szCs w:val="16"/>
                <w:lang w:val="cs-CZ"/>
              </w:rPr>
              <w:t>E4 Legislativní rámec</w:t>
            </w:r>
          </w:p>
          <w:p w:rsidR="005840C5" w:rsidRPr="00ED3950" w:rsidRDefault="00ED3950">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cs-CZ"/>
              </w:rPr>
            </w:pPr>
            <w:r w:rsidRPr="00ED3950">
              <w:rPr>
                <w:sz w:val="16"/>
                <w:szCs w:val="16"/>
                <w:lang w:val="cs-CZ"/>
              </w:rPr>
              <w:t>E5 Politická podpora</w:t>
            </w:r>
          </w:p>
          <w:p w:rsidR="005840C5" w:rsidRPr="00ED3950" w:rsidRDefault="00ED3950">
            <w:pPr>
              <w:spacing w:line="360" w:lineRule="auto"/>
              <w:ind w:left="0"/>
              <w:cnfStyle w:val="000000000000" w:firstRow="0" w:lastRow="0" w:firstColumn="0" w:lastColumn="0" w:oddVBand="0" w:evenVBand="0" w:oddHBand="0" w:evenHBand="0" w:firstRowFirstColumn="0" w:firstRowLastColumn="0" w:lastRowFirstColumn="0" w:lastRowLastColumn="0"/>
              <w:rPr>
                <w:color w:val="FF0000"/>
                <w:sz w:val="16"/>
                <w:szCs w:val="16"/>
                <w:lang w:val="cs-CZ"/>
              </w:rPr>
            </w:pPr>
            <w:r w:rsidRPr="00ED3950">
              <w:rPr>
                <w:sz w:val="16"/>
                <w:szCs w:val="16"/>
                <w:lang w:val="cs-CZ"/>
              </w:rPr>
              <w:t xml:space="preserve">E6 </w:t>
            </w:r>
            <w:r w:rsidR="00AF5505" w:rsidRPr="00ED3950">
              <w:rPr>
                <w:sz w:val="16"/>
                <w:szCs w:val="16"/>
                <w:lang w:val="cs-CZ"/>
              </w:rPr>
              <w:t xml:space="preserve">Technická </w:t>
            </w:r>
            <w:r w:rsidRPr="00ED3950">
              <w:rPr>
                <w:sz w:val="16"/>
                <w:szCs w:val="16"/>
                <w:lang w:val="cs-CZ"/>
              </w:rPr>
              <w:t xml:space="preserve">podpora </w:t>
            </w:r>
          </w:p>
        </w:tc>
        <w:tc>
          <w:tcPr>
            <w:tcW w:w="2723" w:type="dxa"/>
            <w:tcMar>
              <w:top w:w="28" w:type="dxa"/>
              <w:left w:w="28" w:type="dxa"/>
              <w:right w:w="28" w:type="dxa"/>
            </w:tcMar>
          </w:tcPr>
          <w:p w:rsidR="005840C5" w:rsidRPr="00ED3950" w:rsidRDefault="00EC0FEC">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cs-CZ"/>
              </w:rPr>
            </w:pPr>
            <w:r w:rsidRPr="00ED3950">
              <w:rPr>
                <w:sz w:val="16"/>
                <w:szCs w:val="16"/>
                <w:lang w:val="cs-CZ"/>
              </w:rPr>
              <w:t xml:space="preserve">E7 </w:t>
            </w:r>
            <w:r w:rsidR="00BE4BB5" w:rsidRPr="00ED3950">
              <w:rPr>
                <w:sz w:val="16"/>
                <w:szCs w:val="16"/>
                <w:lang w:val="cs-CZ"/>
              </w:rPr>
              <w:t xml:space="preserve">Definovaná kritéria pro hodnocení na úrovni podniku </w:t>
            </w:r>
          </w:p>
          <w:p w:rsidR="005840C5" w:rsidRPr="00ED3950" w:rsidRDefault="00BE4BB5">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cs-CZ"/>
              </w:rPr>
            </w:pPr>
            <w:r w:rsidRPr="00ED3950">
              <w:rPr>
                <w:sz w:val="16"/>
                <w:szCs w:val="16"/>
                <w:lang w:val="cs-CZ"/>
              </w:rPr>
              <w:t xml:space="preserve">E8 </w:t>
            </w:r>
            <w:r w:rsidR="00497C82" w:rsidRPr="00ED3950">
              <w:rPr>
                <w:sz w:val="16"/>
                <w:szCs w:val="16"/>
                <w:lang w:val="cs-CZ"/>
              </w:rPr>
              <w:t xml:space="preserve">Ověřování třetí stranou </w:t>
            </w:r>
          </w:p>
        </w:tc>
      </w:tr>
      <w:tr w:rsidR="00AF5505" w:rsidRPr="00ED3950" w:rsidTr="004D0CAD">
        <w:trPr>
          <w:cantSplit/>
          <w:trHeight w:val="898"/>
        </w:trPr>
        <w:tc>
          <w:tcPr>
            <w:cnfStyle w:val="001000000000" w:firstRow="0" w:lastRow="0" w:firstColumn="1" w:lastColumn="0" w:oddVBand="0" w:evenVBand="0" w:oddHBand="0" w:evenHBand="0" w:firstRowFirstColumn="0" w:firstRowLastColumn="0" w:lastRowFirstColumn="0" w:lastRowLastColumn="0"/>
            <w:tcW w:w="530" w:type="dxa"/>
            <w:shd w:val="clear" w:color="auto" w:fill="B2CFCD" w:themeFill="accent3"/>
            <w:tcMar>
              <w:left w:w="28" w:type="dxa"/>
              <w:right w:w="28" w:type="dxa"/>
            </w:tcMar>
            <w:textDirection w:val="btLr"/>
            <w:vAlign w:val="top"/>
          </w:tcPr>
          <w:p w:rsidR="005840C5" w:rsidRPr="00ED3950" w:rsidRDefault="00ED3950">
            <w:pPr>
              <w:ind w:left="113" w:right="113"/>
              <w:jc w:val="center"/>
              <w:rPr>
                <w:b/>
                <w:sz w:val="16"/>
                <w:szCs w:val="16"/>
                <w:lang w:val="cs-CZ"/>
              </w:rPr>
            </w:pPr>
            <w:r w:rsidRPr="00ED3950">
              <w:rPr>
                <w:b/>
                <w:sz w:val="16"/>
                <w:szCs w:val="16"/>
                <w:lang w:val="cs-CZ"/>
              </w:rPr>
              <w:t>Překážky</w:t>
            </w:r>
          </w:p>
        </w:tc>
        <w:tc>
          <w:tcPr>
            <w:tcW w:w="2500" w:type="dxa"/>
            <w:tcMar>
              <w:top w:w="28" w:type="dxa"/>
              <w:left w:w="28" w:type="dxa"/>
              <w:right w:w="28" w:type="dxa"/>
            </w:tcMar>
          </w:tcPr>
          <w:p w:rsidR="005840C5" w:rsidRPr="00ED3950" w:rsidRDefault="00ED3950">
            <w:pPr>
              <w:spacing w:line="360" w:lineRule="auto"/>
              <w:ind w:left="0"/>
              <w:cnfStyle w:val="000000000000" w:firstRow="0" w:lastRow="0" w:firstColumn="0" w:lastColumn="0" w:oddVBand="0" w:evenVBand="0" w:oddHBand="0" w:evenHBand="0" w:firstRowFirstColumn="0" w:firstRowLastColumn="0" w:lastRowFirstColumn="0" w:lastRowLastColumn="0"/>
              <w:rPr>
                <w:color w:val="FF0000"/>
                <w:sz w:val="16"/>
                <w:szCs w:val="16"/>
                <w:lang w:val="cs-CZ"/>
              </w:rPr>
            </w:pPr>
            <w:r w:rsidRPr="00ED3950">
              <w:rPr>
                <w:sz w:val="16"/>
                <w:szCs w:val="16"/>
                <w:lang w:val="cs-CZ"/>
              </w:rPr>
              <w:t xml:space="preserve">B1 Omezení v přenositelnosti do jiných </w:t>
            </w:r>
            <w:r w:rsidR="00984BA1" w:rsidRPr="00ED3950">
              <w:rPr>
                <w:sz w:val="16"/>
                <w:szCs w:val="16"/>
                <w:lang w:val="cs-CZ"/>
              </w:rPr>
              <w:t>odvětví</w:t>
            </w:r>
          </w:p>
        </w:tc>
        <w:tc>
          <w:tcPr>
            <w:tcW w:w="2635" w:type="dxa"/>
            <w:tcMar>
              <w:top w:w="28" w:type="dxa"/>
              <w:left w:w="28" w:type="dxa"/>
              <w:right w:w="28" w:type="dxa"/>
            </w:tcMar>
          </w:tcPr>
          <w:p w:rsidR="005840C5" w:rsidRPr="00ED3950" w:rsidRDefault="00ED3950">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cs-CZ"/>
              </w:rPr>
            </w:pPr>
            <w:r w:rsidRPr="00ED3950">
              <w:rPr>
                <w:sz w:val="16"/>
                <w:szCs w:val="16"/>
                <w:lang w:val="cs-CZ"/>
              </w:rPr>
              <w:t>B2 Nedostatečné technické schopnosti</w:t>
            </w:r>
          </w:p>
          <w:p w:rsidR="005840C5" w:rsidRPr="00ED3950" w:rsidRDefault="00ED3950">
            <w:pPr>
              <w:spacing w:line="360" w:lineRule="auto"/>
              <w:ind w:left="0"/>
              <w:cnfStyle w:val="000000000000" w:firstRow="0" w:lastRow="0" w:firstColumn="0" w:lastColumn="0" w:oddVBand="0" w:evenVBand="0" w:oddHBand="0" w:evenHBand="0" w:firstRowFirstColumn="0" w:firstRowLastColumn="0" w:lastRowFirstColumn="0" w:lastRowLastColumn="0"/>
              <w:rPr>
                <w:color w:val="FF0000"/>
                <w:sz w:val="16"/>
                <w:szCs w:val="16"/>
                <w:lang w:val="cs-CZ"/>
              </w:rPr>
            </w:pPr>
            <w:r w:rsidRPr="00ED3950">
              <w:rPr>
                <w:sz w:val="16"/>
                <w:szCs w:val="16"/>
                <w:lang w:val="cs-CZ"/>
              </w:rPr>
              <w:t xml:space="preserve">B3 </w:t>
            </w:r>
            <w:r w:rsidR="00CB17B3" w:rsidRPr="00ED3950">
              <w:rPr>
                <w:sz w:val="16"/>
                <w:szCs w:val="16"/>
                <w:lang w:val="cs-CZ"/>
              </w:rPr>
              <w:t>Omezená meziresortní spolupráce</w:t>
            </w:r>
          </w:p>
        </w:tc>
        <w:tc>
          <w:tcPr>
            <w:tcW w:w="2723" w:type="dxa"/>
            <w:tcMar>
              <w:top w:w="28" w:type="dxa"/>
              <w:left w:w="28" w:type="dxa"/>
              <w:right w:w="28" w:type="dxa"/>
            </w:tcMar>
          </w:tcPr>
          <w:p w:rsidR="005840C5" w:rsidRPr="00ED3950" w:rsidRDefault="00ED3950">
            <w:pPr>
              <w:spacing w:line="360" w:lineRule="auto"/>
              <w:ind w:left="0"/>
              <w:cnfStyle w:val="000000000000" w:firstRow="0" w:lastRow="0" w:firstColumn="0" w:lastColumn="0" w:oddVBand="0" w:evenVBand="0" w:oddHBand="0" w:evenHBand="0" w:firstRowFirstColumn="0" w:firstRowLastColumn="0" w:lastRowFirstColumn="0" w:lastRowLastColumn="0"/>
              <w:rPr>
                <w:color w:val="FF0000"/>
                <w:sz w:val="16"/>
                <w:szCs w:val="16"/>
                <w:lang w:val="cs-CZ"/>
              </w:rPr>
            </w:pPr>
            <w:r w:rsidRPr="00ED3950">
              <w:rPr>
                <w:sz w:val="16"/>
                <w:szCs w:val="16"/>
                <w:lang w:val="cs-CZ"/>
              </w:rPr>
              <w:t>B4 Omezené na velké společnosti</w:t>
            </w:r>
          </w:p>
        </w:tc>
      </w:tr>
    </w:tbl>
    <w:p w:rsidR="00504895" w:rsidRPr="00ED3950" w:rsidRDefault="00504895" w:rsidP="00B62D69">
      <w:pPr>
        <w:rPr>
          <w:lang w:val="cs-CZ"/>
        </w:rPr>
      </w:pPr>
    </w:p>
    <w:p w:rsidR="005840C5" w:rsidRPr="00ED3950" w:rsidRDefault="00ED3950">
      <w:pPr>
        <w:jc w:val="both"/>
        <w:rPr>
          <w:rFonts w:eastAsia="Times New Roman"/>
          <w:b/>
          <w:color w:val="F04E30"/>
          <w:lang w:val="cs-CZ"/>
        </w:rPr>
      </w:pPr>
      <w:proofErr w:type="spellStart"/>
      <w:r w:rsidRPr="00ED3950">
        <w:rPr>
          <w:rFonts w:eastAsia="Times New Roman"/>
          <w:b/>
          <w:color w:val="F04E30"/>
          <w:lang w:val="cs-CZ"/>
        </w:rPr>
        <w:t>Replikovatelnost</w:t>
      </w:r>
      <w:proofErr w:type="spellEnd"/>
      <w:r w:rsidRPr="00ED3950">
        <w:rPr>
          <w:rFonts w:eastAsia="Times New Roman"/>
          <w:b/>
          <w:color w:val="F04E30"/>
          <w:lang w:val="cs-CZ"/>
        </w:rPr>
        <w:t xml:space="preserve"> </w:t>
      </w:r>
      <w:r w:rsidR="00CA7706" w:rsidRPr="00ED3950">
        <w:rPr>
          <w:rFonts w:eastAsia="Times New Roman"/>
          <w:b/>
          <w:color w:val="F04E30"/>
          <w:lang w:val="cs-CZ"/>
        </w:rPr>
        <w:t xml:space="preserve">aplikace </w:t>
      </w:r>
      <w:r w:rsidRPr="00ED3950">
        <w:rPr>
          <w:rFonts w:eastAsia="Times New Roman"/>
          <w:b/>
          <w:color w:val="F04E30"/>
          <w:lang w:val="cs-CZ"/>
        </w:rPr>
        <w:t xml:space="preserve">DNSH s granulovaným </w:t>
      </w:r>
      <w:r w:rsidR="00CA7706" w:rsidRPr="00ED3950">
        <w:rPr>
          <w:rFonts w:eastAsia="Times New Roman"/>
          <w:b/>
          <w:color w:val="F04E30"/>
          <w:lang w:val="cs-CZ"/>
        </w:rPr>
        <w:t xml:space="preserve">sektorovým </w:t>
      </w:r>
      <w:r w:rsidRPr="00ED3950">
        <w:rPr>
          <w:rFonts w:eastAsia="Times New Roman"/>
          <w:b/>
          <w:color w:val="F04E30"/>
          <w:lang w:val="cs-CZ"/>
        </w:rPr>
        <w:t xml:space="preserve">přístupem </w:t>
      </w:r>
      <w:r w:rsidR="00381C6B" w:rsidRPr="00ED3950">
        <w:rPr>
          <w:rFonts w:eastAsia="Times New Roman"/>
          <w:b/>
          <w:color w:val="F04E30"/>
          <w:lang w:val="cs-CZ"/>
        </w:rPr>
        <w:t>(</w:t>
      </w:r>
      <w:r w:rsidR="00CA7706" w:rsidRPr="00ED3950">
        <w:rPr>
          <w:rFonts w:eastAsia="Times New Roman"/>
          <w:b/>
          <w:color w:val="F04E30"/>
          <w:lang w:val="cs-CZ"/>
        </w:rPr>
        <w:t xml:space="preserve">na základě </w:t>
      </w:r>
      <w:r w:rsidRPr="00ED3950">
        <w:rPr>
          <w:rFonts w:eastAsia="Times New Roman"/>
          <w:b/>
          <w:color w:val="F04E30"/>
          <w:lang w:val="cs-CZ"/>
        </w:rPr>
        <w:t>slovenského modelu)</w:t>
      </w:r>
    </w:p>
    <w:p w:rsidR="005840C5" w:rsidRPr="00ED3950" w:rsidRDefault="00ED3950">
      <w:pPr>
        <w:rPr>
          <w:lang w:val="cs-CZ"/>
        </w:rPr>
      </w:pPr>
      <w:r w:rsidRPr="00ED3950">
        <w:rPr>
          <w:lang w:val="cs-CZ"/>
        </w:rPr>
        <w:t>Česko a Slovensko mají podobnou decentralizovanou vládní strukturu [E1], přičemž odpovědnost za provádění DNSH nesou jednotliví vlastníci programů, kteří odpovídají příslušným ministerstvům. Liší se však ve svých přístupech. Slovensko se rozhodlo pro decen</w:t>
      </w:r>
      <w:r w:rsidRPr="00ED3950">
        <w:rPr>
          <w:lang w:val="cs-CZ"/>
        </w:rPr>
        <w:t xml:space="preserve">tralizovaný proces DNSH, jehož výsledkem jsou </w:t>
      </w:r>
      <w:r w:rsidRPr="00ED3950">
        <w:rPr>
          <w:b/>
          <w:lang w:val="cs-CZ"/>
        </w:rPr>
        <w:t xml:space="preserve">sektorově specifické pokyny, </w:t>
      </w:r>
      <w:r w:rsidRPr="00ED3950">
        <w:rPr>
          <w:lang w:val="cs-CZ"/>
        </w:rPr>
        <w:t xml:space="preserve">zatímco Česko se zaměřilo na vypracování </w:t>
      </w:r>
      <w:r w:rsidRPr="00ED3950">
        <w:rPr>
          <w:b/>
          <w:lang w:val="cs-CZ"/>
        </w:rPr>
        <w:t xml:space="preserve">sektorově agnostických </w:t>
      </w:r>
      <w:r w:rsidR="00350610" w:rsidRPr="00ED3950">
        <w:rPr>
          <w:b/>
          <w:bCs/>
          <w:lang w:val="cs-CZ"/>
        </w:rPr>
        <w:t xml:space="preserve">rámcových </w:t>
      </w:r>
      <w:r w:rsidRPr="00ED3950">
        <w:rPr>
          <w:b/>
          <w:lang w:val="cs-CZ"/>
        </w:rPr>
        <w:t>pokynů</w:t>
      </w:r>
      <w:r w:rsidR="00D5588A" w:rsidRPr="00ED3950">
        <w:rPr>
          <w:lang w:val="cs-CZ"/>
        </w:rPr>
        <w:t xml:space="preserve">. </w:t>
      </w:r>
      <w:r w:rsidRPr="00ED3950">
        <w:rPr>
          <w:lang w:val="cs-CZ"/>
        </w:rPr>
        <w:t>Zatímco úplná decentralizace procesu DNSH může bránit standardizaci a vytvářet nejednotnost metodik</w:t>
      </w:r>
      <w:r w:rsidRPr="00ED3950">
        <w:rPr>
          <w:lang w:val="cs-CZ"/>
        </w:rPr>
        <w:t xml:space="preserve">, vypracování odvětvově specifických pokynů by mohlo ministerstvům pomoci efektivněji posuzovat projekty DNSH. To by mohlo být zvláště cenné pro investice do stavebního </w:t>
      </w:r>
      <w:r w:rsidR="00CA7706" w:rsidRPr="00ED3950">
        <w:rPr>
          <w:lang w:val="cs-CZ"/>
        </w:rPr>
        <w:t xml:space="preserve">sektoru, </w:t>
      </w:r>
      <w:r w:rsidRPr="00ED3950">
        <w:rPr>
          <w:lang w:val="cs-CZ"/>
        </w:rPr>
        <w:t xml:space="preserve">které </w:t>
      </w:r>
      <w:r w:rsidR="00CE1FA2" w:rsidRPr="00ED3950">
        <w:rPr>
          <w:lang w:val="cs-CZ"/>
        </w:rPr>
        <w:t xml:space="preserve">vyžadují </w:t>
      </w:r>
      <w:r w:rsidRPr="00ED3950">
        <w:rPr>
          <w:lang w:val="cs-CZ"/>
        </w:rPr>
        <w:t>koordinaci mezi více ministerstvy/odbory. Jedním z možných řeše</w:t>
      </w:r>
      <w:r w:rsidRPr="00ED3950">
        <w:rPr>
          <w:lang w:val="cs-CZ"/>
        </w:rPr>
        <w:t xml:space="preserve">ní těchto problémů by mohla být centralizace vývoje a řízení pokynů pro </w:t>
      </w:r>
      <w:r w:rsidR="001B7C3E" w:rsidRPr="00ED3950">
        <w:rPr>
          <w:lang w:val="cs-CZ"/>
        </w:rPr>
        <w:t xml:space="preserve">stavební sektor </w:t>
      </w:r>
      <w:r w:rsidRPr="00ED3950">
        <w:rPr>
          <w:lang w:val="cs-CZ"/>
        </w:rPr>
        <w:t>na ministerstvu životního prostředí, které již vypracovalo komplexní dokument popisující princip DNSH, proces aplikace CP a požadavky na financované sektory, včetně výs</w:t>
      </w:r>
      <w:r w:rsidRPr="00ED3950">
        <w:rPr>
          <w:lang w:val="cs-CZ"/>
        </w:rPr>
        <w:t xml:space="preserve">tavby/rekonstrukce budov. Pro zajištění úspěchu by bylo důležité sladit pokyny pro jednotlivá odvětví se stávajícími vnitrostátními pokyny pro jednotlivá odvětví, což by mohlo pomoci vyřešit obavy z nejednotnosti [B1]. </w:t>
      </w:r>
    </w:p>
    <w:p w:rsidR="00510677" w:rsidRPr="00ED3950" w:rsidRDefault="00510677" w:rsidP="00510677">
      <w:pPr>
        <w:rPr>
          <w:lang w:val="cs-CZ"/>
        </w:rPr>
      </w:pPr>
    </w:p>
    <w:p w:rsidR="005840C5" w:rsidRPr="00ED3950" w:rsidRDefault="00ED3950">
      <w:pPr>
        <w:jc w:val="both"/>
        <w:rPr>
          <w:rFonts w:eastAsia="Times New Roman"/>
          <w:b/>
          <w:color w:val="F04E30"/>
          <w:lang w:val="cs-CZ"/>
        </w:rPr>
      </w:pPr>
      <w:proofErr w:type="spellStart"/>
      <w:r w:rsidRPr="00ED3950">
        <w:rPr>
          <w:rFonts w:eastAsia="Times New Roman"/>
          <w:b/>
          <w:color w:val="F04E30"/>
          <w:lang w:val="cs-CZ"/>
        </w:rPr>
        <w:t>Replikovatelnost</w:t>
      </w:r>
      <w:proofErr w:type="spellEnd"/>
      <w:r w:rsidRPr="00ED3950">
        <w:rPr>
          <w:rFonts w:eastAsia="Times New Roman"/>
          <w:b/>
          <w:color w:val="F04E30"/>
          <w:lang w:val="cs-CZ"/>
        </w:rPr>
        <w:t xml:space="preserve"> </w:t>
      </w:r>
      <w:r w:rsidR="00381C6B" w:rsidRPr="00ED3950">
        <w:rPr>
          <w:rFonts w:eastAsia="Times New Roman"/>
          <w:b/>
          <w:color w:val="F04E30"/>
          <w:lang w:val="cs-CZ"/>
        </w:rPr>
        <w:t xml:space="preserve">zákona o přednostním pořadí pro povolování v oblasti životního prostředí </w:t>
      </w:r>
      <w:r w:rsidRPr="00ED3950">
        <w:rPr>
          <w:rFonts w:eastAsia="Times New Roman"/>
          <w:b/>
          <w:color w:val="F04E30"/>
          <w:lang w:val="cs-CZ"/>
        </w:rPr>
        <w:t>(</w:t>
      </w:r>
      <w:r w:rsidR="00400C54" w:rsidRPr="00ED3950">
        <w:rPr>
          <w:rFonts w:eastAsia="Times New Roman"/>
          <w:b/>
          <w:color w:val="F04E30"/>
          <w:lang w:val="cs-CZ"/>
        </w:rPr>
        <w:t xml:space="preserve">na základě </w:t>
      </w:r>
      <w:r w:rsidRPr="00ED3950">
        <w:rPr>
          <w:rFonts w:eastAsia="Times New Roman"/>
          <w:b/>
          <w:color w:val="F04E30"/>
          <w:lang w:val="cs-CZ"/>
        </w:rPr>
        <w:t>finského modelu)</w:t>
      </w:r>
    </w:p>
    <w:p w:rsidR="005840C5" w:rsidRPr="00ED3950" w:rsidRDefault="00ED3950">
      <w:pPr>
        <w:rPr>
          <w:lang w:val="cs-CZ"/>
        </w:rPr>
      </w:pPr>
      <w:r w:rsidRPr="00ED3950">
        <w:rPr>
          <w:lang w:val="cs-CZ"/>
        </w:rPr>
        <w:t xml:space="preserve">Je nepravděpodobné, že by vytvoření zákona o přednostním pořadí pro povolování v oblasti životního prostředí v Česku mohlo být v </w:t>
      </w:r>
      <w:r w:rsidRPr="00ED3950">
        <w:rPr>
          <w:lang w:val="cs-CZ"/>
        </w:rPr>
        <w:t xml:space="preserve">krátké době </w:t>
      </w:r>
      <w:r w:rsidRPr="00ED3950">
        <w:rPr>
          <w:lang w:val="cs-CZ"/>
        </w:rPr>
        <w:t>snadno zopakováno. Zaprvé neexi</w:t>
      </w:r>
      <w:r w:rsidRPr="00ED3950">
        <w:rPr>
          <w:lang w:val="cs-CZ"/>
        </w:rPr>
        <w:t xml:space="preserve">stuje žádný stávající legislativní rámec, který by takové opatření podporoval [E4], a zadruhé nemusí být snadné získat pro </w:t>
      </w:r>
      <w:r w:rsidR="00D826B4" w:rsidRPr="00ED3950">
        <w:rPr>
          <w:lang w:val="cs-CZ"/>
        </w:rPr>
        <w:t xml:space="preserve">takovou </w:t>
      </w:r>
      <w:r w:rsidRPr="00ED3950">
        <w:rPr>
          <w:lang w:val="cs-CZ"/>
        </w:rPr>
        <w:t xml:space="preserve">iniciativu politickou podporu [E5]. Zatímco technické možnosti by mohly být zlepšeny [E6] [B3], </w:t>
      </w:r>
      <w:r w:rsidR="00DC751A" w:rsidRPr="00ED3950">
        <w:rPr>
          <w:lang w:val="cs-CZ"/>
        </w:rPr>
        <w:t xml:space="preserve">neexistuje politický mandát k vytvoření </w:t>
      </w:r>
      <w:r w:rsidR="007D0426" w:rsidRPr="00ED3950">
        <w:rPr>
          <w:lang w:val="cs-CZ"/>
        </w:rPr>
        <w:t xml:space="preserve">meziresortní spolupráce </w:t>
      </w:r>
      <w:r w:rsidR="00CD3498" w:rsidRPr="00ED3950">
        <w:rPr>
          <w:lang w:val="cs-CZ"/>
        </w:rPr>
        <w:t xml:space="preserve">pro systém podobný </w:t>
      </w:r>
      <w:r w:rsidR="007D0426" w:rsidRPr="00ED3950">
        <w:rPr>
          <w:lang w:val="cs-CZ"/>
        </w:rPr>
        <w:t xml:space="preserve">zákonu o přednostním pořadí </w:t>
      </w:r>
      <w:r w:rsidRPr="00ED3950">
        <w:rPr>
          <w:lang w:val="cs-CZ"/>
        </w:rPr>
        <w:t xml:space="preserve">[B3], </w:t>
      </w:r>
      <w:r w:rsidR="007D0426" w:rsidRPr="00ED3950">
        <w:rPr>
          <w:lang w:val="cs-CZ"/>
        </w:rPr>
        <w:t xml:space="preserve">ačkoli by to bylo pro </w:t>
      </w:r>
      <w:r w:rsidRPr="00ED3950">
        <w:rPr>
          <w:lang w:val="cs-CZ"/>
        </w:rPr>
        <w:t>úspěšné zavedení takové metodiky klíčové</w:t>
      </w:r>
      <w:r w:rsidR="00F30A81" w:rsidRPr="00ED3950">
        <w:rPr>
          <w:lang w:val="cs-CZ"/>
        </w:rPr>
        <w:t>.</w:t>
      </w:r>
    </w:p>
    <w:p w:rsidR="00F30A81" w:rsidRPr="00ED3950" w:rsidRDefault="00F30A81" w:rsidP="00F30A81">
      <w:pPr>
        <w:jc w:val="both"/>
        <w:rPr>
          <w:lang w:val="cs-CZ"/>
        </w:rPr>
      </w:pPr>
    </w:p>
    <w:p w:rsidR="005840C5" w:rsidRPr="00ED3950" w:rsidRDefault="00ED3950">
      <w:pPr>
        <w:rPr>
          <w:lang w:val="cs-CZ"/>
        </w:rPr>
      </w:pPr>
      <w:proofErr w:type="spellStart"/>
      <w:r w:rsidRPr="00ED3950">
        <w:rPr>
          <w:lang w:val="cs-CZ"/>
        </w:rPr>
        <w:t>Replikovatelnost</w:t>
      </w:r>
      <w:proofErr w:type="spellEnd"/>
      <w:r w:rsidRPr="00ED3950">
        <w:rPr>
          <w:lang w:val="cs-CZ"/>
        </w:rPr>
        <w:t xml:space="preserve"> ilustrativního příkladu je uvedena v dokumentu </w:t>
      </w:r>
      <w:r w:rsidR="009C7C0A" w:rsidRPr="00ED3950">
        <w:rPr>
          <w:lang w:val="cs-CZ"/>
        </w:rPr>
        <w:fldChar w:fldCharType="begin"/>
      </w:r>
      <w:r w:rsidR="009C7C0A" w:rsidRPr="00ED3950">
        <w:rPr>
          <w:lang w:val="cs-CZ"/>
        </w:rPr>
        <w:instrText xml:space="preserve"> REF _Ref128125652 \h </w:instrText>
      </w:r>
      <w:r w:rsidR="00DC0E10" w:rsidRPr="00ED3950">
        <w:rPr>
          <w:lang w:val="cs-CZ"/>
        </w:rPr>
        <w:instrText xml:space="preserve"> \* MERGEFORMAT </w:instrText>
      </w:r>
      <w:r w:rsidR="009C7C0A" w:rsidRPr="00ED3950">
        <w:rPr>
          <w:lang w:val="cs-CZ"/>
        </w:rPr>
      </w:r>
      <w:r w:rsidR="009C7C0A" w:rsidRPr="00ED3950">
        <w:rPr>
          <w:lang w:val="cs-CZ"/>
        </w:rPr>
        <w:fldChar w:fldCharType="separate"/>
      </w:r>
      <w:r w:rsidR="00DC0E10" w:rsidRPr="00ED3950">
        <w:rPr>
          <w:lang w:val="cs-CZ"/>
        </w:rPr>
        <w:t>Rámeček 4</w:t>
      </w:r>
      <w:r w:rsidR="009C7C0A" w:rsidRPr="00ED3950">
        <w:rPr>
          <w:lang w:val="cs-CZ"/>
        </w:rPr>
        <w:fldChar w:fldCharType="end"/>
      </w:r>
      <w:r w:rsidRPr="00ED3950">
        <w:rPr>
          <w:lang w:val="cs-CZ"/>
        </w:rPr>
        <w:t>.</w:t>
      </w:r>
    </w:p>
    <w:p w:rsidR="00BC7124" w:rsidRPr="00ED3950" w:rsidRDefault="00BC7124" w:rsidP="00BC7124">
      <w:pPr>
        <w:rPr>
          <w:lang w:val="cs-CZ"/>
        </w:rPr>
      </w:pPr>
    </w:p>
    <w:p w:rsidR="005840C5" w:rsidRPr="00ED3950" w:rsidRDefault="00ED3950">
      <w:pPr>
        <w:pStyle w:val="Titulek"/>
        <w:keepNext/>
        <w:rPr>
          <w:lang w:val="cs-CZ"/>
        </w:rPr>
      </w:pPr>
      <w:bookmarkStart w:id="30" w:name="_Ref128125652"/>
      <w:r w:rsidRPr="00ED3950">
        <w:rPr>
          <w:lang w:val="cs-CZ"/>
        </w:rPr>
        <w:t xml:space="preserve">Box </w:t>
      </w:r>
      <w:r w:rsidR="0094316D" w:rsidRPr="00ED3950">
        <w:rPr>
          <w:lang w:val="cs-CZ"/>
        </w:rPr>
        <w:fldChar w:fldCharType="begin"/>
      </w:r>
      <w:r w:rsidR="0094316D" w:rsidRPr="00ED3950">
        <w:rPr>
          <w:lang w:val="cs-CZ"/>
        </w:rPr>
        <w:instrText xml:space="preserve"> SEQ Box \* ARABIC </w:instrText>
      </w:r>
      <w:r w:rsidR="0094316D" w:rsidRPr="00ED3950">
        <w:rPr>
          <w:lang w:val="cs-CZ"/>
        </w:rPr>
        <w:fldChar w:fldCharType="separate"/>
      </w:r>
      <w:r w:rsidR="00DC0E10" w:rsidRPr="00ED3950">
        <w:rPr>
          <w:lang w:val="cs-CZ"/>
        </w:rPr>
        <w:t>4</w:t>
      </w:r>
      <w:r w:rsidR="0094316D" w:rsidRPr="00ED3950">
        <w:rPr>
          <w:lang w:val="cs-CZ"/>
        </w:rPr>
        <w:fldChar w:fldCharType="end"/>
      </w:r>
      <w:bookmarkEnd w:id="30"/>
      <w:r w:rsidRPr="00ED3950">
        <w:rPr>
          <w:lang w:val="cs-CZ"/>
        </w:rPr>
        <w:t xml:space="preserve"> </w:t>
      </w:r>
      <w:proofErr w:type="spellStart"/>
      <w:r w:rsidRPr="00ED3950">
        <w:rPr>
          <w:lang w:val="cs-CZ"/>
        </w:rPr>
        <w:t>Replikovatelnost</w:t>
      </w:r>
      <w:proofErr w:type="spellEnd"/>
      <w:r w:rsidRPr="00ED3950">
        <w:rPr>
          <w:lang w:val="cs-CZ"/>
        </w:rPr>
        <w:t xml:space="preserve"> ilustrativní </w:t>
      </w:r>
      <w:r w:rsidR="00B0528D" w:rsidRPr="00ED3950">
        <w:rPr>
          <w:lang w:val="cs-CZ"/>
        </w:rPr>
        <w:t xml:space="preserve">prováděcí </w:t>
      </w:r>
      <w:r w:rsidR="00DC0E10" w:rsidRPr="00ED3950">
        <w:rPr>
          <w:lang w:val="cs-CZ"/>
        </w:rPr>
        <w:t>praxe</w:t>
      </w:r>
    </w:p>
    <w:tbl>
      <w:tblPr>
        <w:tblStyle w:val="Table1"/>
        <w:tblW w:w="5000" w:type="pct"/>
        <w:shd w:val="clear" w:color="auto" w:fill="E0EBEB" w:themeFill="accent3" w:themeFillTint="66"/>
        <w:tblLook w:val="04A0" w:firstRow="1" w:lastRow="0" w:firstColumn="1" w:lastColumn="0" w:noHBand="0" w:noVBand="1"/>
      </w:tblPr>
      <w:tblGrid>
        <w:gridCol w:w="9016"/>
      </w:tblGrid>
      <w:tr w:rsidR="00BC7124" w:rsidRPr="00ED39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E0EBEB" w:themeFill="accent3" w:themeFillTint="66"/>
          </w:tcPr>
          <w:p w:rsidR="005840C5" w:rsidRPr="00ED3950" w:rsidRDefault="00ED3950">
            <w:pPr>
              <w:ind w:left="0"/>
              <w:rPr>
                <w:rFonts w:eastAsia="Times New Roman"/>
                <w:bCs/>
                <w:color w:val="F04E30"/>
                <w:lang w:val="cs-CZ"/>
              </w:rPr>
            </w:pPr>
            <w:proofErr w:type="spellStart"/>
            <w:r w:rsidRPr="00ED3950">
              <w:rPr>
                <w:rFonts w:eastAsia="Times New Roman"/>
                <w:bCs/>
                <w:color w:val="005962" w:themeColor="accent1"/>
                <w:lang w:val="cs-CZ"/>
              </w:rPr>
              <w:t>Replikovatelnost</w:t>
            </w:r>
            <w:proofErr w:type="spellEnd"/>
            <w:r w:rsidRPr="00ED3950">
              <w:rPr>
                <w:rFonts w:eastAsia="Times New Roman"/>
                <w:bCs/>
                <w:color w:val="005962" w:themeColor="accent1"/>
                <w:lang w:val="cs-CZ"/>
              </w:rPr>
              <w:t xml:space="preserve"> přenesení odpovědnosti za předběžné posouzení na větší podniky (podle španělského mode</w:t>
            </w:r>
            <w:r w:rsidRPr="00ED3950">
              <w:rPr>
                <w:rFonts w:eastAsia="Times New Roman"/>
                <w:bCs/>
                <w:color w:val="005962" w:themeColor="accent1"/>
                <w:lang w:val="cs-CZ"/>
              </w:rPr>
              <w:t>lu).</w:t>
            </w:r>
          </w:p>
          <w:p w:rsidR="005840C5" w:rsidRPr="00ED3950" w:rsidRDefault="00ED3950">
            <w:pPr>
              <w:ind w:left="0"/>
              <w:jc w:val="left"/>
              <w:rPr>
                <w:b w:val="0"/>
                <w:bCs/>
                <w:color w:val="000000" w:themeColor="text1"/>
                <w:sz w:val="16"/>
                <w:szCs w:val="16"/>
                <w:lang w:val="cs-CZ"/>
              </w:rPr>
            </w:pPr>
            <w:r w:rsidRPr="00ED3950">
              <w:rPr>
                <w:b w:val="0"/>
                <w:bCs/>
                <w:color w:val="auto"/>
                <w:lang w:val="cs-CZ"/>
              </w:rPr>
              <w:t>Česko by mohlo využít přístupu Španělska</w:t>
            </w:r>
            <w:r w:rsidR="00971D32" w:rsidRPr="00ED3950">
              <w:rPr>
                <w:b w:val="0"/>
                <w:bCs/>
                <w:color w:val="auto"/>
                <w:lang w:val="cs-CZ"/>
              </w:rPr>
              <w:t xml:space="preserve">, </w:t>
            </w:r>
            <w:r w:rsidRPr="00ED3950">
              <w:rPr>
                <w:b w:val="0"/>
                <w:bCs/>
                <w:color w:val="auto"/>
                <w:lang w:val="cs-CZ"/>
              </w:rPr>
              <w:t>protože doplňuje zavedené metodiky a lze jej poměrně snadno začlenit do vnitrostátních směrnic a ministerských postupů. Zavedení tohoto přístupu by mohlo zmírnit administrativní zátěž pro divizi DNSH a jednotlivá ministerstva, zejména u větších projektů [B</w:t>
            </w:r>
            <w:r w:rsidRPr="00ED3950">
              <w:rPr>
                <w:b w:val="0"/>
                <w:bCs/>
                <w:color w:val="auto"/>
                <w:lang w:val="cs-CZ"/>
              </w:rPr>
              <w:t>4]. Pro zavedení tohoto přístupu je důležité stanovit konkrétní kritéria, kdy může společnost převzít odpovědnost za předběžné posouzení DNSH [E7]. Tato kritéria by měla být realizovatelná a zřejmá z rozhodovacího stromu DNSH. Jednou z výzev pro zavedení t</w:t>
            </w:r>
            <w:r w:rsidRPr="00ED3950">
              <w:rPr>
                <w:b w:val="0"/>
                <w:bCs/>
                <w:color w:val="auto"/>
                <w:lang w:val="cs-CZ"/>
              </w:rPr>
              <w:t xml:space="preserve">ohoto postupu by však mohl být výběr a akreditace ověřovatelů </w:t>
            </w:r>
            <w:r w:rsidRPr="00ED3950">
              <w:rPr>
                <w:b w:val="0"/>
                <w:bCs/>
                <w:color w:val="auto"/>
                <w:lang w:val="cs-CZ"/>
              </w:rPr>
              <w:lastRenderedPageBreak/>
              <w:t>- třetích stran [E8]. Pokud je tento proces časově náročný, lze proces ověřování přenést na ministerstvo, aby se zajistilo, že proces ověřování bude dodržovat stejné standardy jako ostatní proje</w:t>
            </w:r>
            <w:r w:rsidRPr="00ED3950">
              <w:rPr>
                <w:b w:val="0"/>
                <w:bCs/>
                <w:color w:val="auto"/>
                <w:lang w:val="cs-CZ"/>
              </w:rPr>
              <w:t>kty.</w:t>
            </w:r>
          </w:p>
        </w:tc>
      </w:tr>
    </w:tbl>
    <w:p w:rsidR="00F30A81" w:rsidRPr="00ED3950" w:rsidRDefault="00F30A81" w:rsidP="004E7DBF">
      <w:pPr>
        <w:rPr>
          <w:lang w:val="cs-CZ"/>
        </w:rPr>
      </w:pPr>
    </w:p>
    <w:p w:rsidR="005840C5" w:rsidRPr="00ED3950" w:rsidRDefault="00ED3950">
      <w:pPr>
        <w:pStyle w:val="Nadpis2"/>
        <w:rPr>
          <w:lang w:val="cs-CZ"/>
        </w:rPr>
      </w:pPr>
      <w:bookmarkStart w:id="31" w:name="_Ref130907373"/>
      <w:bookmarkStart w:id="32" w:name="_Toc131775840"/>
      <w:r w:rsidRPr="00ED3950">
        <w:rPr>
          <w:lang w:val="cs-CZ"/>
        </w:rPr>
        <w:t xml:space="preserve">Uplatnění principu DNSH </w:t>
      </w:r>
      <w:r w:rsidR="00F634BC" w:rsidRPr="00ED3950">
        <w:rPr>
          <w:lang w:val="cs-CZ"/>
        </w:rPr>
        <w:t xml:space="preserve">na </w:t>
      </w:r>
      <w:r w:rsidR="0090451F" w:rsidRPr="00ED3950">
        <w:rPr>
          <w:lang w:val="cs-CZ"/>
        </w:rPr>
        <w:t xml:space="preserve">projekty výzkumu a vývoje a </w:t>
      </w:r>
      <w:r w:rsidR="00F634BC" w:rsidRPr="00ED3950">
        <w:rPr>
          <w:lang w:val="cs-CZ"/>
        </w:rPr>
        <w:t xml:space="preserve">zelené </w:t>
      </w:r>
      <w:r w:rsidR="0090451F" w:rsidRPr="00ED3950">
        <w:rPr>
          <w:lang w:val="cs-CZ"/>
        </w:rPr>
        <w:t>inovace</w:t>
      </w:r>
      <w:bookmarkEnd w:id="31"/>
      <w:bookmarkEnd w:id="32"/>
    </w:p>
    <w:p w:rsidR="005840C5" w:rsidRPr="00ED3950" w:rsidRDefault="00ED3950">
      <w:pPr>
        <w:pStyle w:val="Nadpis3"/>
        <w:tabs>
          <w:tab w:val="clear" w:pos="851"/>
          <w:tab w:val="left" w:pos="567"/>
        </w:tabs>
        <w:ind w:left="567" w:hanging="567"/>
        <w:rPr>
          <w:lang w:val="cs-CZ"/>
        </w:rPr>
      </w:pPr>
      <w:bookmarkStart w:id="33" w:name="_Toc131775841"/>
      <w:r w:rsidRPr="00ED3950">
        <w:rPr>
          <w:lang w:val="cs-CZ"/>
        </w:rPr>
        <w:t xml:space="preserve">Kontext </w:t>
      </w:r>
      <w:r w:rsidR="00373CAC" w:rsidRPr="00ED3950">
        <w:rPr>
          <w:lang w:val="cs-CZ"/>
        </w:rPr>
        <w:t>výzvy</w:t>
      </w:r>
      <w:bookmarkEnd w:id="33"/>
    </w:p>
    <w:p w:rsidR="005840C5" w:rsidRPr="00ED3950" w:rsidRDefault="00ED3950">
      <w:pPr>
        <w:rPr>
          <w:lang w:val="cs-CZ"/>
        </w:rPr>
      </w:pPr>
      <w:r w:rsidRPr="00ED3950">
        <w:rPr>
          <w:lang w:val="cs-CZ"/>
        </w:rPr>
        <w:t xml:space="preserve">Bylo zjištěno, že posuzování DNSH v projektech </w:t>
      </w:r>
      <w:r w:rsidR="0050389B" w:rsidRPr="00ED3950">
        <w:rPr>
          <w:lang w:val="cs-CZ"/>
        </w:rPr>
        <w:t xml:space="preserve">výzkumu a vývoje a zelených </w:t>
      </w:r>
      <w:r w:rsidR="003B0788" w:rsidRPr="00ED3950">
        <w:rPr>
          <w:lang w:val="cs-CZ"/>
        </w:rPr>
        <w:t xml:space="preserve">inovací je pro </w:t>
      </w:r>
      <w:r w:rsidRPr="00ED3950">
        <w:rPr>
          <w:lang w:val="cs-CZ"/>
        </w:rPr>
        <w:t xml:space="preserve">české orgány obzvláště náročným úkolem vzhledem k tomu, že u mnoha iniciativ je nepravděpodobné, že by měly zásadní nepříznivé dopady na životní prostředí vzhledem k povaze </w:t>
      </w:r>
      <w:r w:rsidR="005D2759" w:rsidRPr="00ED3950">
        <w:rPr>
          <w:lang w:val="cs-CZ"/>
        </w:rPr>
        <w:t xml:space="preserve">činnosti nebo projektu </w:t>
      </w:r>
      <w:r w:rsidRPr="00ED3950">
        <w:rPr>
          <w:lang w:val="cs-CZ"/>
        </w:rPr>
        <w:t xml:space="preserve">(např. </w:t>
      </w:r>
      <w:r w:rsidR="005D2759" w:rsidRPr="00ED3950">
        <w:rPr>
          <w:lang w:val="cs-CZ"/>
        </w:rPr>
        <w:t>výzkum a vývoj</w:t>
      </w:r>
      <w:r w:rsidRPr="00ED3950">
        <w:rPr>
          <w:lang w:val="cs-CZ"/>
        </w:rPr>
        <w:t>)</w:t>
      </w:r>
      <w:r w:rsidR="00400C54" w:rsidRPr="00ED3950">
        <w:rPr>
          <w:lang w:val="cs-CZ"/>
        </w:rPr>
        <w:t xml:space="preserve">, </w:t>
      </w:r>
      <w:r w:rsidRPr="00ED3950">
        <w:rPr>
          <w:lang w:val="cs-CZ"/>
        </w:rPr>
        <w:t xml:space="preserve">nebo že jejich </w:t>
      </w:r>
      <w:r w:rsidR="005224DA" w:rsidRPr="00ED3950">
        <w:rPr>
          <w:lang w:val="cs-CZ"/>
        </w:rPr>
        <w:t xml:space="preserve">potenciální dopady na životní prostředí </w:t>
      </w:r>
      <w:r w:rsidRPr="00ED3950">
        <w:rPr>
          <w:lang w:val="cs-CZ"/>
        </w:rPr>
        <w:t xml:space="preserve">nejsou v </w:t>
      </w:r>
      <w:r w:rsidR="00B26D8E" w:rsidRPr="00ED3950">
        <w:rPr>
          <w:lang w:val="cs-CZ"/>
        </w:rPr>
        <w:t>okamžiku</w:t>
      </w:r>
      <w:r w:rsidRPr="00ED3950">
        <w:rPr>
          <w:lang w:val="cs-CZ"/>
        </w:rPr>
        <w:t xml:space="preserve"> posuzování známy (např. </w:t>
      </w:r>
      <w:r w:rsidR="0090451F" w:rsidRPr="00ED3950">
        <w:rPr>
          <w:lang w:val="cs-CZ"/>
        </w:rPr>
        <w:t xml:space="preserve">zelené </w:t>
      </w:r>
      <w:r w:rsidRPr="00ED3950">
        <w:rPr>
          <w:lang w:val="cs-CZ"/>
        </w:rPr>
        <w:t xml:space="preserve">inovace, pilotní projekty). </w:t>
      </w:r>
      <w:r w:rsidR="00101A85" w:rsidRPr="00ED3950">
        <w:rPr>
          <w:lang w:val="cs-CZ"/>
        </w:rPr>
        <w:t xml:space="preserve">Cílem </w:t>
      </w:r>
      <w:r w:rsidR="006F3CBA" w:rsidRPr="00ED3950">
        <w:rPr>
          <w:lang w:val="cs-CZ"/>
        </w:rPr>
        <w:t xml:space="preserve">třetího a závěrečného </w:t>
      </w:r>
      <w:proofErr w:type="spellStart"/>
      <w:r w:rsidRPr="00ED3950">
        <w:rPr>
          <w:lang w:val="cs-CZ"/>
        </w:rPr>
        <w:t>webináře</w:t>
      </w:r>
      <w:proofErr w:type="spellEnd"/>
      <w:r w:rsidRPr="00ED3950">
        <w:rPr>
          <w:lang w:val="cs-CZ"/>
        </w:rPr>
        <w:t xml:space="preserve"> </w:t>
      </w:r>
      <w:r w:rsidR="00101A85" w:rsidRPr="00ED3950">
        <w:rPr>
          <w:lang w:val="cs-CZ"/>
        </w:rPr>
        <w:t xml:space="preserve">bylo jako řešení sdílet </w:t>
      </w:r>
      <w:r w:rsidRPr="00ED3950">
        <w:rPr>
          <w:lang w:val="cs-CZ"/>
        </w:rPr>
        <w:t xml:space="preserve">zkušenosti a přístupy </w:t>
      </w:r>
      <w:r w:rsidR="006F3CBA" w:rsidRPr="00ED3950">
        <w:rPr>
          <w:lang w:val="cs-CZ"/>
        </w:rPr>
        <w:t xml:space="preserve">členských států </w:t>
      </w:r>
      <w:r w:rsidR="00971D32" w:rsidRPr="00ED3950">
        <w:rPr>
          <w:lang w:val="cs-CZ"/>
        </w:rPr>
        <w:t xml:space="preserve">v </w:t>
      </w:r>
      <w:r w:rsidRPr="00ED3950">
        <w:rPr>
          <w:lang w:val="cs-CZ"/>
        </w:rPr>
        <w:t xml:space="preserve">této </w:t>
      </w:r>
      <w:r w:rsidR="00101A85" w:rsidRPr="00ED3950">
        <w:rPr>
          <w:lang w:val="cs-CZ"/>
        </w:rPr>
        <w:t xml:space="preserve">věci a projednat možná řešení </w:t>
      </w:r>
      <w:r w:rsidRPr="00ED3950">
        <w:rPr>
          <w:lang w:val="cs-CZ"/>
        </w:rPr>
        <w:t xml:space="preserve">následujících </w:t>
      </w:r>
      <w:r w:rsidR="00101A85" w:rsidRPr="00ED3950">
        <w:rPr>
          <w:lang w:val="cs-CZ"/>
        </w:rPr>
        <w:t>konkrétních problémů</w:t>
      </w:r>
      <w:r w:rsidRPr="00ED3950">
        <w:rPr>
          <w:lang w:val="cs-CZ"/>
        </w:rPr>
        <w:t>:</w:t>
      </w:r>
    </w:p>
    <w:p w:rsidR="005840C5" w:rsidRPr="00ED3950" w:rsidRDefault="00ED3950">
      <w:pPr>
        <w:pStyle w:val="Bulletpoint"/>
        <w:numPr>
          <w:ilvl w:val="0"/>
          <w:numId w:val="48"/>
        </w:numPr>
        <w:tabs>
          <w:tab w:val="left" w:pos="360"/>
        </w:tabs>
        <w:suppressAutoHyphens/>
        <w:autoSpaceDN w:val="0"/>
        <w:ind w:left="851" w:hanging="284"/>
        <w:rPr>
          <w:lang w:val="cs-CZ"/>
        </w:rPr>
      </w:pPr>
      <w:r w:rsidRPr="00ED3950">
        <w:rPr>
          <w:b/>
          <w:bCs/>
          <w:lang w:val="cs-CZ"/>
        </w:rPr>
        <w:t xml:space="preserve">Vypracování alternativních kritérií </w:t>
      </w:r>
      <w:r w:rsidRPr="00ED3950">
        <w:rPr>
          <w:lang w:val="cs-CZ"/>
        </w:rPr>
        <w:t xml:space="preserve">pro </w:t>
      </w:r>
      <w:r w:rsidRPr="00ED3950">
        <w:rPr>
          <w:lang w:val="cs-CZ"/>
        </w:rPr>
        <w:t xml:space="preserve">hodnocení projektů, které nejsou zahrnuty ve </w:t>
      </w:r>
      <w:r w:rsidR="002E1941" w:rsidRPr="00ED3950">
        <w:rPr>
          <w:lang w:val="cs-CZ"/>
        </w:rPr>
        <w:t xml:space="preserve">stávajících </w:t>
      </w:r>
      <w:r w:rsidRPr="00ED3950">
        <w:rPr>
          <w:lang w:val="cs-CZ"/>
        </w:rPr>
        <w:t xml:space="preserve">pokynech DNSH a/nebo v </w:t>
      </w:r>
      <w:r w:rsidR="00E51BF2" w:rsidRPr="00ED3950">
        <w:rPr>
          <w:lang w:val="cs-CZ"/>
        </w:rPr>
        <w:t xml:space="preserve">aktech </w:t>
      </w:r>
      <w:r w:rsidRPr="00ED3950">
        <w:rPr>
          <w:lang w:val="cs-CZ"/>
        </w:rPr>
        <w:t xml:space="preserve">EU v přenesené pravomoci </w:t>
      </w:r>
      <w:r w:rsidR="00E51BF2" w:rsidRPr="00ED3950">
        <w:rPr>
          <w:lang w:val="cs-CZ"/>
        </w:rPr>
        <w:t xml:space="preserve">týkajících se </w:t>
      </w:r>
      <w:r w:rsidRPr="00ED3950">
        <w:rPr>
          <w:lang w:val="cs-CZ"/>
        </w:rPr>
        <w:t>taxonomie;</w:t>
      </w:r>
    </w:p>
    <w:p w:rsidR="005840C5" w:rsidRPr="00ED3950" w:rsidRDefault="00ED3950">
      <w:pPr>
        <w:pStyle w:val="Bulletpoint"/>
        <w:numPr>
          <w:ilvl w:val="0"/>
          <w:numId w:val="48"/>
        </w:numPr>
        <w:tabs>
          <w:tab w:val="left" w:pos="360"/>
        </w:tabs>
        <w:suppressAutoHyphens/>
        <w:autoSpaceDN w:val="0"/>
        <w:ind w:left="851" w:hanging="284"/>
        <w:rPr>
          <w:b/>
          <w:bCs/>
          <w:lang w:val="cs-CZ"/>
        </w:rPr>
      </w:pPr>
      <w:r w:rsidRPr="00ED3950">
        <w:rPr>
          <w:b/>
          <w:bCs/>
          <w:lang w:val="cs-CZ"/>
        </w:rPr>
        <w:t xml:space="preserve">Nalezení rovnováhy mezi standardizací </w:t>
      </w:r>
      <w:r w:rsidRPr="00ED3950">
        <w:rPr>
          <w:b/>
          <w:bCs/>
          <w:lang w:val="cs-CZ"/>
        </w:rPr>
        <w:t>a zohledněním specifik projek</w:t>
      </w:r>
      <w:r w:rsidRPr="00ED3950">
        <w:rPr>
          <w:b/>
          <w:bCs/>
          <w:lang w:val="cs-CZ"/>
        </w:rPr>
        <w:t>tů;</w:t>
      </w:r>
    </w:p>
    <w:p w:rsidR="005840C5" w:rsidRPr="00ED3950" w:rsidRDefault="00ED3950">
      <w:pPr>
        <w:pStyle w:val="Bulletpoint"/>
        <w:numPr>
          <w:ilvl w:val="0"/>
          <w:numId w:val="48"/>
        </w:numPr>
        <w:tabs>
          <w:tab w:val="left" w:pos="360"/>
        </w:tabs>
        <w:suppressAutoHyphens/>
        <w:autoSpaceDN w:val="0"/>
        <w:ind w:left="851" w:hanging="284"/>
        <w:rPr>
          <w:lang w:val="cs-CZ"/>
        </w:rPr>
      </w:pPr>
      <w:r w:rsidRPr="00ED3950">
        <w:rPr>
          <w:b/>
          <w:bCs/>
          <w:lang w:val="cs-CZ"/>
        </w:rPr>
        <w:t xml:space="preserve">Vypracování dalších politik a metodik pro klasifikaci a měření investic do inovativních zelených technologií. </w:t>
      </w:r>
    </w:p>
    <w:p w:rsidR="004E7DBF" w:rsidRPr="00ED3950" w:rsidRDefault="004E7DBF" w:rsidP="00EA2D8D">
      <w:pPr>
        <w:pStyle w:val="Bulletpoint"/>
        <w:numPr>
          <w:ilvl w:val="0"/>
          <w:numId w:val="0"/>
        </w:numPr>
        <w:tabs>
          <w:tab w:val="left" w:pos="360"/>
        </w:tabs>
        <w:suppressAutoHyphens/>
        <w:autoSpaceDN w:val="0"/>
        <w:ind w:left="567"/>
        <w:rPr>
          <w:lang w:val="cs-CZ"/>
        </w:rPr>
      </w:pPr>
    </w:p>
    <w:p w:rsidR="005840C5" w:rsidRPr="00ED3950" w:rsidRDefault="00ED3950">
      <w:pPr>
        <w:pStyle w:val="Bulletpoint"/>
        <w:numPr>
          <w:ilvl w:val="0"/>
          <w:numId w:val="0"/>
        </w:numPr>
        <w:tabs>
          <w:tab w:val="left" w:pos="360"/>
        </w:tabs>
        <w:suppressAutoHyphens/>
        <w:autoSpaceDN w:val="0"/>
        <w:ind w:left="567"/>
        <w:rPr>
          <w:lang w:val="cs-CZ"/>
        </w:rPr>
      </w:pPr>
      <w:proofErr w:type="spellStart"/>
      <w:r w:rsidRPr="00ED3950">
        <w:rPr>
          <w:lang w:val="cs-CZ"/>
        </w:rPr>
        <w:t>Webinář</w:t>
      </w:r>
      <w:proofErr w:type="spellEnd"/>
      <w:r w:rsidRPr="00ED3950">
        <w:rPr>
          <w:lang w:val="cs-CZ"/>
        </w:rPr>
        <w:t xml:space="preserve"> se zaměřil na zelené rozpočtování jako metodiku, která může potenciálně pomoci při posuzování projektů DNSH, u nichž chybí technické</w:t>
      </w:r>
      <w:r w:rsidRPr="00ED3950">
        <w:rPr>
          <w:lang w:val="cs-CZ"/>
        </w:rPr>
        <w:t xml:space="preserve"> pokyny nebo kritéria pro výběr.</w:t>
      </w:r>
    </w:p>
    <w:p w:rsidR="002F28AD" w:rsidRPr="00ED3950" w:rsidRDefault="002F28AD" w:rsidP="00F72FF0">
      <w:pPr>
        <w:rPr>
          <w:lang w:val="cs-CZ"/>
        </w:rPr>
      </w:pPr>
    </w:p>
    <w:p w:rsidR="005840C5" w:rsidRPr="00ED3950" w:rsidRDefault="00ED3950">
      <w:pPr>
        <w:pStyle w:val="Nadpis3"/>
        <w:tabs>
          <w:tab w:val="clear" w:pos="851"/>
          <w:tab w:val="left" w:pos="567"/>
        </w:tabs>
        <w:ind w:left="567" w:hanging="567"/>
        <w:rPr>
          <w:lang w:val="cs-CZ"/>
        </w:rPr>
      </w:pPr>
      <w:bookmarkStart w:id="34" w:name="_Toc131775842"/>
      <w:r w:rsidRPr="00ED3950">
        <w:rPr>
          <w:lang w:val="cs-CZ"/>
        </w:rPr>
        <w:t>Představení konkrétních případů</w:t>
      </w:r>
      <w:bookmarkEnd w:id="34"/>
    </w:p>
    <w:p w:rsidR="005840C5" w:rsidRPr="00ED3950" w:rsidRDefault="00ED3950">
      <w:pPr>
        <w:rPr>
          <w:lang w:val="cs-CZ"/>
        </w:rPr>
      </w:pPr>
      <w:r w:rsidRPr="00ED3950">
        <w:rPr>
          <w:lang w:val="cs-CZ"/>
        </w:rPr>
        <w:t xml:space="preserve">V rámci </w:t>
      </w:r>
      <w:proofErr w:type="spellStart"/>
      <w:r w:rsidRPr="00ED3950">
        <w:rPr>
          <w:lang w:val="cs-CZ"/>
        </w:rPr>
        <w:t>webináře</w:t>
      </w:r>
      <w:proofErr w:type="spellEnd"/>
      <w:r w:rsidRPr="00ED3950">
        <w:rPr>
          <w:lang w:val="cs-CZ"/>
        </w:rPr>
        <w:t xml:space="preserve"> </w:t>
      </w:r>
      <w:r w:rsidR="002F2A7F" w:rsidRPr="00ED3950">
        <w:rPr>
          <w:lang w:val="cs-CZ"/>
        </w:rPr>
        <w:t xml:space="preserve">byly </w:t>
      </w:r>
      <w:r w:rsidR="002F2A7F" w:rsidRPr="00ED3950">
        <w:rPr>
          <w:b/>
          <w:lang w:val="cs-CZ"/>
        </w:rPr>
        <w:t xml:space="preserve">Finsko </w:t>
      </w:r>
      <w:r w:rsidR="002F2A7F" w:rsidRPr="00ED3950">
        <w:rPr>
          <w:lang w:val="cs-CZ"/>
        </w:rPr>
        <w:t xml:space="preserve">a </w:t>
      </w:r>
      <w:r w:rsidR="002F2A7F" w:rsidRPr="00ED3950">
        <w:rPr>
          <w:b/>
          <w:lang w:val="cs-CZ"/>
        </w:rPr>
        <w:t xml:space="preserve">Rakousko </w:t>
      </w:r>
      <w:r w:rsidR="002F2A7F" w:rsidRPr="00ED3950">
        <w:rPr>
          <w:lang w:val="cs-CZ"/>
        </w:rPr>
        <w:t xml:space="preserve">vyzvány, aby </w:t>
      </w:r>
      <w:r w:rsidRPr="00ED3950">
        <w:rPr>
          <w:lang w:val="cs-CZ"/>
        </w:rPr>
        <w:t xml:space="preserve">se podělily o </w:t>
      </w:r>
      <w:r w:rsidR="002F2A7F" w:rsidRPr="00ED3950">
        <w:rPr>
          <w:lang w:val="cs-CZ"/>
        </w:rPr>
        <w:t xml:space="preserve">příslušné </w:t>
      </w:r>
      <w:r w:rsidR="00780E6E" w:rsidRPr="00ED3950">
        <w:rPr>
          <w:lang w:val="cs-CZ"/>
        </w:rPr>
        <w:t xml:space="preserve">metodiky </w:t>
      </w:r>
      <w:r w:rsidR="00F72FF0" w:rsidRPr="00ED3950">
        <w:rPr>
          <w:lang w:val="cs-CZ"/>
        </w:rPr>
        <w:t xml:space="preserve">a alternativní přístupy, </w:t>
      </w:r>
      <w:r w:rsidR="00780E6E" w:rsidRPr="00ED3950">
        <w:rPr>
          <w:lang w:val="cs-CZ"/>
        </w:rPr>
        <w:t xml:space="preserve">které mohou Česku </w:t>
      </w:r>
      <w:r w:rsidR="002F2A7F" w:rsidRPr="00ED3950">
        <w:rPr>
          <w:lang w:val="cs-CZ"/>
        </w:rPr>
        <w:t xml:space="preserve">a </w:t>
      </w:r>
      <w:r w:rsidR="00780E6E" w:rsidRPr="00ED3950">
        <w:rPr>
          <w:lang w:val="cs-CZ"/>
        </w:rPr>
        <w:t xml:space="preserve">dalším členským státům pomoci při řešení diskutovaných problémů. </w:t>
      </w:r>
      <w:r w:rsidRPr="00ED3950">
        <w:rPr>
          <w:b/>
          <w:bCs/>
          <w:lang w:val="cs-CZ"/>
        </w:rPr>
        <w:t xml:space="preserve">Finský </w:t>
      </w:r>
      <w:r w:rsidR="005B4536" w:rsidRPr="00ED3950">
        <w:rPr>
          <w:b/>
          <w:bCs/>
          <w:lang w:val="cs-CZ"/>
        </w:rPr>
        <w:t xml:space="preserve">klimatický fond </w:t>
      </w:r>
      <w:r w:rsidR="005B4536" w:rsidRPr="00ED3950">
        <w:rPr>
          <w:lang w:val="cs-CZ"/>
        </w:rPr>
        <w:t xml:space="preserve">představil svůj </w:t>
      </w:r>
      <w:r w:rsidR="006C0F29" w:rsidRPr="00ED3950">
        <w:rPr>
          <w:lang w:val="cs-CZ"/>
        </w:rPr>
        <w:t xml:space="preserve">metodický přístup k </w:t>
      </w:r>
      <w:r w:rsidR="00780E6E" w:rsidRPr="00ED3950">
        <w:rPr>
          <w:lang w:val="cs-CZ"/>
        </w:rPr>
        <w:t xml:space="preserve">posuzování DNSH </w:t>
      </w:r>
      <w:r w:rsidR="00E71D0F" w:rsidRPr="00ED3950">
        <w:rPr>
          <w:lang w:val="cs-CZ"/>
        </w:rPr>
        <w:t xml:space="preserve">činností a investičních projektů s </w:t>
      </w:r>
      <w:r w:rsidR="00780E6E" w:rsidRPr="00ED3950">
        <w:rPr>
          <w:lang w:val="cs-CZ"/>
        </w:rPr>
        <w:t xml:space="preserve">využitím </w:t>
      </w:r>
      <w:r w:rsidR="00E71D0F" w:rsidRPr="00ED3950">
        <w:rPr>
          <w:lang w:val="cs-CZ"/>
        </w:rPr>
        <w:t>alternativních postupů</w:t>
      </w:r>
      <w:r w:rsidR="000B4A76" w:rsidRPr="00ED3950">
        <w:rPr>
          <w:lang w:val="cs-CZ"/>
        </w:rPr>
        <w:t xml:space="preserve">, </w:t>
      </w:r>
      <w:r w:rsidR="0032293B" w:rsidRPr="00ED3950">
        <w:rPr>
          <w:lang w:val="cs-CZ"/>
        </w:rPr>
        <w:t xml:space="preserve">zatímco </w:t>
      </w:r>
      <w:r w:rsidR="00C40867" w:rsidRPr="00ED3950">
        <w:rPr>
          <w:b/>
          <w:bCs/>
          <w:lang w:val="cs-CZ"/>
        </w:rPr>
        <w:t xml:space="preserve">Rakousko </w:t>
      </w:r>
      <w:r w:rsidR="00780E6E" w:rsidRPr="00ED3950">
        <w:rPr>
          <w:lang w:val="cs-CZ"/>
        </w:rPr>
        <w:t xml:space="preserve">prezentovalo </w:t>
      </w:r>
      <w:r w:rsidRPr="00ED3950">
        <w:rPr>
          <w:lang w:val="cs-CZ"/>
        </w:rPr>
        <w:t xml:space="preserve">své </w:t>
      </w:r>
      <w:r w:rsidR="00526494" w:rsidRPr="00ED3950">
        <w:rPr>
          <w:lang w:val="cs-CZ"/>
        </w:rPr>
        <w:t xml:space="preserve">první zkušenosti s využitím </w:t>
      </w:r>
      <w:r w:rsidR="00442E53" w:rsidRPr="00ED3950">
        <w:rPr>
          <w:lang w:val="cs-CZ"/>
        </w:rPr>
        <w:t xml:space="preserve">zeleného rozpočtování pro </w:t>
      </w:r>
      <w:r w:rsidR="00D4236E" w:rsidRPr="00ED3950">
        <w:rPr>
          <w:lang w:val="cs-CZ"/>
        </w:rPr>
        <w:t xml:space="preserve">usnadnění </w:t>
      </w:r>
      <w:r w:rsidR="00526494" w:rsidRPr="00ED3950">
        <w:rPr>
          <w:lang w:val="cs-CZ"/>
        </w:rPr>
        <w:t>posuzování</w:t>
      </w:r>
      <w:r w:rsidR="00D4236E" w:rsidRPr="00ED3950">
        <w:rPr>
          <w:lang w:val="cs-CZ"/>
        </w:rPr>
        <w:t xml:space="preserve"> DNSH</w:t>
      </w:r>
      <w:r w:rsidR="00C97EB0" w:rsidRPr="00ED3950">
        <w:rPr>
          <w:lang w:val="cs-CZ"/>
        </w:rPr>
        <w:t>.</w:t>
      </w:r>
    </w:p>
    <w:p w:rsidR="00780E6E" w:rsidRPr="00ED3950" w:rsidRDefault="00780E6E" w:rsidP="002F2A7F">
      <w:pPr>
        <w:rPr>
          <w:lang w:val="cs-CZ"/>
        </w:rPr>
      </w:pPr>
    </w:p>
    <w:p w:rsidR="005840C5" w:rsidRPr="00ED3950" w:rsidRDefault="00ED3950">
      <w:pPr>
        <w:jc w:val="both"/>
        <w:rPr>
          <w:rFonts w:eastAsia="Times New Roman"/>
          <w:b/>
          <w:bCs/>
          <w:iCs/>
          <w:color w:val="F04E30"/>
          <w:lang w:val="cs-CZ"/>
        </w:rPr>
      </w:pPr>
      <w:r w:rsidRPr="00ED3950">
        <w:rPr>
          <w:rFonts w:eastAsia="Times New Roman"/>
          <w:b/>
          <w:bCs/>
          <w:iCs/>
          <w:color w:val="F04E30"/>
          <w:lang w:val="cs-CZ"/>
        </w:rPr>
        <w:t>Přístup k hodnocení DNSH pro zelené inovativní technologie (Finsko)</w:t>
      </w:r>
    </w:p>
    <w:p w:rsidR="005840C5" w:rsidRPr="00ED3950" w:rsidRDefault="00ED3950">
      <w:pPr>
        <w:rPr>
          <w:lang w:val="cs-CZ"/>
        </w:rPr>
      </w:pPr>
      <w:r w:rsidRPr="00ED3950">
        <w:rPr>
          <w:lang w:val="cs-CZ"/>
        </w:rPr>
        <w:t xml:space="preserve">Finský klimatický fond je státní </w:t>
      </w:r>
      <w:r w:rsidRPr="00ED3950">
        <w:rPr>
          <w:lang w:val="cs-CZ"/>
        </w:rPr>
        <w:t xml:space="preserve">podnik, který </w:t>
      </w:r>
      <w:r w:rsidRPr="00ED3950">
        <w:rPr>
          <w:lang w:val="cs-CZ"/>
        </w:rPr>
        <w:t xml:space="preserve">investuje do </w:t>
      </w:r>
      <w:r w:rsidRPr="00ED3950">
        <w:rPr>
          <w:lang w:val="cs-CZ"/>
        </w:rPr>
        <w:t>rozšiřování klimatických řešení s významným potenciálem snižování emisí</w:t>
      </w:r>
      <w:r w:rsidRPr="00ED3950">
        <w:rPr>
          <w:lang w:val="cs-CZ"/>
        </w:rPr>
        <w:t xml:space="preserve">. Fond funguje od roku </w:t>
      </w:r>
      <w:r w:rsidRPr="00ED3950">
        <w:rPr>
          <w:lang w:val="cs-CZ"/>
        </w:rPr>
        <w:t xml:space="preserve">2020, </w:t>
      </w:r>
      <w:r w:rsidRPr="00ED3950">
        <w:rPr>
          <w:lang w:val="cs-CZ"/>
        </w:rPr>
        <w:t xml:space="preserve">učinil </w:t>
      </w:r>
      <w:r w:rsidRPr="00ED3950">
        <w:rPr>
          <w:lang w:val="cs-CZ"/>
        </w:rPr>
        <w:t xml:space="preserve">19 </w:t>
      </w:r>
      <w:r w:rsidRPr="00ED3950">
        <w:rPr>
          <w:lang w:val="cs-CZ"/>
        </w:rPr>
        <w:t xml:space="preserve">investičních rozhodnutí </w:t>
      </w:r>
      <w:r w:rsidRPr="00ED3950">
        <w:rPr>
          <w:lang w:val="cs-CZ"/>
        </w:rPr>
        <w:t xml:space="preserve">a jeho typická velikost tiketu </w:t>
      </w:r>
      <w:r w:rsidRPr="00ED3950">
        <w:rPr>
          <w:lang w:val="cs-CZ"/>
        </w:rPr>
        <w:t xml:space="preserve">se </w:t>
      </w:r>
      <w:r w:rsidRPr="00ED3950">
        <w:rPr>
          <w:lang w:val="cs-CZ"/>
        </w:rPr>
        <w:t xml:space="preserve">pohybuje od </w:t>
      </w:r>
      <w:r w:rsidRPr="00ED3950">
        <w:rPr>
          <w:lang w:val="cs-CZ"/>
        </w:rPr>
        <w:t xml:space="preserve">4 do 40 milionů eur </w:t>
      </w:r>
      <w:r w:rsidR="009D089B" w:rsidRPr="00ED3950">
        <w:rPr>
          <w:lang w:val="cs-CZ"/>
        </w:rPr>
        <w:t>- možné jsou i vyšší hodnoty</w:t>
      </w:r>
      <w:r w:rsidRPr="00ED3950">
        <w:rPr>
          <w:lang w:val="cs-CZ"/>
        </w:rPr>
        <w:t xml:space="preserve">. Fond se řídí specifickým souborem </w:t>
      </w:r>
      <w:r w:rsidRPr="00ED3950">
        <w:rPr>
          <w:lang w:val="cs-CZ"/>
        </w:rPr>
        <w:t xml:space="preserve">3 </w:t>
      </w:r>
      <w:r w:rsidRPr="00ED3950">
        <w:rPr>
          <w:lang w:val="cs-CZ"/>
        </w:rPr>
        <w:t xml:space="preserve">předběžných podmínek pro investiční návrhy, </w:t>
      </w:r>
      <w:r w:rsidRPr="00ED3950">
        <w:rPr>
          <w:lang w:val="cs-CZ"/>
        </w:rPr>
        <w:t xml:space="preserve">přičemž jednou z nich </w:t>
      </w:r>
      <w:r w:rsidRPr="00ED3950">
        <w:rPr>
          <w:lang w:val="cs-CZ"/>
        </w:rPr>
        <w:t xml:space="preserve">je soulad se </w:t>
      </w:r>
      <w:r w:rsidRPr="00ED3950">
        <w:rPr>
          <w:lang w:val="cs-CZ"/>
        </w:rPr>
        <w:t xml:space="preserve">zásadou </w:t>
      </w:r>
      <w:r w:rsidRPr="00ED3950">
        <w:rPr>
          <w:lang w:val="cs-CZ"/>
        </w:rPr>
        <w:t>DNS</w:t>
      </w:r>
      <w:r w:rsidRPr="00ED3950">
        <w:rPr>
          <w:lang w:val="cs-CZ"/>
        </w:rPr>
        <w:t>H</w:t>
      </w:r>
      <w:r w:rsidRPr="00ED3950">
        <w:rPr>
          <w:lang w:val="cs-CZ"/>
        </w:rPr>
        <w:t xml:space="preserve">, přičemž jako výchozí bod pro posouzení se používají buď existující posouzení DNSH, nebo </w:t>
      </w:r>
      <w:r w:rsidR="009D089B" w:rsidRPr="00ED3950">
        <w:rPr>
          <w:lang w:val="cs-CZ"/>
        </w:rPr>
        <w:t xml:space="preserve">akty v </w:t>
      </w:r>
      <w:r w:rsidRPr="00ED3950">
        <w:rPr>
          <w:lang w:val="cs-CZ"/>
        </w:rPr>
        <w:t>přenesené pravomoci v rámci taxonomie EU. Po splnění předběžných podmínek je konečný výběr investičních cílů založen na dopadu, jako je celkový potenciál sníž</w:t>
      </w:r>
      <w:r w:rsidRPr="00ED3950">
        <w:rPr>
          <w:lang w:val="cs-CZ"/>
        </w:rPr>
        <w:t>ení emisí.</w:t>
      </w:r>
    </w:p>
    <w:p w:rsidR="005840C5" w:rsidRPr="00ED3950" w:rsidRDefault="00ED3950">
      <w:pPr>
        <w:rPr>
          <w:lang w:val="cs-CZ"/>
        </w:rPr>
      </w:pPr>
      <w:r w:rsidRPr="00ED3950">
        <w:rPr>
          <w:lang w:val="cs-CZ"/>
        </w:rPr>
        <w:t xml:space="preserve">Proces sladění s DNSH zahrnuje úvodní analýzu žadatele, kterou podporuje Finský klimatický fond. Tato podpora se ukázala jako zvláště důležitá vzhledem k novosti DNSH a velikosti společností (obvykle </w:t>
      </w:r>
      <w:r w:rsidR="00DF1159" w:rsidRPr="00ED3950">
        <w:rPr>
          <w:lang w:val="cs-CZ"/>
        </w:rPr>
        <w:t xml:space="preserve">malých a středních podniků </w:t>
      </w:r>
      <w:r w:rsidR="00D7798F" w:rsidRPr="00ED3950">
        <w:rPr>
          <w:lang w:val="cs-CZ"/>
        </w:rPr>
        <w:t>nebo začínajících podniků)</w:t>
      </w:r>
      <w:r w:rsidRPr="00ED3950">
        <w:rPr>
          <w:lang w:val="cs-CZ"/>
        </w:rPr>
        <w:t xml:space="preserve">. </w:t>
      </w:r>
      <w:r w:rsidR="00923BAE" w:rsidRPr="00ED3950">
        <w:rPr>
          <w:lang w:val="cs-CZ"/>
        </w:rPr>
        <w:t xml:space="preserve">Poté </w:t>
      </w:r>
      <w:r w:rsidRPr="00ED3950">
        <w:rPr>
          <w:lang w:val="cs-CZ"/>
        </w:rPr>
        <w:t xml:space="preserve">probíhá </w:t>
      </w:r>
      <w:r w:rsidR="009372BC" w:rsidRPr="00ED3950">
        <w:rPr>
          <w:lang w:val="cs-CZ"/>
        </w:rPr>
        <w:t xml:space="preserve">proces ověřování za </w:t>
      </w:r>
      <w:r w:rsidRPr="00ED3950">
        <w:rPr>
          <w:lang w:val="cs-CZ"/>
        </w:rPr>
        <w:t xml:space="preserve">pomoci externích technických </w:t>
      </w:r>
      <w:r w:rsidR="00DF074F" w:rsidRPr="00ED3950">
        <w:rPr>
          <w:lang w:val="cs-CZ"/>
        </w:rPr>
        <w:t>odborníků</w:t>
      </w:r>
      <w:r w:rsidRPr="00ED3950">
        <w:rPr>
          <w:lang w:val="cs-CZ"/>
        </w:rPr>
        <w:t xml:space="preserve">. Pokud hodnocení odhalí nedostatky v údajích nebo rozpory, jsou zavedeny další kroky a požadavky na podávání zpráv k jejich nápravě. V současné době fond používá pro </w:t>
      </w:r>
      <w:r w:rsidR="0057416A" w:rsidRPr="00ED3950">
        <w:rPr>
          <w:lang w:val="cs-CZ"/>
        </w:rPr>
        <w:t xml:space="preserve">hodnocení </w:t>
      </w:r>
      <w:r w:rsidRPr="00ED3950">
        <w:rPr>
          <w:lang w:val="cs-CZ"/>
        </w:rPr>
        <w:t xml:space="preserve">principu DNSH kritéria z delegovaného aktu EU o taxonomii a pokyny k DNSH vypracované Finským institutem životního prostředí </w:t>
      </w:r>
      <w:r w:rsidR="00F507D8" w:rsidRPr="00ED3950">
        <w:rPr>
          <w:lang w:val="cs-CZ"/>
        </w:rPr>
        <w:t xml:space="preserve">(SYKE). </w:t>
      </w:r>
    </w:p>
    <w:p w:rsidR="00EB0B95" w:rsidRPr="00ED3950" w:rsidRDefault="00EB0B95" w:rsidP="00EB0B95">
      <w:pPr>
        <w:jc w:val="both"/>
        <w:rPr>
          <w:rFonts w:eastAsia="Times New Roman"/>
          <w:b/>
          <w:bCs/>
          <w:iCs/>
          <w:color w:val="F04E30"/>
          <w:lang w:val="cs-CZ"/>
        </w:rPr>
      </w:pPr>
    </w:p>
    <w:p w:rsidR="005840C5" w:rsidRPr="00ED3950" w:rsidRDefault="00ED3950">
      <w:pPr>
        <w:jc w:val="both"/>
        <w:rPr>
          <w:rFonts w:eastAsia="Times New Roman"/>
          <w:b/>
          <w:bCs/>
          <w:iCs/>
          <w:color w:val="F04E30"/>
          <w:lang w:val="cs-CZ"/>
        </w:rPr>
      </w:pPr>
      <w:r w:rsidRPr="00ED3950">
        <w:rPr>
          <w:rFonts w:eastAsia="Times New Roman"/>
          <w:b/>
          <w:bCs/>
          <w:iCs/>
          <w:color w:val="F04E30"/>
          <w:lang w:val="cs-CZ"/>
        </w:rPr>
        <w:t xml:space="preserve">Zelené rozpočtování (Rakousko) </w:t>
      </w:r>
    </w:p>
    <w:p w:rsidR="005840C5" w:rsidRPr="00ED3950" w:rsidRDefault="00ED3950">
      <w:pPr>
        <w:rPr>
          <w:lang w:val="cs-CZ"/>
        </w:rPr>
      </w:pPr>
      <w:r w:rsidRPr="00ED3950">
        <w:rPr>
          <w:lang w:val="cs-CZ"/>
        </w:rPr>
        <w:lastRenderedPageBreak/>
        <w:t>Rakousko používá zelené rozpočtování jako holistickou metodiku pro identifikaci a inves</w:t>
      </w:r>
      <w:r w:rsidRPr="00ED3950">
        <w:rPr>
          <w:lang w:val="cs-CZ"/>
        </w:rPr>
        <w:t xml:space="preserve">tice do ekologických aktivit. Tento proces je veden ministerstvem financí a zahrnuje přezkum všech </w:t>
      </w:r>
      <w:r w:rsidR="006C0472" w:rsidRPr="00ED3950">
        <w:rPr>
          <w:lang w:val="cs-CZ"/>
        </w:rPr>
        <w:t xml:space="preserve">38 000 rozpočtových položek </w:t>
      </w:r>
      <w:r w:rsidRPr="00ED3950">
        <w:rPr>
          <w:lang w:val="cs-CZ"/>
        </w:rPr>
        <w:t>a začlenění environmentálních hledisek do tvorby rozpočtu a rozhodovacího procesu.</w:t>
      </w:r>
    </w:p>
    <w:p w:rsidR="00A377DC" w:rsidRPr="00ED3950" w:rsidRDefault="00A377DC" w:rsidP="00A377DC">
      <w:pPr>
        <w:rPr>
          <w:lang w:val="cs-CZ"/>
        </w:rPr>
      </w:pPr>
    </w:p>
    <w:p w:rsidR="005840C5" w:rsidRPr="00ED3950" w:rsidRDefault="00ED3950">
      <w:pPr>
        <w:rPr>
          <w:lang w:val="cs-CZ"/>
        </w:rPr>
      </w:pPr>
      <w:r w:rsidRPr="00ED3950">
        <w:rPr>
          <w:lang w:val="cs-CZ"/>
        </w:rPr>
        <w:t xml:space="preserve">Ministerstvo má nyní v úmyslu rozšířit tento přístup na regionální rozpočtování a propojit zelené rozpočtování se zásadou DNSH, </w:t>
      </w:r>
      <w:r w:rsidR="006C0472" w:rsidRPr="00ED3950">
        <w:rPr>
          <w:lang w:val="cs-CZ"/>
        </w:rPr>
        <w:t xml:space="preserve">protože </w:t>
      </w:r>
      <w:r w:rsidRPr="00ED3950">
        <w:rPr>
          <w:lang w:val="cs-CZ"/>
        </w:rPr>
        <w:t xml:space="preserve">koncepčně lze zelené rozpočtování použít k odhadu dodržování DNSH. Aby toho ministerstvo dosáhlo, zahrnuje jeho přístup </w:t>
      </w:r>
      <w:r w:rsidRPr="00ED3950">
        <w:rPr>
          <w:lang w:val="cs-CZ"/>
        </w:rPr>
        <w:t>dva kroky. Za prvé, pokud je rozpočtová položka relevantní pro klima a životní prostředí, je považována za položku v souladu s DNSH. Za druhé, pokud rozpočtová položka není považována za relevantní, použije se metodika zeleného rozpočtování k posouzení sou</w:t>
      </w:r>
      <w:r w:rsidRPr="00ED3950">
        <w:rPr>
          <w:lang w:val="cs-CZ"/>
        </w:rPr>
        <w:t xml:space="preserve">ladu s každým ze šesti cílů v oblasti životního prostředí. Pro každý cíl je rozpočtové položce přiřazeno skóre. Pokud bodové hodnocení </w:t>
      </w:r>
      <w:r w:rsidR="005A7566" w:rsidRPr="00ED3950">
        <w:rPr>
          <w:lang w:val="cs-CZ"/>
        </w:rPr>
        <w:t xml:space="preserve">naznačuje </w:t>
      </w:r>
      <w:r w:rsidRPr="00ED3950">
        <w:rPr>
          <w:lang w:val="cs-CZ"/>
        </w:rPr>
        <w:t>"zamýšlenou kontraproduktivitu"</w:t>
      </w:r>
      <w:r w:rsidR="00EB0252" w:rsidRPr="00ED3950">
        <w:rPr>
          <w:lang w:val="cs-CZ"/>
        </w:rPr>
        <w:t xml:space="preserve">, </w:t>
      </w:r>
      <w:r w:rsidRPr="00ED3950">
        <w:rPr>
          <w:lang w:val="cs-CZ"/>
        </w:rPr>
        <w:t>"kontraproduktivitu jako vedlejší účinek" nebo "nejasný účinek", je nutné prov</w:t>
      </w:r>
      <w:r w:rsidRPr="00ED3950">
        <w:rPr>
          <w:lang w:val="cs-CZ"/>
        </w:rPr>
        <w:t>ést další posouzení DNSH. Pokud však bodové hodnocení ukazuje "žádný účinek", "produktivita jako vedlejší účinek" nebo "zamýšlená produktivita", je rozpočtová položka považována za vyhovující zásadám DNSH.</w:t>
      </w:r>
      <w:r w:rsidR="008A3643" w:rsidRPr="00ED3950">
        <w:rPr>
          <w:lang w:val="cs-CZ"/>
        </w:rPr>
        <w:t xml:space="preserve"> Tento postup je znázorněn v </w:t>
      </w:r>
      <w:r w:rsidR="00902384" w:rsidRPr="00ED3950">
        <w:rPr>
          <w:lang w:val="cs-CZ"/>
        </w:rPr>
        <w:fldChar w:fldCharType="begin"/>
      </w:r>
      <w:r w:rsidR="00902384" w:rsidRPr="00ED3950">
        <w:rPr>
          <w:lang w:val="cs-CZ"/>
        </w:rPr>
        <w:instrText xml:space="preserve"> REF _Ref128126512 \h  \* MERGEFORMAT </w:instrText>
      </w:r>
      <w:r w:rsidR="00902384" w:rsidRPr="00ED3950">
        <w:rPr>
          <w:lang w:val="cs-CZ"/>
        </w:rPr>
      </w:r>
      <w:r w:rsidR="00902384" w:rsidRPr="00ED3950">
        <w:rPr>
          <w:lang w:val="cs-CZ"/>
        </w:rPr>
        <w:fldChar w:fldCharType="separate"/>
      </w:r>
      <w:proofErr w:type="gramStart"/>
      <w:r w:rsidR="00902384" w:rsidRPr="00ED3950">
        <w:rPr>
          <w:lang w:val="cs-CZ"/>
        </w:rPr>
        <w:t>Obrázek</w:t>
      </w:r>
      <w:proofErr w:type="gramEnd"/>
      <w:r w:rsidR="00902384" w:rsidRPr="00ED3950">
        <w:rPr>
          <w:lang w:val="cs-CZ"/>
        </w:rPr>
        <w:t xml:space="preserve"> 1</w:t>
      </w:r>
      <w:r w:rsidR="00902384" w:rsidRPr="00ED3950">
        <w:rPr>
          <w:lang w:val="cs-CZ"/>
        </w:rPr>
        <w:fldChar w:fldCharType="end"/>
      </w:r>
      <w:r w:rsidR="008A3643" w:rsidRPr="00ED3950">
        <w:rPr>
          <w:lang w:val="cs-CZ"/>
        </w:rPr>
        <w:t>.</w:t>
      </w:r>
    </w:p>
    <w:p w:rsidR="008A3643" w:rsidRPr="00ED3950" w:rsidRDefault="008A3643" w:rsidP="00A377DC">
      <w:pPr>
        <w:rPr>
          <w:lang w:val="cs-CZ"/>
        </w:rPr>
      </w:pPr>
    </w:p>
    <w:p w:rsidR="005840C5" w:rsidRPr="00ED3950" w:rsidRDefault="00ED3950">
      <w:pPr>
        <w:rPr>
          <w:lang w:val="cs-CZ"/>
        </w:rPr>
      </w:pPr>
      <w:r w:rsidRPr="00ED3950">
        <w:rPr>
          <w:lang w:val="cs-CZ"/>
        </w:rPr>
        <w:t xml:space="preserve">Přestože je tento proces teprve v počáteční fázi, </w:t>
      </w:r>
      <w:r w:rsidRPr="00ED3950">
        <w:rPr>
          <w:lang w:val="cs-CZ"/>
        </w:rPr>
        <w:t xml:space="preserve">ministerstvo </w:t>
      </w:r>
      <w:r w:rsidRPr="00ED3950">
        <w:rPr>
          <w:lang w:val="cs-CZ"/>
        </w:rPr>
        <w:t xml:space="preserve">již </w:t>
      </w:r>
      <w:r w:rsidRPr="00ED3950">
        <w:rPr>
          <w:lang w:val="cs-CZ"/>
        </w:rPr>
        <w:t xml:space="preserve">identifikovalo </w:t>
      </w:r>
      <w:r w:rsidRPr="00ED3950">
        <w:rPr>
          <w:lang w:val="cs-CZ"/>
        </w:rPr>
        <w:t xml:space="preserve">institucionální a metodické výzvy, které </w:t>
      </w:r>
      <w:r w:rsidRPr="00ED3950">
        <w:rPr>
          <w:lang w:val="cs-CZ"/>
        </w:rPr>
        <w:t xml:space="preserve">takový proces bude vyžadovat. </w:t>
      </w:r>
      <w:r w:rsidRPr="00ED3950">
        <w:rPr>
          <w:lang w:val="cs-CZ"/>
        </w:rPr>
        <w:t>Instituc</w:t>
      </w:r>
      <w:r w:rsidRPr="00ED3950">
        <w:rPr>
          <w:lang w:val="cs-CZ"/>
        </w:rPr>
        <w:t xml:space="preserve">ionální výzvy zahrnují přesvědčení všech ministerstev a odborů o významu zeleného rozpočtování. Metodické výzvy zahrnují vyvážení </w:t>
      </w:r>
      <w:proofErr w:type="spellStart"/>
      <w:r w:rsidRPr="00ED3950">
        <w:rPr>
          <w:lang w:val="cs-CZ"/>
        </w:rPr>
        <w:t>granularity</w:t>
      </w:r>
      <w:proofErr w:type="spellEnd"/>
      <w:r w:rsidRPr="00ED3950">
        <w:rPr>
          <w:lang w:val="cs-CZ"/>
        </w:rPr>
        <w:t xml:space="preserve"> a použitelnosti, uznání modifikovaných výsledků, uznání odrazových efektů a zajištění solidnosti bodového hodnocen</w:t>
      </w:r>
      <w:r w:rsidRPr="00ED3950">
        <w:rPr>
          <w:lang w:val="cs-CZ"/>
        </w:rPr>
        <w:t>í prostřednictvím procesu zajištění kvality.</w:t>
      </w:r>
    </w:p>
    <w:p w:rsidR="0010463C" w:rsidRPr="00ED3950" w:rsidRDefault="0010463C" w:rsidP="0010463C">
      <w:pPr>
        <w:rPr>
          <w:lang w:val="cs-CZ"/>
        </w:rPr>
      </w:pPr>
    </w:p>
    <w:p w:rsidR="005840C5" w:rsidRPr="00ED3950" w:rsidRDefault="00ED3950">
      <w:pPr>
        <w:rPr>
          <w:lang w:val="cs-CZ"/>
        </w:rPr>
      </w:pPr>
      <w:r w:rsidRPr="00ED3950">
        <w:rPr>
          <w:lang w:val="cs-CZ"/>
        </w:rPr>
        <w:t xml:space="preserve">Kromě těchto případů byly během panelové diskuse na </w:t>
      </w:r>
      <w:proofErr w:type="spellStart"/>
      <w:r w:rsidRPr="00ED3950">
        <w:rPr>
          <w:lang w:val="cs-CZ"/>
        </w:rPr>
        <w:t>webináři</w:t>
      </w:r>
      <w:proofErr w:type="spellEnd"/>
      <w:r w:rsidRPr="00ED3950">
        <w:rPr>
          <w:lang w:val="cs-CZ"/>
        </w:rPr>
        <w:t xml:space="preserve"> 3 identifikovány dva relevantní postupy, které ilustrují příklady řešení problémů v oblasti výzkumu a vývoje a zelených inovačních projektů. Jejich f</w:t>
      </w:r>
      <w:r w:rsidRPr="00ED3950">
        <w:rPr>
          <w:lang w:val="cs-CZ"/>
        </w:rPr>
        <w:t xml:space="preserve">ungování a význam jsou uvedeny v </w:t>
      </w:r>
      <w:r w:rsidRPr="00ED3950">
        <w:rPr>
          <w:lang w:val="cs-CZ"/>
        </w:rPr>
        <w:fldChar w:fldCharType="begin"/>
      </w:r>
      <w:r w:rsidRPr="00ED3950">
        <w:rPr>
          <w:lang w:val="cs-CZ"/>
        </w:rPr>
        <w:instrText xml:space="preserve"> REF _Ref128126105 \h </w:instrText>
      </w:r>
      <w:r w:rsidRPr="00ED3950">
        <w:rPr>
          <w:lang w:val="cs-CZ"/>
        </w:rPr>
      </w:r>
      <w:r w:rsidRPr="00ED3950">
        <w:rPr>
          <w:lang w:val="cs-CZ"/>
        </w:rPr>
        <w:instrText xml:space="preserve"> \* MERGEFORMAT </w:instrText>
      </w:r>
      <w:r w:rsidRPr="00ED3950">
        <w:rPr>
          <w:lang w:val="cs-CZ"/>
        </w:rPr>
        <w:fldChar w:fldCharType="separate"/>
      </w:r>
      <w:r w:rsidRPr="00ED3950">
        <w:rPr>
          <w:lang w:val="cs-CZ"/>
        </w:rPr>
        <w:t xml:space="preserve">Rámeček </w:t>
      </w:r>
      <w:r w:rsidRPr="00ED3950">
        <w:rPr>
          <w:lang w:val="cs-CZ"/>
        </w:rPr>
        <w:t>5</w:t>
      </w:r>
      <w:r w:rsidRPr="00ED3950">
        <w:rPr>
          <w:lang w:val="cs-CZ"/>
        </w:rPr>
        <w:fldChar w:fldCharType="end"/>
      </w:r>
      <w:r w:rsidRPr="00ED3950">
        <w:rPr>
          <w:lang w:val="cs-CZ"/>
        </w:rPr>
        <w:t>.</w:t>
      </w:r>
    </w:p>
    <w:p w:rsidR="0010463C" w:rsidRPr="00ED3950" w:rsidRDefault="0010463C" w:rsidP="00A377DC">
      <w:pPr>
        <w:rPr>
          <w:lang w:val="cs-CZ"/>
        </w:rPr>
      </w:pPr>
    </w:p>
    <w:p w:rsidR="005840C5" w:rsidRPr="00ED3950" w:rsidRDefault="00ED3950">
      <w:pPr>
        <w:pStyle w:val="Titulek"/>
        <w:keepNext/>
        <w:rPr>
          <w:lang w:val="cs-CZ"/>
        </w:rPr>
      </w:pPr>
      <w:bookmarkStart w:id="35" w:name="_Ref128126512"/>
      <w:r w:rsidRPr="00ED3950">
        <w:rPr>
          <w:lang w:val="cs-CZ"/>
        </w:rPr>
        <w:lastRenderedPageBreak/>
        <w:t xml:space="preserve">Obrázek </w:t>
      </w:r>
      <w:r w:rsidR="0094316D" w:rsidRPr="00ED3950">
        <w:rPr>
          <w:lang w:val="cs-CZ"/>
        </w:rPr>
        <w:fldChar w:fldCharType="begin"/>
      </w:r>
      <w:r w:rsidR="0094316D" w:rsidRPr="00ED3950">
        <w:rPr>
          <w:lang w:val="cs-CZ"/>
        </w:rPr>
        <w:instrText xml:space="preserve"> SEQ Figure \* ARABIC </w:instrText>
      </w:r>
      <w:r w:rsidR="0094316D" w:rsidRPr="00ED3950">
        <w:rPr>
          <w:lang w:val="cs-CZ"/>
        </w:rPr>
        <w:fldChar w:fldCharType="separate"/>
      </w:r>
      <w:r w:rsidRPr="00ED3950">
        <w:rPr>
          <w:lang w:val="cs-CZ"/>
        </w:rPr>
        <w:t>1</w:t>
      </w:r>
      <w:r w:rsidR="0094316D" w:rsidRPr="00ED3950">
        <w:rPr>
          <w:lang w:val="cs-CZ"/>
        </w:rPr>
        <w:fldChar w:fldCharType="end"/>
      </w:r>
      <w:bookmarkEnd w:id="35"/>
      <w:r w:rsidRPr="00ED3950">
        <w:rPr>
          <w:lang w:val="cs-CZ"/>
        </w:rPr>
        <w:t xml:space="preserve"> Proces odhadu dodržování DNSH na základě zeleného rozpočtování </w:t>
      </w:r>
      <w:r w:rsidRPr="00ED3950">
        <w:rPr>
          <w:lang w:val="cs-CZ"/>
        </w:rPr>
        <w:t>(zdroj: rakouské ministerstvo financí)</w:t>
      </w:r>
    </w:p>
    <w:p w:rsidR="00A377DC" w:rsidRPr="00ED3950" w:rsidRDefault="00902384" w:rsidP="0010463C">
      <w:pPr>
        <w:keepNext/>
        <w:jc w:val="center"/>
        <w:rPr>
          <w:lang w:val="cs-CZ"/>
        </w:rPr>
      </w:pPr>
      <w:r w:rsidRPr="00ED3950">
        <w:rPr>
          <w:lang w:val="cs-CZ" w:eastAsia="cs-CZ"/>
        </w:rPr>
        <w:drawing>
          <wp:inline distT="0" distB="0" distL="0" distR="0" wp14:anchorId="0193A470" wp14:editId="30CCE331">
            <wp:extent cx="4276725" cy="4070610"/>
            <wp:effectExtent l="0" t="0" r="0" b="6350"/>
            <wp:docPr id="1" name="Picture 1"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with low confidence"/>
                    <pic:cNvPicPr/>
                  </pic:nvPicPr>
                  <pic:blipFill>
                    <a:blip r:embed="rId21"/>
                    <a:stretch>
                      <a:fillRect/>
                    </a:stretch>
                  </pic:blipFill>
                  <pic:spPr>
                    <a:xfrm>
                      <a:off x="0" y="0"/>
                      <a:ext cx="4336339" cy="4127351"/>
                    </a:xfrm>
                    <a:prstGeom prst="rect">
                      <a:avLst/>
                    </a:prstGeom>
                  </pic:spPr>
                </pic:pic>
              </a:graphicData>
            </a:graphic>
          </wp:inline>
        </w:drawing>
      </w:r>
    </w:p>
    <w:p w:rsidR="00246CC8" w:rsidRPr="00ED3950" w:rsidRDefault="00246CC8" w:rsidP="00246CC8">
      <w:pPr>
        <w:rPr>
          <w:lang w:val="cs-CZ"/>
        </w:rPr>
      </w:pPr>
    </w:p>
    <w:p w:rsidR="005840C5" w:rsidRPr="00ED3950" w:rsidRDefault="00ED3950">
      <w:pPr>
        <w:pStyle w:val="Titulek"/>
        <w:keepNext/>
        <w:rPr>
          <w:lang w:val="cs-CZ"/>
        </w:rPr>
      </w:pPr>
      <w:bookmarkStart w:id="36" w:name="_Ref128126105"/>
      <w:r w:rsidRPr="00ED3950">
        <w:rPr>
          <w:lang w:val="cs-CZ"/>
        </w:rPr>
        <w:t xml:space="preserve">Box </w:t>
      </w:r>
      <w:r w:rsidR="0094316D" w:rsidRPr="00ED3950">
        <w:rPr>
          <w:lang w:val="cs-CZ"/>
        </w:rPr>
        <w:fldChar w:fldCharType="begin"/>
      </w:r>
      <w:r w:rsidR="0094316D" w:rsidRPr="00ED3950">
        <w:rPr>
          <w:lang w:val="cs-CZ"/>
        </w:rPr>
        <w:instrText xml:space="preserve"> SEQ Box \* ARABIC </w:instrText>
      </w:r>
      <w:r w:rsidR="0094316D" w:rsidRPr="00ED3950">
        <w:rPr>
          <w:lang w:val="cs-CZ"/>
        </w:rPr>
        <w:fldChar w:fldCharType="separate"/>
      </w:r>
      <w:r w:rsidR="001A6895" w:rsidRPr="00ED3950">
        <w:rPr>
          <w:lang w:val="cs-CZ"/>
        </w:rPr>
        <w:t>5</w:t>
      </w:r>
      <w:r w:rsidR="0094316D" w:rsidRPr="00ED3950">
        <w:rPr>
          <w:lang w:val="cs-CZ"/>
        </w:rPr>
        <w:fldChar w:fldCharType="end"/>
      </w:r>
      <w:bookmarkEnd w:id="36"/>
      <w:r w:rsidRPr="00ED3950">
        <w:rPr>
          <w:lang w:val="cs-CZ"/>
        </w:rPr>
        <w:t xml:space="preserve"> Ilustrativní </w:t>
      </w:r>
      <w:r w:rsidR="00DC0E10" w:rsidRPr="00ED3950">
        <w:rPr>
          <w:lang w:val="cs-CZ"/>
        </w:rPr>
        <w:t xml:space="preserve">postupy </w:t>
      </w:r>
      <w:r w:rsidRPr="00ED3950">
        <w:rPr>
          <w:lang w:val="cs-CZ"/>
        </w:rPr>
        <w:t xml:space="preserve">pro </w:t>
      </w:r>
      <w:r w:rsidR="002610E2" w:rsidRPr="00ED3950">
        <w:rPr>
          <w:lang w:val="cs-CZ"/>
        </w:rPr>
        <w:t xml:space="preserve">investice do </w:t>
      </w:r>
      <w:r w:rsidR="00CB63D2" w:rsidRPr="00ED3950">
        <w:rPr>
          <w:lang w:val="cs-CZ"/>
        </w:rPr>
        <w:t>výzkumu, vývoje a ekologických inovací</w:t>
      </w:r>
    </w:p>
    <w:tbl>
      <w:tblPr>
        <w:tblStyle w:val="Table1"/>
        <w:tblW w:w="5000" w:type="pct"/>
        <w:shd w:val="clear" w:color="auto" w:fill="E0EBEB" w:themeFill="accent3" w:themeFillTint="66"/>
        <w:tblLook w:val="04A0" w:firstRow="1" w:lastRow="0" w:firstColumn="1" w:lastColumn="0" w:noHBand="0" w:noVBand="1"/>
      </w:tblPr>
      <w:tblGrid>
        <w:gridCol w:w="9016"/>
      </w:tblGrid>
      <w:tr w:rsidR="00246CC8" w:rsidRPr="00ED39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E0EBEB" w:themeFill="accent3" w:themeFillTint="66"/>
          </w:tcPr>
          <w:p w:rsidR="005840C5" w:rsidRPr="00ED3950" w:rsidRDefault="00ED3950">
            <w:pPr>
              <w:ind w:left="0"/>
              <w:rPr>
                <w:rFonts w:eastAsia="Times New Roman"/>
                <w:iCs/>
                <w:color w:val="005962" w:themeColor="accent1"/>
                <w:lang w:val="cs-CZ"/>
              </w:rPr>
            </w:pPr>
            <w:r w:rsidRPr="00ED3950">
              <w:rPr>
                <w:rFonts w:eastAsia="Times New Roman"/>
                <w:iCs/>
                <w:color w:val="005962" w:themeColor="accent1"/>
                <w:lang w:val="cs-CZ"/>
              </w:rPr>
              <w:t>Posílená koordinace mezi zúčastněnými stranami (</w:t>
            </w:r>
            <w:r w:rsidR="001A6895" w:rsidRPr="00ED3950">
              <w:rPr>
                <w:rFonts w:eastAsia="Times New Roman"/>
                <w:iCs/>
                <w:color w:val="005962" w:themeColor="accent1"/>
                <w:lang w:val="cs-CZ"/>
              </w:rPr>
              <w:t>na základě finského modelu)</w:t>
            </w:r>
            <w:r w:rsidRPr="00ED3950">
              <w:rPr>
                <w:rFonts w:eastAsia="Times New Roman"/>
                <w:iCs/>
                <w:color w:val="005962" w:themeColor="accent1"/>
                <w:lang w:val="cs-CZ"/>
              </w:rPr>
              <w:t>.</w:t>
            </w:r>
          </w:p>
          <w:p w:rsidR="005840C5" w:rsidRPr="00ED3950" w:rsidRDefault="00ED3950">
            <w:pPr>
              <w:ind w:left="0"/>
              <w:jc w:val="left"/>
              <w:rPr>
                <w:b w:val="0"/>
                <w:bCs/>
                <w:color w:val="000000" w:themeColor="text1"/>
                <w:lang w:val="cs-CZ"/>
              </w:rPr>
            </w:pPr>
            <w:r w:rsidRPr="00ED3950">
              <w:rPr>
                <w:b w:val="0"/>
                <w:bCs/>
                <w:color w:val="000000" w:themeColor="text1"/>
                <w:lang w:val="cs-CZ"/>
              </w:rPr>
              <w:t xml:space="preserve">Finské ministerstvo hospodářství </w:t>
            </w:r>
            <w:r w:rsidR="007034C6" w:rsidRPr="00ED3950">
              <w:rPr>
                <w:b w:val="0"/>
                <w:bCs/>
                <w:color w:val="000000" w:themeColor="text1"/>
                <w:lang w:val="cs-CZ"/>
              </w:rPr>
              <w:t xml:space="preserve">zdůrazňuje </w:t>
            </w:r>
            <w:r w:rsidRPr="00ED3950">
              <w:rPr>
                <w:b w:val="0"/>
                <w:bCs/>
                <w:color w:val="000000" w:themeColor="text1"/>
                <w:lang w:val="cs-CZ"/>
              </w:rPr>
              <w:t>význam spolupráce při zajišťování kvality hodnocení a projektů DNSH, zejména pokud jde o projekty výzkumu a vývoje. Ministerstvo financuje infrastrukturu pro zelenou energii a všech 38 projektů dosud prošlo hodno</w:t>
            </w:r>
            <w:r w:rsidRPr="00ED3950">
              <w:rPr>
                <w:b w:val="0"/>
                <w:bCs/>
                <w:color w:val="000000" w:themeColor="text1"/>
                <w:lang w:val="cs-CZ"/>
              </w:rPr>
              <w:t>cením DNSH a bylo ověřeno. Ministerstvo vede pravidelné diskuse s místními orgány a žadateli, přičemž využívá pokyny vypracované Finským institutem pro životní prostředí a také evropské pokyny. Žadatelům byla rovněž poskytnuta školení, aby bylo zajištěno j</w:t>
            </w:r>
            <w:r w:rsidRPr="00ED3950">
              <w:rPr>
                <w:b w:val="0"/>
                <w:bCs/>
                <w:color w:val="000000" w:themeColor="text1"/>
                <w:lang w:val="cs-CZ"/>
              </w:rPr>
              <w:t xml:space="preserve">ejich porozumění problematice DNSH. Pokud jde o dílčí složky, které mohou vyžadovat dodatečnou analýzu DNSH, </w:t>
            </w:r>
            <w:r w:rsidR="007034C6" w:rsidRPr="00ED3950">
              <w:rPr>
                <w:b w:val="0"/>
                <w:bCs/>
                <w:color w:val="000000" w:themeColor="text1"/>
                <w:lang w:val="cs-CZ"/>
              </w:rPr>
              <w:t xml:space="preserve">ministerstvo </w:t>
            </w:r>
            <w:r w:rsidR="00F703B5" w:rsidRPr="00ED3950">
              <w:rPr>
                <w:b w:val="0"/>
                <w:bCs/>
                <w:color w:val="000000" w:themeColor="text1"/>
                <w:lang w:val="cs-CZ"/>
              </w:rPr>
              <w:t xml:space="preserve">provádí </w:t>
            </w:r>
            <w:r w:rsidR="007034C6" w:rsidRPr="00ED3950">
              <w:rPr>
                <w:b w:val="0"/>
                <w:bCs/>
                <w:color w:val="000000" w:themeColor="text1"/>
                <w:lang w:val="cs-CZ"/>
              </w:rPr>
              <w:t xml:space="preserve">analýzy </w:t>
            </w:r>
            <w:r w:rsidR="00BF51ED" w:rsidRPr="00ED3950">
              <w:rPr>
                <w:b w:val="0"/>
                <w:bCs/>
                <w:color w:val="000000" w:themeColor="text1"/>
                <w:lang w:val="cs-CZ"/>
              </w:rPr>
              <w:t xml:space="preserve">podobně jako u </w:t>
            </w:r>
            <w:r w:rsidRPr="00ED3950">
              <w:rPr>
                <w:b w:val="0"/>
                <w:bCs/>
                <w:color w:val="000000" w:themeColor="text1"/>
                <w:lang w:val="cs-CZ"/>
              </w:rPr>
              <w:t xml:space="preserve">jakéhokoli jiného projektu, přičemž rizikovější aspekty jsou posuzovány hlouběji. </w:t>
            </w:r>
            <w:r w:rsidR="003803BC" w:rsidRPr="00ED3950">
              <w:rPr>
                <w:b w:val="0"/>
                <w:bCs/>
                <w:color w:val="000000" w:themeColor="text1"/>
                <w:lang w:val="cs-CZ"/>
              </w:rPr>
              <w:t xml:space="preserve">V </w:t>
            </w:r>
            <w:r w:rsidRPr="00ED3950">
              <w:rPr>
                <w:b w:val="0"/>
                <w:bCs/>
                <w:color w:val="000000" w:themeColor="text1"/>
                <w:lang w:val="cs-CZ"/>
              </w:rPr>
              <w:t xml:space="preserve">případě nejasností ohledně možných dopadů </w:t>
            </w:r>
            <w:r w:rsidR="00BF51ED" w:rsidRPr="00ED3950">
              <w:rPr>
                <w:b w:val="0"/>
                <w:bCs/>
                <w:color w:val="000000" w:themeColor="text1"/>
                <w:lang w:val="cs-CZ"/>
              </w:rPr>
              <w:t xml:space="preserve">je </w:t>
            </w:r>
            <w:r w:rsidRPr="00ED3950">
              <w:rPr>
                <w:b w:val="0"/>
                <w:bCs/>
                <w:color w:val="000000" w:themeColor="text1"/>
                <w:lang w:val="cs-CZ"/>
              </w:rPr>
              <w:t xml:space="preserve">navíc užitečným nástrojem </w:t>
            </w:r>
            <w:r w:rsidR="003803BC" w:rsidRPr="00ED3950">
              <w:rPr>
                <w:b w:val="0"/>
                <w:bCs/>
                <w:color w:val="000000" w:themeColor="text1"/>
                <w:lang w:val="cs-CZ"/>
              </w:rPr>
              <w:t xml:space="preserve">výměna informací s místními orgány odpovědnými za </w:t>
            </w:r>
            <w:r w:rsidRPr="00ED3950">
              <w:rPr>
                <w:b w:val="0"/>
                <w:bCs/>
                <w:color w:val="000000" w:themeColor="text1"/>
                <w:lang w:val="cs-CZ"/>
              </w:rPr>
              <w:t>povolování v oblasti životního prostředí.</w:t>
            </w:r>
          </w:p>
          <w:p w:rsidR="005840C5" w:rsidRPr="00ED3950" w:rsidRDefault="00ED3950">
            <w:pPr>
              <w:ind w:left="0"/>
              <w:jc w:val="left"/>
              <w:rPr>
                <w:bCs/>
                <w:color w:val="000000" w:themeColor="text1"/>
                <w:lang w:val="cs-CZ"/>
              </w:rPr>
            </w:pPr>
            <w:r w:rsidRPr="00ED3950">
              <w:rPr>
                <w:b w:val="0"/>
                <w:bCs/>
                <w:color w:val="000000" w:themeColor="text1"/>
                <w:lang w:val="cs-CZ"/>
              </w:rPr>
              <w:t>Tato praxe je příkladem řešení, které umožňuje najít rovnováhu mezi standardizací a zohledněn</w:t>
            </w:r>
            <w:r w:rsidRPr="00ED3950">
              <w:rPr>
                <w:b w:val="0"/>
                <w:bCs/>
                <w:color w:val="000000" w:themeColor="text1"/>
                <w:lang w:val="cs-CZ"/>
              </w:rPr>
              <w:t xml:space="preserve">ím specifik projektů. </w:t>
            </w:r>
          </w:p>
          <w:p w:rsidR="00D06ED0" w:rsidRPr="00ED3950" w:rsidRDefault="00D06ED0" w:rsidP="00246CC8">
            <w:pPr>
              <w:ind w:left="0"/>
              <w:jc w:val="left"/>
              <w:rPr>
                <w:bCs/>
                <w:color w:val="000000" w:themeColor="text1"/>
                <w:lang w:val="cs-CZ"/>
              </w:rPr>
            </w:pPr>
          </w:p>
          <w:p w:rsidR="005840C5" w:rsidRPr="00ED3950" w:rsidRDefault="00ED3950">
            <w:pPr>
              <w:ind w:left="0"/>
              <w:rPr>
                <w:rFonts w:eastAsia="Times New Roman"/>
                <w:color w:val="005962" w:themeColor="accent1"/>
                <w:lang w:val="cs-CZ"/>
              </w:rPr>
            </w:pPr>
            <w:r w:rsidRPr="00ED3950">
              <w:rPr>
                <w:rFonts w:eastAsia="Times New Roman"/>
                <w:iCs/>
                <w:color w:val="005962" w:themeColor="accent1"/>
                <w:lang w:val="cs-CZ"/>
              </w:rPr>
              <w:t xml:space="preserve">Využití širších zdrojů dat pro </w:t>
            </w:r>
            <w:r w:rsidRPr="00ED3950">
              <w:rPr>
                <w:rFonts w:eastAsia="Times New Roman"/>
                <w:color w:val="005962" w:themeColor="accent1"/>
                <w:lang w:val="cs-CZ"/>
              </w:rPr>
              <w:t xml:space="preserve">kategorizaci </w:t>
            </w:r>
            <w:r w:rsidRPr="00ED3950">
              <w:rPr>
                <w:rFonts w:eastAsia="Times New Roman"/>
                <w:iCs/>
                <w:color w:val="005962" w:themeColor="accent1"/>
                <w:lang w:val="cs-CZ"/>
              </w:rPr>
              <w:t xml:space="preserve">(na </w:t>
            </w:r>
            <w:r w:rsidR="001A6895" w:rsidRPr="00ED3950">
              <w:rPr>
                <w:rFonts w:eastAsia="Times New Roman"/>
                <w:iCs/>
                <w:color w:val="005962" w:themeColor="accent1"/>
                <w:lang w:val="cs-CZ"/>
              </w:rPr>
              <w:t>základě španělského modelu</w:t>
            </w:r>
            <w:r w:rsidRPr="00ED3950">
              <w:rPr>
                <w:rFonts w:eastAsia="Times New Roman"/>
                <w:iCs/>
                <w:color w:val="005962" w:themeColor="accent1"/>
                <w:lang w:val="cs-CZ"/>
              </w:rPr>
              <w:t>)</w:t>
            </w:r>
          </w:p>
          <w:p w:rsidR="005840C5" w:rsidRPr="00ED3950" w:rsidRDefault="00ED3950">
            <w:pPr>
              <w:ind w:left="0"/>
              <w:jc w:val="left"/>
              <w:rPr>
                <w:bCs/>
                <w:color w:val="000000" w:themeColor="text1"/>
                <w:lang w:val="cs-CZ"/>
              </w:rPr>
            </w:pPr>
            <w:r w:rsidRPr="00ED3950">
              <w:rPr>
                <w:b w:val="0"/>
                <w:bCs/>
                <w:color w:val="000000" w:themeColor="text1"/>
                <w:lang w:val="cs-CZ"/>
              </w:rPr>
              <w:t xml:space="preserve">Španělská vláda zavedla zvláštní postup pro řešení situací, kdy neexistují technická kritéria pro </w:t>
            </w:r>
            <w:proofErr w:type="spellStart"/>
            <w:r w:rsidRPr="00ED3950">
              <w:rPr>
                <w:b w:val="0"/>
                <w:bCs/>
                <w:color w:val="000000" w:themeColor="text1"/>
                <w:lang w:val="cs-CZ"/>
              </w:rPr>
              <w:t>screening</w:t>
            </w:r>
            <w:proofErr w:type="spellEnd"/>
            <w:r w:rsidRPr="00ED3950">
              <w:rPr>
                <w:b w:val="0"/>
                <w:bCs/>
                <w:color w:val="000000" w:themeColor="text1"/>
                <w:lang w:val="cs-CZ"/>
              </w:rPr>
              <w:t xml:space="preserve"> DNSH. Tento proces zahrnuje spolupráci s technic</w:t>
            </w:r>
            <w:r w:rsidRPr="00ED3950">
              <w:rPr>
                <w:b w:val="0"/>
                <w:bCs/>
                <w:color w:val="000000" w:themeColor="text1"/>
                <w:lang w:val="cs-CZ"/>
              </w:rPr>
              <w:t>kými odborníky s cílem určit primární dopady činností v celém jejich životním cyklu, odhadnout tyto dopady a na jejich základě vyvodit závěry. Pokud jsou považovány za významné, musí příjemci předložit prohlášení o shodě s konkrétními kritérii pro podávání</w:t>
            </w:r>
            <w:r w:rsidRPr="00ED3950">
              <w:rPr>
                <w:b w:val="0"/>
                <w:bCs/>
                <w:color w:val="000000" w:themeColor="text1"/>
                <w:lang w:val="cs-CZ"/>
              </w:rPr>
              <w:t xml:space="preserve"> zpráv.</w:t>
            </w:r>
          </w:p>
          <w:p w:rsidR="005840C5" w:rsidRPr="00ED3950" w:rsidRDefault="00ED3950">
            <w:pPr>
              <w:ind w:left="0"/>
              <w:jc w:val="left"/>
              <w:rPr>
                <w:b w:val="0"/>
                <w:bCs/>
                <w:lang w:val="cs-CZ"/>
              </w:rPr>
            </w:pPr>
            <w:r w:rsidRPr="00ED3950">
              <w:rPr>
                <w:b w:val="0"/>
                <w:bCs/>
                <w:color w:val="000000" w:themeColor="text1"/>
                <w:szCs w:val="16"/>
                <w:lang w:val="cs-CZ"/>
              </w:rPr>
              <w:t>Tato praxe poskytuje kvalitativní kritéria a informace, a tak čelí výzvě vyvinout alternativní kritéria a metodiky pro klasifikaci inovačních investic.</w:t>
            </w:r>
          </w:p>
        </w:tc>
      </w:tr>
    </w:tbl>
    <w:p w:rsidR="005840C5" w:rsidRPr="00ED3950" w:rsidRDefault="00ED3950">
      <w:pPr>
        <w:pStyle w:val="Nadpis3"/>
        <w:ind w:left="567" w:hanging="567"/>
        <w:rPr>
          <w:lang w:val="cs-CZ"/>
        </w:rPr>
      </w:pPr>
      <w:bookmarkStart w:id="37" w:name="_Toc131775843"/>
      <w:proofErr w:type="spellStart"/>
      <w:r w:rsidRPr="00ED3950">
        <w:rPr>
          <w:lang w:val="cs-CZ"/>
        </w:rPr>
        <w:lastRenderedPageBreak/>
        <w:t>Replikovatelnost</w:t>
      </w:r>
      <w:proofErr w:type="spellEnd"/>
      <w:r w:rsidRPr="00ED3950">
        <w:rPr>
          <w:lang w:val="cs-CZ"/>
        </w:rPr>
        <w:t xml:space="preserve"> do českého prostředí</w:t>
      </w:r>
      <w:bookmarkEnd w:id="37"/>
    </w:p>
    <w:p w:rsidR="005840C5" w:rsidRPr="00ED3950" w:rsidRDefault="00ED3950">
      <w:pPr>
        <w:rPr>
          <w:lang w:val="cs-CZ"/>
        </w:rPr>
      </w:pPr>
      <w:r w:rsidRPr="00ED3950">
        <w:rPr>
          <w:lang w:val="cs-CZ"/>
        </w:rPr>
        <w:t>Za účelem vyhodnocení možnosti replikace výše uvedených p</w:t>
      </w:r>
      <w:r w:rsidRPr="00ED3950">
        <w:rPr>
          <w:lang w:val="cs-CZ"/>
        </w:rPr>
        <w:t xml:space="preserve">ostupů do Česka, </w:t>
      </w:r>
      <w:r w:rsidR="008A6193" w:rsidRPr="00ED3950">
        <w:rPr>
          <w:lang w:val="cs-CZ"/>
        </w:rPr>
        <w:fldChar w:fldCharType="begin"/>
      </w:r>
      <w:r w:rsidR="008A6193" w:rsidRPr="00ED3950">
        <w:rPr>
          <w:lang w:val="cs-CZ"/>
        </w:rPr>
        <w:instrText xml:space="preserve"> REF _Ref128060714 \h  \* MERGEFORMAT </w:instrText>
      </w:r>
      <w:r w:rsidR="008A6193" w:rsidRPr="00ED3950">
        <w:rPr>
          <w:lang w:val="cs-CZ"/>
        </w:rPr>
      </w:r>
      <w:r w:rsidR="008A6193" w:rsidRPr="00ED3950">
        <w:rPr>
          <w:lang w:val="cs-CZ"/>
        </w:rPr>
        <w:fldChar w:fldCharType="separate"/>
      </w:r>
      <w:r w:rsidR="000C5096" w:rsidRPr="00ED3950">
        <w:rPr>
          <w:lang w:val="cs-CZ"/>
        </w:rPr>
        <w:t>Tabulka 5</w:t>
      </w:r>
      <w:r w:rsidR="008A6193" w:rsidRPr="00ED3950">
        <w:rPr>
          <w:lang w:val="cs-CZ"/>
        </w:rPr>
        <w:fldChar w:fldCharType="end"/>
      </w:r>
      <w:r w:rsidRPr="00ED3950">
        <w:rPr>
          <w:lang w:val="cs-CZ"/>
        </w:rPr>
        <w:t xml:space="preserve"> shrnuje faktory, které umožňují a brání zavedení </w:t>
      </w:r>
      <w:r w:rsidR="00C075EB" w:rsidRPr="00ED3950">
        <w:rPr>
          <w:lang w:val="cs-CZ"/>
        </w:rPr>
        <w:t xml:space="preserve">a úspěchu </w:t>
      </w:r>
      <w:r w:rsidRPr="00ED3950">
        <w:rPr>
          <w:lang w:val="cs-CZ"/>
        </w:rPr>
        <w:t>těchto postupů.</w:t>
      </w:r>
      <w:r w:rsidR="00F90DE6" w:rsidRPr="00ED3950">
        <w:rPr>
          <w:lang w:val="cs-CZ"/>
        </w:rPr>
        <w:t xml:space="preserve"> Příznivé faktory jsou zde definovány jako faktory, které umožňují zavedení a účinnost postupů. </w:t>
      </w:r>
      <w:r w:rsidR="00F90DE6" w:rsidRPr="00ED3950" w:rsidDel="00E80B79">
        <w:rPr>
          <w:lang w:val="cs-CZ"/>
        </w:rPr>
        <w:t xml:space="preserve">Naproti </w:t>
      </w:r>
      <w:r w:rsidR="00E80B79" w:rsidRPr="00ED3950">
        <w:rPr>
          <w:lang w:val="cs-CZ"/>
        </w:rPr>
        <w:t xml:space="preserve">tomu </w:t>
      </w:r>
      <w:r w:rsidR="00F90DE6" w:rsidRPr="00ED3950">
        <w:rPr>
          <w:lang w:val="cs-CZ"/>
        </w:rPr>
        <w:t>bariéry jsou definovány jako faktory, které brání zavedení a účinnosti postupů.</w:t>
      </w:r>
    </w:p>
    <w:p w:rsidR="00767A7C" w:rsidRPr="00ED3950" w:rsidRDefault="00767A7C" w:rsidP="00373CAC">
      <w:pPr>
        <w:ind w:left="0"/>
        <w:rPr>
          <w:lang w:val="cs-CZ"/>
        </w:rPr>
      </w:pPr>
    </w:p>
    <w:p w:rsidR="005840C5" w:rsidRPr="00ED3950" w:rsidRDefault="00ED3950">
      <w:pPr>
        <w:pStyle w:val="Titulek"/>
        <w:keepNext/>
        <w:rPr>
          <w:lang w:val="cs-CZ"/>
        </w:rPr>
      </w:pPr>
      <w:bookmarkStart w:id="38" w:name="_Ref128060714"/>
      <w:r w:rsidRPr="00ED3950">
        <w:rPr>
          <w:lang w:val="cs-CZ"/>
        </w:rPr>
        <w:t xml:space="preserve">Tabulka </w:t>
      </w:r>
      <w:r w:rsidR="0094316D" w:rsidRPr="00ED3950">
        <w:rPr>
          <w:lang w:val="cs-CZ"/>
        </w:rPr>
        <w:fldChar w:fldCharType="begin"/>
      </w:r>
      <w:r w:rsidR="0094316D" w:rsidRPr="00ED3950">
        <w:rPr>
          <w:lang w:val="cs-CZ"/>
        </w:rPr>
        <w:instrText xml:space="preserve"> SEQ Table \* ARABIC </w:instrText>
      </w:r>
      <w:r w:rsidR="0094316D" w:rsidRPr="00ED3950">
        <w:rPr>
          <w:lang w:val="cs-CZ"/>
        </w:rPr>
        <w:fldChar w:fldCharType="separate"/>
      </w:r>
      <w:r w:rsidR="000C5096" w:rsidRPr="00ED3950">
        <w:rPr>
          <w:lang w:val="cs-CZ"/>
        </w:rPr>
        <w:t>5</w:t>
      </w:r>
      <w:r w:rsidR="0094316D" w:rsidRPr="00ED3950">
        <w:rPr>
          <w:lang w:val="cs-CZ"/>
        </w:rPr>
        <w:fldChar w:fldCharType="end"/>
      </w:r>
      <w:bookmarkEnd w:id="38"/>
      <w:r w:rsidRPr="00ED3950">
        <w:rPr>
          <w:lang w:val="cs-CZ"/>
        </w:rPr>
        <w:t xml:space="preserve"> Příznivé faktory a překážky přez</w:t>
      </w:r>
      <w:r w:rsidRPr="00ED3950">
        <w:rPr>
          <w:lang w:val="cs-CZ"/>
        </w:rPr>
        <w:t xml:space="preserve">koumávaných postupů pro </w:t>
      </w:r>
      <w:r w:rsidRPr="00ED3950">
        <w:rPr>
          <w:lang w:val="cs-CZ"/>
        </w:rPr>
        <w:t>výzkum a vývoj a ekologické inovace</w:t>
      </w:r>
    </w:p>
    <w:tbl>
      <w:tblPr>
        <w:tblStyle w:val="Table1"/>
        <w:tblW w:w="0" w:type="auto"/>
        <w:tblLook w:val="04A0" w:firstRow="1" w:lastRow="0" w:firstColumn="1" w:lastColumn="0" w:noHBand="0" w:noVBand="1"/>
      </w:tblPr>
      <w:tblGrid>
        <w:gridCol w:w="353"/>
        <w:gridCol w:w="2052"/>
        <w:gridCol w:w="1985"/>
        <w:gridCol w:w="1984"/>
        <w:gridCol w:w="2075"/>
      </w:tblGrid>
      <w:tr w:rsidR="00532CE9" w:rsidRPr="00ED3950" w:rsidTr="00D672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 w:type="dxa"/>
            <w:shd w:val="clear" w:color="auto" w:fill="B2CFCD" w:themeFill="accent3"/>
            <w:tcMar>
              <w:left w:w="0" w:type="dxa"/>
              <w:bottom w:w="28" w:type="dxa"/>
              <w:right w:w="28" w:type="dxa"/>
            </w:tcMar>
            <w:vAlign w:val="top"/>
          </w:tcPr>
          <w:p w:rsidR="00532CE9" w:rsidRPr="00ED3950" w:rsidRDefault="00532CE9" w:rsidP="00D67234">
            <w:pPr>
              <w:spacing w:before="100" w:beforeAutospacing="1"/>
              <w:ind w:left="0"/>
              <w:rPr>
                <w:color w:val="auto"/>
                <w:sz w:val="16"/>
                <w:szCs w:val="16"/>
                <w:lang w:val="cs-CZ"/>
              </w:rPr>
            </w:pPr>
          </w:p>
        </w:tc>
        <w:tc>
          <w:tcPr>
            <w:tcW w:w="2052" w:type="dxa"/>
            <w:shd w:val="clear" w:color="auto" w:fill="B2CFCD" w:themeFill="accent3"/>
            <w:tcMar>
              <w:left w:w="28" w:type="dxa"/>
              <w:bottom w:w="28" w:type="dxa"/>
              <w:right w:w="28" w:type="dxa"/>
            </w:tcMar>
          </w:tcPr>
          <w:p w:rsidR="005840C5" w:rsidRPr="00ED3950" w:rsidRDefault="00ED3950">
            <w:pPr>
              <w:ind w:left="0"/>
              <w:cnfStyle w:val="100000000000" w:firstRow="1" w:lastRow="0" w:firstColumn="0" w:lastColumn="0" w:oddVBand="0" w:evenVBand="0" w:oddHBand="0" w:evenHBand="0" w:firstRowFirstColumn="0" w:firstRowLastColumn="0" w:lastRowFirstColumn="0" w:lastRowLastColumn="0"/>
              <w:rPr>
                <w:b w:val="0"/>
                <w:sz w:val="16"/>
                <w:szCs w:val="16"/>
                <w:lang w:val="cs-CZ"/>
              </w:rPr>
            </w:pPr>
            <w:r w:rsidRPr="00ED3950">
              <w:rPr>
                <w:color w:val="auto"/>
                <w:sz w:val="16"/>
                <w:szCs w:val="16"/>
                <w:lang w:val="cs-CZ"/>
              </w:rPr>
              <w:t>Proces DNSH pro inovativní investice</w:t>
            </w:r>
          </w:p>
          <w:p w:rsidR="005840C5" w:rsidRPr="00ED3950" w:rsidRDefault="00ED3950">
            <w:pPr>
              <w:ind w:left="0"/>
              <w:cnfStyle w:val="100000000000" w:firstRow="1" w:lastRow="0" w:firstColumn="0" w:lastColumn="0" w:oddVBand="0" w:evenVBand="0" w:oddHBand="0" w:evenHBand="0" w:firstRowFirstColumn="0" w:firstRowLastColumn="0" w:lastRowFirstColumn="0" w:lastRowLastColumn="0"/>
              <w:rPr>
                <w:color w:val="auto"/>
                <w:sz w:val="16"/>
                <w:szCs w:val="16"/>
                <w:lang w:val="cs-CZ"/>
              </w:rPr>
            </w:pPr>
            <w:r w:rsidRPr="00ED3950">
              <w:rPr>
                <w:color w:val="auto"/>
                <w:sz w:val="16"/>
                <w:szCs w:val="16"/>
                <w:lang w:val="cs-CZ"/>
              </w:rPr>
              <w:t>(</w:t>
            </w:r>
            <w:r w:rsidR="001B21D9" w:rsidRPr="00ED3950">
              <w:rPr>
                <w:color w:val="auto"/>
                <w:sz w:val="16"/>
                <w:szCs w:val="16"/>
                <w:lang w:val="cs-CZ"/>
              </w:rPr>
              <w:t>FI</w:t>
            </w:r>
            <w:r w:rsidRPr="00ED3950">
              <w:rPr>
                <w:color w:val="auto"/>
                <w:sz w:val="16"/>
                <w:szCs w:val="16"/>
                <w:lang w:val="cs-CZ"/>
              </w:rPr>
              <w:t>)</w:t>
            </w:r>
          </w:p>
        </w:tc>
        <w:tc>
          <w:tcPr>
            <w:tcW w:w="1985" w:type="dxa"/>
            <w:shd w:val="clear" w:color="auto" w:fill="B2CFCD" w:themeFill="accent3"/>
            <w:tcMar>
              <w:left w:w="28" w:type="dxa"/>
              <w:bottom w:w="28" w:type="dxa"/>
              <w:right w:w="28" w:type="dxa"/>
            </w:tcMar>
          </w:tcPr>
          <w:p w:rsidR="005840C5" w:rsidRPr="00ED3950" w:rsidRDefault="00ED3950">
            <w:pPr>
              <w:ind w:left="0"/>
              <w:cnfStyle w:val="100000000000" w:firstRow="1" w:lastRow="0" w:firstColumn="0" w:lastColumn="0" w:oddVBand="0" w:evenVBand="0" w:oddHBand="0" w:evenHBand="0" w:firstRowFirstColumn="0" w:firstRowLastColumn="0" w:lastRowFirstColumn="0" w:lastRowLastColumn="0"/>
              <w:rPr>
                <w:b w:val="0"/>
                <w:sz w:val="16"/>
                <w:szCs w:val="16"/>
                <w:lang w:val="cs-CZ"/>
              </w:rPr>
            </w:pPr>
            <w:r w:rsidRPr="00ED3950">
              <w:rPr>
                <w:color w:val="auto"/>
                <w:sz w:val="16"/>
                <w:szCs w:val="16"/>
                <w:lang w:val="cs-CZ"/>
              </w:rPr>
              <w:t>Zelené rozpočtování</w:t>
            </w:r>
          </w:p>
          <w:p w:rsidR="00007780" w:rsidRPr="00ED3950" w:rsidRDefault="00007780">
            <w:pPr>
              <w:ind w:left="0"/>
              <w:cnfStyle w:val="100000000000" w:firstRow="1" w:lastRow="0" w:firstColumn="0" w:lastColumn="0" w:oddVBand="0" w:evenVBand="0" w:oddHBand="0" w:evenHBand="0" w:firstRowFirstColumn="0" w:firstRowLastColumn="0" w:lastRowFirstColumn="0" w:lastRowLastColumn="0"/>
              <w:rPr>
                <w:b w:val="0"/>
                <w:sz w:val="16"/>
                <w:szCs w:val="16"/>
                <w:lang w:val="cs-CZ"/>
              </w:rPr>
            </w:pPr>
          </w:p>
          <w:p w:rsidR="005840C5" w:rsidRPr="00ED3950" w:rsidRDefault="00ED3950">
            <w:pPr>
              <w:ind w:left="0"/>
              <w:cnfStyle w:val="100000000000" w:firstRow="1" w:lastRow="0" w:firstColumn="0" w:lastColumn="0" w:oddVBand="0" w:evenVBand="0" w:oddHBand="0" w:evenHBand="0" w:firstRowFirstColumn="0" w:firstRowLastColumn="0" w:lastRowFirstColumn="0" w:lastRowLastColumn="0"/>
              <w:rPr>
                <w:color w:val="auto"/>
                <w:sz w:val="16"/>
                <w:szCs w:val="16"/>
                <w:lang w:val="cs-CZ"/>
              </w:rPr>
            </w:pPr>
            <w:r w:rsidRPr="00ED3950">
              <w:rPr>
                <w:color w:val="auto"/>
                <w:sz w:val="16"/>
                <w:szCs w:val="16"/>
                <w:lang w:val="cs-CZ"/>
              </w:rPr>
              <w:t>(</w:t>
            </w:r>
            <w:r w:rsidR="00007780" w:rsidRPr="00ED3950">
              <w:rPr>
                <w:color w:val="auto"/>
                <w:sz w:val="16"/>
                <w:szCs w:val="16"/>
                <w:lang w:val="cs-CZ"/>
              </w:rPr>
              <w:t>AT</w:t>
            </w:r>
            <w:r w:rsidRPr="00ED3950">
              <w:rPr>
                <w:color w:val="auto"/>
                <w:sz w:val="16"/>
                <w:szCs w:val="16"/>
                <w:lang w:val="cs-CZ"/>
              </w:rPr>
              <w:t>)</w:t>
            </w:r>
          </w:p>
        </w:tc>
        <w:tc>
          <w:tcPr>
            <w:tcW w:w="1984" w:type="dxa"/>
            <w:shd w:val="clear" w:color="auto" w:fill="B2CFCD" w:themeFill="accent3"/>
            <w:tcMar>
              <w:left w:w="28" w:type="dxa"/>
              <w:bottom w:w="28" w:type="dxa"/>
              <w:right w:w="28" w:type="dxa"/>
            </w:tcMar>
          </w:tcPr>
          <w:p w:rsidR="005840C5" w:rsidRPr="00ED3950" w:rsidRDefault="00ED3950">
            <w:pPr>
              <w:ind w:left="0"/>
              <w:cnfStyle w:val="100000000000" w:firstRow="1" w:lastRow="0" w:firstColumn="0" w:lastColumn="0" w:oddVBand="0" w:evenVBand="0" w:oddHBand="0" w:evenHBand="0" w:firstRowFirstColumn="0" w:firstRowLastColumn="0" w:lastRowFirstColumn="0" w:lastRowLastColumn="0"/>
              <w:rPr>
                <w:b w:val="0"/>
                <w:sz w:val="16"/>
                <w:szCs w:val="16"/>
                <w:lang w:val="cs-CZ"/>
              </w:rPr>
            </w:pPr>
            <w:r w:rsidRPr="00ED3950">
              <w:rPr>
                <w:color w:val="auto"/>
                <w:sz w:val="16"/>
                <w:szCs w:val="16"/>
                <w:lang w:val="cs-CZ"/>
              </w:rPr>
              <w:t>Zlepšená koordinace mezi zúčastněnými stranami</w:t>
            </w:r>
          </w:p>
          <w:p w:rsidR="005840C5" w:rsidRPr="00ED3950" w:rsidRDefault="00ED3950">
            <w:pPr>
              <w:ind w:left="0"/>
              <w:cnfStyle w:val="100000000000" w:firstRow="1" w:lastRow="0" w:firstColumn="0" w:lastColumn="0" w:oddVBand="0" w:evenVBand="0" w:oddHBand="0" w:evenHBand="0" w:firstRowFirstColumn="0" w:firstRowLastColumn="0" w:lastRowFirstColumn="0" w:lastRowLastColumn="0"/>
              <w:rPr>
                <w:color w:val="auto"/>
                <w:sz w:val="16"/>
                <w:szCs w:val="16"/>
                <w:lang w:val="cs-CZ"/>
              </w:rPr>
            </w:pPr>
            <w:r w:rsidRPr="00ED3950">
              <w:rPr>
                <w:color w:val="auto"/>
                <w:sz w:val="16"/>
                <w:szCs w:val="16"/>
                <w:lang w:val="cs-CZ"/>
              </w:rPr>
              <w:t>(</w:t>
            </w:r>
            <w:r w:rsidRPr="00ED3950">
              <w:rPr>
                <w:color w:val="auto"/>
                <w:sz w:val="16"/>
                <w:szCs w:val="16"/>
                <w:lang w:val="cs-CZ"/>
              </w:rPr>
              <w:t>FI</w:t>
            </w:r>
            <w:r w:rsidRPr="00ED3950">
              <w:rPr>
                <w:color w:val="auto"/>
                <w:sz w:val="16"/>
                <w:szCs w:val="16"/>
                <w:lang w:val="cs-CZ"/>
              </w:rPr>
              <w:t>)</w:t>
            </w:r>
          </w:p>
        </w:tc>
        <w:tc>
          <w:tcPr>
            <w:tcW w:w="2075" w:type="dxa"/>
            <w:shd w:val="clear" w:color="auto" w:fill="B2CFCD" w:themeFill="accent3"/>
            <w:tcMar>
              <w:left w:w="28" w:type="dxa"/>
              <w:bottom w:w="28" w:type="dxa"/>
              <w:right w:w="28" w:type="dxa"/>
            </w:tcMar>
          </w:tcPr>
          <w:p w:rsidR="005840C5" w:rsidRPr="00ED3950" w:rsidRDefault="00ED3950">
            <w:pPr>
              <w:ind w:left="0"/>
              <w:cnfStyle w:val="100000000000" w:firstRow="1" w:lastRow="0" w:firstColumn="0" w:lastColumn="0" w:oddVBand="0" w:evenVBand="0" w:oddHBand="0" w:evenHBand="0" w:firstRowFirstColumn="0" w:firstRowLastColumn="0" w:lastRowFirstColumn="0" w:lastRowLastColumn="0"/>
              <w:rPr>
                <w:b w:val="0"/>
                <w:sz w:val="16"/>
                <w:szCs w:val="16"/>
                <w:lang w:val="cs-CZ"/>
              </w:rPr>
            </w:pPr>
            <w:r w:rsidRPr="00ED3950">
              <w:rPr>
                <w:color w:val="auto"/>
                <w:sz w:val="16"/>
                <w:szCs w:val="16"/>
                <w:lang w:val="cs-CZ"/>
              </w:rPr>
              <w:t xml:space="preserve">Využití širších zdrojů dat pro </w:t>
            </w:r>
            <w:r w:rsidR="006A104B" w:rsidRPr="00ED3950">
              <w:rPr>
                <w:color w:val="auto"/>
                <w:sz w:val="16"/>
                <w:szCs w:val="16"/>
                <w:lang w:val="cs-CZ"/>
              </w:rPr>
              <w:t>kategorizaci</w:t>
            </w:r>
          </w:p>
          <w:p w:rsidR="005840C5" w:rsidRPr="00ED3950" w:rsidRDefault="00ED3950">
            <w:pPr>
              <w:ind w:left="0"/>
              <w:cnfStyle w:val="100000000000" w:firstRow="1" w:lastRow="0" w:firstColumn="0" w:lastColumn="0" w:oddVBand="0" w:evenVBand="0" w:oddHBand="0" w:evenHBand="0" w:firstRowFirstColumn="0" w:firstRowLastColumn="0" w:lastRowFirstColumn="0" w:lastRowLastColumn="0"/>
              <w:rPr>
                <w:color w:val="auto"/>
                <w:sz w:val="16"/>
                <w:szCs w:val="16"/>
                <w:lang w:val="cs-CZ"/>
              </w:rPr>
            </w:pPr>
            <w:r w:rsidRPr="00ED3950">
              <w:rPr>
                <w:color w:val="auto"/>
                <w:sz w:val="16"/>
                <w:szCs w:val="16"/>
                <w:lang w:val="cs-CZ"/>
              </w:rPr>
              <w:t>(</w:t>
            </w:r>
            <w:r w:rsidR="00007780" w:rsidRPr="00ED3950">
              <w:rPr>
                <w:color w:val="auto"/>
                <w:sz w:val="16"/>
                <w:szCs w:val="16"/>
                <w:lang w:val="cs-CZ"/>
              </w:rPr>
              <w:t>ES</w:t>
            </w:r>
            <w:r w:rsidRPr="00ED3950">
              <w:rPr>
                <w:color w:val="auto"/>
                <w:sz w:val="16"/>
                <w:szCs w:val="16"/>
                <w:lang w:val="cs-CZ"/>
              </w:rPr>
              <w:t>)</w:t>
            </w:r>
          </w:p>
        </w:tc>
      </w:tr>
      <w:tr w:rsidR="00532CE9" w:rsidRPr="00ED3950" w:rsidTr="00D67234">
        <w:trPr>
          <w:cantSplit/>
          <w:trHeight w:val="1134"/>
        </w:trPr>
        <w:tc>
          <w:tcPr>
            <w:cnfStyle w:val="001000000000" w:firstRow="0" w:lastRow="0" w:firstColumn="1" w:lastColumn="0" w:oddVBand="0" w:evenVBand="0" w:oddHBand="0" w:evenHBand="0" w:firstRowFirstColumn="0" w:firstRowLastColumn="0" w:lastRowFirstColumn="0" w:lastRowLastColumn="0"/>
            <w:tcW w:w="353" w:type="dxa"/>
            <w:shd w:val="clear" w:color="auto" w:fill="B2CFCD" w:themeFill="accent3"/>
            <w:tcMar>
              <w:left w:w="0" w:type="dxa"/>
              <w:right w:w="28" w:type="dxa"/>
            </w:tcMar>
            <w:textDirection w:val="btLr"/>
            <w:vAlign w:val="top"/>
          </w:tcPr>
          <w:p w:rsidR="005840C5" w:rsidRPr="00ED3950" w:rsidRDefault="00ED3950">
            <w:pPr>
              <w:spacing w:before="100" w:beforeAutospacing="1"/>
              <w:ind w:left="113" w:right="113"/>
              <w:jc w:val="center"/>
              <w:rPr>
                <w:b/>
                <w:sz w:val="16"/>
                <w:szCs w:val="16"/>
                <w:lang w:val="cs-CZ"/>
              </w:rPr>
            </w:pPr>
            <w:r w:rsidRPr="00ED3950">
              <w:rPr>
                <w:b/>
                <w:sz w:val="16"/>
                <w:szCs w:val="16"/>
                <w:lang w:val="cs-CZ"/>
              </w:rPr>
              <w:t>Umožňující nástroje</w:t>
            </w:r>
          </w:p>
        </w:tc>
        <w:tc>
          <w:tcPr>
            <w:tcW w:w="2052" w:type="dxa"/>
            <w:tcMar>
              <w:top w:w="28" w:type="dxa"/>
              <w:left w:w="28" w:type="dxa"/>
              <w:right w:w="28" w:type="dxa"/>
            </w:tcMar>
          </w:tcPr>
          <w:p w:rsidR="005840C5" w:rsidRPr="00ED3950" w:rsidRDefault="00ED3950">
            <w:pPr>
              <w:spacing w:line="360" w:lineRule="auto"/>
              <w:ind w:left="0"/>
              <w:cnfStyle w:val="000000000000" w:firstRow="0" w:lastRow="0" w:firstColumn="0" w:lastColumn="0" w:oddVBand="0" w:evenVBand="0" w:oddHBand="0" w:evenHBand="0" w:firstRowFirstColumn="0" w:firstRowLastColumn="0" w:lastRowFirstColumn="0" w:lastRowLastColumn="0"/>
              <w:rPr>
                <w:sz w:val="15"/>
                <w:szCs w:val="15"/>
                <w:lang w:val="cs-CZ"/>
              </w:rPr>
            </w:pPr>
            <w:r w:rsidRPr="00ED3950">
              <w:rPr>
                <w:sz w:val="15"/>
                <w:szCs w:val="15"/>
                <w:lang w:val="cs-CZ"/>
              </w:rPr>
              <w:t xml:space="preserve">E1 </w:t>
            </w:r>
            <w:r w:rsidR="00A17783" w:rsidRPr="00ED3950">
              <w:rPr>
                <w:sz w:val="15"/>
                <w:szCs w:val="15"/>
                <w:lang w:val="cs-CZ"/>
              </w:rPr>
              <w:t>Národní směrnice</w:t>
            </w:r>
          </w:p>
          <w:p w:rsidR="005840C5" w:rsidRPr="00ED3950" w:rsidRDefault="00ED3950">
            <w:pPr>
              <w:spacing w:line="360" w:lineRule="auto"/>
              <w:ind w:left="0"/>
              <w:cnfStyle w:val="000000000000" w:firstRow="0" w:lastRow="0" w:firstColumn="0" w:lastColumn="0" w:oddVBand="0" w:evenVBand="0" w:oddHBand="0" w:evenHBand="0" w:firstRowFirstColumn="0" w:firstRowLastColumn="0" w:lastRowFirstColumn="0" w:lastRowLastColumn="0"/>
              <w:rPr>
                <w:sz w:val="15"/>
                <w:szCs w:val="15"/>
                <w:lang w:val="cs-CZ"/>
              </w:rPr>
            </w:pPr>
            <w:r w:rsidRPr="00ED3950">
              <w:rPr>
                <w:sz w:val="15"/>
                <w:szCs w:val="15"/>
                <w:lang w:val="cs-CZ"/>
              </w:rPr>
              <w:t xml:space="preserve">E2 </w:t>
            </w:r>
            <w:r w:rsidR="00C043B5" w:rsidRPr="00ED3950">
              <w:rPr>
                <w:sz w:val="15"/>
                <w:szCs w:val="15"/>
                <w:lang w:val="cs-CZ"/>
              </w:rPr>
              <w:t>Spolupráce s odborníky</w:t>
            </w:r>
          </w:p>
          <w:p w:rsidR="005840C5" w:rsidRPr="00ED3950" w:rsidRDefault="00ED3950">
            <w:pPr>
              <w:spacing w:line="360" w:lineRule="auto"/>
              <w:ind w:left="0"/>
              <w:cnfStyle w:val="000000000000" w:firstRow="0" w:lastRow="0" w:firstColumn="0" w:lastColumn="0" w:oddVBand="0" w:evenVBand="0" w:oddHBand="0" w:evenHBand="0" w:firstRowFirstColumn="0" w:firstRowLastColumn="0" w:lastRowFirstColumn="0" w:lastRowLastColumn="0"/>
              <w:rPr>
                <w:sz w:val="15"/>
                <w:szCs w:val="15"/>
                <w:lang w:val="cs-CZ"/>
              </w:rPr>
            </w:pPr>
            <w:r w:rsidRPr="00ED3950">
              <w:rPr>
                <w:sz w:val="15"/>
                <w:szCs w:val="15"/>
                <w:lang w:val="cs-CZ"/>
              </w:rPr>
              <w:t xml:space="preserve">E3 </w:t>
            </w:r>
            <w:r w:rsidR="00092D24" w:rsidRPr="00ED3950">
              <w:rPr>
                <w:sz w:val="15"/>
                <w:szCs w:val="15"/>
                <w:lang w:val="cs-CZ"/>
              </w:rPr>
              <w:t xml:space="preserve">Následné </w:t>
            </w:r>
            <w:r w:rsidRPr="00ED3950">
              <w:rPr>
                <w:sz w:val="15"/>
                <w:szCs w:val="15"/>
                <w:lang w:val="cs-CZ"/>
              </w:rPr>
              <w:t>ujištění</w:t>
            </w:r>
          </w:p>
        </w:tc>
        <w:tc>
          <w:tcPr>
            <w:tcW w:w="1985" w:type="dxa"/>
            <w:tcMar>
              <w:top w:w="28" w:type="dxa"/>
              <w:left w:w="28" w:type="dxa"/>
              <w:right w:w="28" w:type="dxa"/>
            </w:tcMar>
          </w:tcPr>
          <w:p w:rsidR="005840C5" w:rsidRPr="00ED3950" w:rsidRDefault="00ED3950">
            <w:pPr>
              <w:spacing w:line="360" w:lineRule="auto"/>
              <w:ind w:left="0"/>
              <w:cnfStyle w:val="000000000000" w:firstRow="0" w:lastRow="0" w:firstColumn="0" w:lastColumn="0" w:oddVBand="0" w:evenVBand="0" w:oddHBand="0" w:evenHBand="0" w:firstRowFirstColumn="0" w:firstRowLastColumn="0" w:lastRowFirstColumn="0" w:lastRowLastColumn="0"/>
              <w:rPr>
                <w:sz w:val="15"/>
                <w:szCs w:val="15"/>
                <w:lang w:val="cs-CZ"/>
              </w:rPr>
            </w:pPr>
            <w:bookmarkStart w:id="39" w:name="_Hlk127799349"/>
            <w:r w:rsidRPr="00ED3950">
              <w:rPr>
                <w:sz w:val="15"/>
                <w:szCs w:val="15"/>
                <w:lang w:val="cs-CZ"/>
              </w:rPr>
              <w:t xml:space="preserve">E4 </w:t>
            </w:r>
            <w:r w:rsidR="00FF5297" w:rsidRPr="00ED3950">
              <w:rPr>
                <w:sz w:val="15"/>
                <w:szCs w:val="15"/>
                <w:lang w:val="cs-CZ"/>
              </w:rPr>
              <w:t>Dostatečné zdroje</w:t>
            </w:r>
          </w:p>
          <w:p w:rsidR="005840C5" w:rsidRPr="00ED3950" w:rsidRDefault="00ED3950">
            <w:pPr>
              <w:spacing w:line="360" w:lineRule="auto"/>
              <w:ind w:left="0"/>
              <w:cnfStyle w:val="000000000000" w:firstRow="0" w:lastRow="0" w:firstColumn="0" w:lastColumn="0" w:oddVBand="0" w:evenVBand="0" w:oddHBand="0" w:evenHBand="0" w:firstRowFirstColumn="0" w:firstRowLastColumn="0" w:lastRowFirstColumn="0" w:lastRowLastColumn="0"/>
              <w:rPr>
                <w:sz w:val="15"/>
                <w:szCs w:val="15"/>
                <w:lang w:val="cs-CZ"/>
              </w:rPr>
            </w:pPr>
            <w:r w:rsidRPr="00ED3950">
              <w:rPr>
                <w:sz w:val="15"/>
                <w:szCs w:val="15"/>
                <w:lang w:val="cs-CZ"/>
              </w:rPr>
              <w:t xml:space="preserve">E5 </w:t>
            </w:r>
            <w:r w:rsidR="00BD2A29" w:rsidRPr="00ED3950">
              <w:rPr>
                <w:sz w:val="15"/>
                <w:szCs w:val="15"/>
                <w:lang w:val="cs-CZ"/>
              </w:rPr>
              <w:t>Vícenásobné dávky</w:t>
            </w:r>
          </w:p>
          <w:p w:rsidR="005840C5" w:rsidRPr="00ED3950" w:rsidRDefault="00ED3950">
            <w:pPr>
              <w:spacing w:line="360" w:lineRule="auto"/>
              <w:ind w:left="0"/>
              <w:cnfStyle w:val="000000000000" w:firstRow="0" w:lastRow="0" w:firstColumn="0" w:lastColumn="0" w:oddVBand="0" w:evenVBand="0" w:oddHBand="0" w:evenHBand="0" w:firstRowFirstColumn="0" w:firstRowLastColumn="0" w:lastRowFirstColumn="0" w:lastRowLastColumn="0"/>
              <w:rPr>
                <w:sz w:val="15"/>
                <w:szCs w:val="15"/>
                <w:lang w:val="cs-CZ"/>
              </w:rPr>
            </w:pPr>
            <w:bookmarkStart w:id="40" w:name="_Hlk127799491"/>
            <w:bookmarkEnd w:id="39"/>
            <w:r w:rsidRPr="00ED3950">
              <w:rPr>
                <w:sz w:val="15"/>
                <w:szCs w:val="15"/>
                <w:lang w:val="cs-CZ"/>
              </w:rPr>
              <w:t xml:space="preserve">E6 </w:t>
            </w:r>
            <w:r w:rsidR="00C43351" w:rsidRPr="00ED3950">
              <w:rPr>
                <w:sz w:val="15"/>
                <w:szCs w:val="15"/>
                <w:lang w:val="cs-CZ"/>
              </w:rPr>
              <w:t xml:space="preserve">Postupný </w:t>
            </w:r>
            <w:r w:rsidR="00BC1812" w:rsidRPr="00ED3950">
              <w:rPr>
                <w:sz w:val="15"/>
                <w:szCs w:val="15"/>
                <w:lang w:val="cs-CZ"/>
              </w:rPr>
              <w:t>přístup</w:t>
            </w:r>
            <w:bookmarkEnd w:id="40"/>
          </w:p>
        </w:tc>
        <w:tc>
          <w:tcPr>
            <w:tcW w:w="1984" w:type="dxa"/>
            <w:tcMar>
              <w:top w:w="28" w:type="dxa"/>
              <w:left w:w="28" w:type="dxa"/>
              <w:right w:w="28" w:type="dxa"/>
            </w:tcMar>
          </w:tcPr>
          <w:p w:rsidR="005840C5" w:rsidRPr="00ED3950" w:rsidRDefault="00ED3950">
            <w:pPr>
              <w:spacing w:line="360" w:lineRule="auto"/>
              <w:ind w:left="0"/>
              <w:cnfStyle w:val="000000000000" w:firstRow="0" w:lastRow="0" w:firstColumn="0" w:lastColumn="0" w:oddVBand="0" w:evenVBand="0" w:oddHBand="0" w:evenHBand="0" w:firstRowFirstColumn="0" w:firstRowLastColumn="0" w:lastRowFirstColumn="0" w:lastRowLastColumn="0"/>
              <w:rPr>
                <w:sz w:val="15"/>
                <w:szCs w:val="15"/>
                <w:lang w:val="cs-CZ"/>
              </w:rPr>
            </w:pPr>
            <w:r w:rsidRPr="00ED3950">
              <w:rPr>
                <w:sz w:val="15"/>
                <w:szCs w:val="15"/>
                <w:lang w:val="cs-CZ"/>
              </w:rPr>
              <w:t>E4 Dostatečné zdroje</w:t>
            </w:r>
          </w:p>
          <w:p w:rsidR="005840C5" w:rsidRPr="00ED3950" w:rsidRDefault="00ED3950">
            <w:pPr>
              <w:spacing w:line="360" w:lineRule="auto"/>
              <w:ind w:left="0"/>
              <w:cnfStyle w:val="000000000000" w:firstRow="0" w:lastRow="0" w:firstColumn="0" w:lastColumn="0" w:oddVBand="0" w:evenVBand="0" w:oddHBand="0" w:evenHBand="0" w:firstRowFirstColumn="0" w:firstRowLastColumn="0" w:lastRowFirstColumn="0" w:lastRowLastColumn="0"/>
              <w:rPr>
                <w:sz w:val="15"/>
                <w:szCs w:val="15"/>
                <w:lang w:val="cs-CZ"/>
              </w:rPr>
            </w:pPr>
            <w:r w:rsidRPr="00ED3950">
              <w:rPr>
                <w:sz w:val="15"/>
                <w:szCs w:val="15"/>
                <w:lang w:val="cs-CZ"/>
              </w:rPr>
              <w:t xml:space="preserve">E7 </w:t>
            </w:r>
            <w:r w:rsidR="00FD3C70" w:rsidRPr="00ED3950">
              <w:rPr>
                <w:sz w:val="15"/>
                <w:szCs w:val="15"/>
                <w:lang w:val="cs-CZ"/>
              </w:rPr>
              <w:t>Jasné rozdělení rolí</w:t>
            </w:r>
          </w:p>
          <w:p w:rsidR="005840C5" w:rsidRPr="00ED3950" w:rsidRDefault="00ED3950">
            <w:pPr>
              <w:spacing w:line="360" w:lineRule="auto"/>
              <w:ind w:left="0"/>
              <w:cnfStyle w:val="000000000000" w:firstRow="0" w:lastRow="0" w:firstColumn="0" w:lastColumn="0" w:oddVBand="0" w:evenVBand="0" w:oddHBand="0" w:evenHBand="0" w:firstRowFirstColumn="0" w:firstRowLastColumn="0" w:lastRowFirstColumn="0" w:lastRowLastColumn="0"/>
              <w:rPr>
                <w:sz w:val="15"/>
                <w:szCs w:val="15"/>
                <w:lang w:val="cs-CZ"/>
              </w:rPr>
            </w:pPr>
            <w:r w:rsidRPr="00ED3950">
              <w:rPr>
                <w:sz w:val="15"/>
                <w:szCs w:val="15"/>
                <w:lang w:val="cs-CZ"/>
              </w:rPr>
              <w:t>E8 Nízký objem projektů</w:t>
            </w:r>
          </w:p>
        </w:tc>
        <w:tc>
          <w:tcPr>
            <w:tcW w:w="2075" w:type="dxa"/>
            <w:tcMar>
              <w:top w:w="28" w:type="dxa"/>
              <w:left w:w="28" w:type="dxa"/>
              <w:right w:w="28" w:type="dxa"/>
            </w:tcMar>
          </w:tcPr>
          <w:p w:rsidR="005840C5" w:rsidRPr="00ED3950" w:rsidRDefault="00ED3950">
            <w:pPr>
              <w:spacing w:line="360" w:lineRule="auto"/>
              <w:ind w:left="0"/>
              <w:cnfStyle w:val="000000000000" w:firstRow="0" w:lastRow="0" w:firstColumn="0" w:lastColumn="0" w:oddVBand="0" w:evenVBand="0" w:oddHBand="0" w:evenHBand="0" w:firstRowFirstColumn="0" w:firstRowLastColumn="0" w:lastRowFirstColumn="0" w:lastRowLastColumn="0"/>
              <w:rPr>
                <w:sz w:val="15"/>
                <w:szCs w:val="15"/>
                <w:lang w:val="cs-CZ"/>
              </w:rPr>
            </w:pPr>
            <w:r w:rsidRPr="00ED3950">
              <w:rPr>
                <w:sz w:val="15"/>
                <w:szCs w:val="15"/>
                <w:lang w:val="cs-CZ"/>
              </w:rPr>
              <w:t xml:space="preserve">E9 </w:t>
            </w:r>
            <w:r w:rsidR="006A104B" w:rsidRPr="00ED3950">
              <w:rPr>
                <w:sz w:val="15"/>
                <w:szCs w:val="15"/>
                <w:lang w:val="cs-CZ"/>
              </w:rPr>
              <w:t>Mapování stávajícího rozpočtu</w:t>
            </w:r>
          </w:p>
          <w:p w:rsidR="005840C5" w:rsidRPr="00ED3950" w:rsidRDefault="00ED3950">
            <w:pPr>
              <w:spacing w:line="360" w:lineRule="auto"/>
              <w:ind w:left="0"/>
              <w:cnfStyle w:val="000000000000" w:firstRow="0" w:lastRow="0" w:firstColumn="0" w:lastColumn="0" w:oddVBand="0" w:evenVBand="0" w:oddHBand="0" w:evenHBand="0" w:firstRowFirstColumn="0" w:firstRowLastColumn="0" w:lastRowFirstColumn="0" w:lastRowLastColumn="0"/>
              <w:rPr>
                <w:spacing w:val="-4"/>
                <w:sz w:val="15"/>
                <w:szCs w:val="15"/>
                <w:lang w:val="cs-CZ"/>
              </w:rPr>
            </w:pPr>
            <w:r w:rsidRPr="00ED3950">
              <w:rPr>
                <w:spacing w:val="-4"/>
                <w:sz w:val="15"/>
                <w:szCs w:val="15"/>
                <w:lang w:val="cs-CZ"/>
              </w:rPr>
              <w:t xml:space="preserve">E10 </w:t>
            </w:r>
            <w:r w:rsidR="00FD3C70" w:rsidRPr="00ED3950">
              <w:rPr>
                <w:spacing w:val="-4"/>
                <w:sz w:val="15"/>
                <w:szCs w:val="15"/>
                <w:lang w:val="cs-CZ"/>
              </w:rPr>
              <w:t>Stávající odvětvové strategie</w:t>
            </w:r>
          </w:p>
          <w:p w:rsidR="005840C5" w:rsidRPr="00ED3950" w:rsidRDefault="00ED3950">
            <w:pPr>
              <w:spacing w:line="360" w:lineRule="auto"/>
              <w:ind w:left="0"/>
              <w:cnfStyle w:val="000000000000" w:firstRow="0" w:lastRow="0" w:firstColumn="0" w:lastColumn="0" w:oddVBand="0" w:evenVBand="0" w:oddHBand="0" w:evenHBand="0" w:firstRowFirstColumn="0" w:firstRowLastColumn="0" w:lastRowFirstColumn="0" w:lastRowLastColumn="0"/>
              <w:rPr>
                <w:sz w:val="15"/>
                <w:szCs w:val="15"/>
                <w:lang w:val="cs-CZ"/>
              </w:rPr>
            </w:pPr>
            <w:r w:rsidRPr="00ED3950">
              <w:rPr>
                <w:sz w:val="15"/>
                <w:szCs w:val="15"/>
                <w:lang w:val="cs-CZ"/>
              </w:rPr>
              <w:t xml:space="preserve">E6 </w:t>
            </w:r>
            <w:r w:rsidR="00BC1812" w:rsidRPr="00ED3950">
              <w:rPr>
                <w:sz w:val="15"/>
                <w:szCs w:val="15"/>
                <w:lang w:val="cs-CZ"/>
              </w:rPr>
              <w:t>Postupný přístup</w:t>
            </w:r>
          </w:p>
        </w:tc>
      </w:tr>
      <w:tr w:rsidR="00532CE9" w:rsidRPr="00ED3950" w:rsidTr="00D67234">
        <w:trPr>
          <w:cantSplit/>
          <w:trHeight w:val="945"/>
        </w:trPr>
        <w:tc>
          <w:tcPr>
            <w:cnfStyle w:val="001000000000" w:firstRow="0" w:lastRow="0" w:firstColumn="1" w:lastColumn="0" w:oddVBand="0" w:evenVBand="0" w:oddHBand="0" w:evenHBand="0" w:firstRowFirstColumn="0" w:firstRowLastColumn="0" w:lastRowFirstColumn="0" w:lastRowLastColumn="0"/>
            <w:tcW w:w="353" w:type="dxa"/>
            <w:shd w:val="clear" w:color="auto" w:fill="B2CFCD" w:themeFill="accent3"/>
            <w:tcMar>
              <w:left w:w="0" w:type="dxa"/>
              <w:right w:w="28" w:type="dxa"/>
            </w:tcMar>
            <w:textDirection w:val="btLr"/>
            <w:vAlign w:val="top"/>
          </w:tcPr>
          <w:p w:rsidR="005840C5" w:rsidRPr="00ED3950" w:rsidRDefault="00ED3950">
            <w:pPr>
              <w:spacing w:before="100" w:beforeAutospacing="1"/>
              <w:ind w:left="113" w:right="113"/>
              <w:jc w:val="center"/>
              <w:rPr>
                <w:b/>
                <w:sz w:val="16"/>
                <w:szCs w:val="16"/>
                <w:lang w:val="cs-CZ"/>
              </w:rPr>
            </w:pPr>
            <w:r w:rsidRPr="00ED3950">
              <w:rPr>
                <w:b/>
                <w:sz w:val="16"/>
                <w:szCs w:val="16"/>
                <w:lang w:val="cs-CZ"/>
              </w:rPr>
              <w:t>Překážky</w:t>
            </w:r>
          </w:p>
        </w:tc>
        <w:tc>
          <w:tcPr>
            <w:tcW w:w="2052" w:type="dxa"/>
            <w:tcMar>
              <w:top w:w="28" w:type="dxa"/>
              <w:left w:w="28" w:type="dxa"/>
              <w:right w:w="28" w:type="dxa"/>
            </w:tcMar>
          </w:tcPr>
          <w:p w:rsidR="005840C5" w:rsidRPr="00ED3950" w:rsidRDefault="00ED3950">
            <w:pPr>
              <w:spacing w:line="360" w:lineRule="auto"/>
              <w:ind w:left="0"/>
              <w:cnfStyle w:val="000000000000" w:firstRow="0" w:lastRow="0" w:firstColumn="0" w:lastColumn="0" w:oddVBand="0" w:evenVBand="0" w:oddHBand="0" w:evenHBand="0" w:firstRowFirstColumn="0" w:firstRowLastColumn="0" w:lastRowFirstColumn="0" w:lastRowLastColumn="0"/>
              <w:rPr>
                <w:spacing w:val="-6"/>
                <w:sz w:val="15"/>
                <w:szCs w:val="15"/>
                <w:lang w:val="cs-CZ"/>
              </w:rPr>
            </w:pPr>
            <w:r w:rsidRPr="00ED3950">
              <w:rPr>
                <w:spacing w:val="-6"/>
                <w:sz w:val="15"/>
                <w:szCs w:val="15"/>
                <w:lang w:val="cs-CZ"/>
              </w:rPr>
              <w:t xml:space="preserve">B1 </w:t>
            </w:r>
            <w:r w:rsidR="008F1F26" w:rsidRPr="00ED3950">
              <w:rPr>
                <w:spacing w:val="-6"/>
                <w:sz w:val="15"/>
                <w:szCs w:val="15"/>
                <w:lang w:val="cs-CZ"/>
              </w:rPr>
              <w:t xml:space="preserve">Oficiální </w:t>
            </w:r>
            <w:r w:rsidR="005414B2" w:rsidRPr="00ED3950">
              <w:rPr>
                <w:spacing w:val="-6"/>
                <w:sz w:val="15"/>
                <w:szCs w:val="15"/>
                <w:lang w:val="cs-CZ"/>
              </w:rPr>
              <w:t>definice bezúhonnosti</w:t>
            </w:r>
          </w:p>
          <w:p w:rsidR="005840C5" w:rsidRPr="00ED3950" w:rsidRDefault="00ED3950">
            <w:pPr>
              <w:spacing w:line="360" w:lineRule="auto"/>
              <w:ind w:left="0"/>
              <w:cnfStyle w:val="000000000000" w:firstRow="0" w:lastRow="0" w:firstColumn="0" w:lastColumn="0" w:oddVBand="0" w:evenVBand="0" w:oddHBand="0" w:evenHBand="0" w:firstRowFirstColumn="0" w:firstRowLastColumn="0" w:lastRowFirstColumn="0" w:lastRowLastColumn="0"/>
              <w:rPr>
                <w:spacing w:val="-4"/>
                <w:sz w:val="15"/>
                <w:szCs w:val="15"/>
                <w:lang w:val="cs-CZ"/>
              </w:rPr>
            </w:pPr>
            <w:r w:rsidRPr="00ED3950">
              <w:rPr>
                <w:spacing w:val="-4"/>
                <w:sz w:val="15"/>
                <w:szCs w:val="15"/>
                <w:lang w:val="cs-CZ"/>
              </w:rPr>
              <w:t xml:space="preserve">B2 </w:t>
            </w:r>
            <w:r w:rsidR="00C40361" w:rsidRPr="00ED3950">
              <w:rPr>
                <w:spacing w:val="-4"/>
                <w:sz w:val="15"/>
                <w:szCs w:val="15"/>
                <w:lang w:val="cs-CZ"/>
              </w:rPr>
              <w:t>Nedostatek srovnávacích bodů</w:t>
            </w:r>
          </w:p>
        </w:tc>
        <w:tc>
          <w:tcPr>
            <w:tcW w:w="1985" w:type="dxa"/>
            <w:tcMar>
              <w:top w:w="28" w:type="dxa"/>
              <w:left w:w="28" w:type="dxa"/>
              <w:right w:w="28" w:type="dxa"/>
            </w:tcMar>
          </w:tcPr>
          <w:p w:rsidR="005840C5" w:rsidRPr="00ED3950" w:rsidRDefault="00ED3950">
            <w:pPr>
              <w:spacing w:line="360" w:lineRule="auto"/>
              <w:ind w:left="0"/>
              <w:cnfStyle w:val="000000000000" w:firstRow="0" w:lastRow="0" w:firstColumn="0" w:lastColumn="0" w:oddVBand="0" w:evenVBand="0" w:oddHBand="0" w:evenHBand="0" w:firstRowFirstColumn="0" w:firstRowLastColumn="0" w:lastRowFirstColumn="0" w:lastRowLastColumn="0"/>
              <w:rPr>
                <w:sz w:val="15"/>
                <w:szCs w:val="15"/>
                <w:lang w:val="cs-CZ"/>
              </w:rPr>
            </w:pPr>
            <w:r w:rsidRPr="00ED3950">
              <w:rPr>
                <w:sz w:val="15"/>
                <w:szCs w:val="15"/>
                <w:lang w:val="cs-CZ"/>
              </w:rPr>
              <w:t xml:space="preserve">B3 </w:t>
            </w:r>
            <w:r w:rsidR="00ED5A3F" w:rsidRPr="00ED3950">
              <w:rPr>
                <w:sz w:val="15"/>
                <w:szCs w:val="15"/>
                <w:lang w:val="cs-CZ"/>
              </w:rPr>
              <w:t>Nedostatečné zajištění kvality</w:t>
            </w:r>
          </w:p>
          <w:p w:rsidR="005840C5" w:rsidRPr="00ED3950" w:rsidRDefault="00ED3950">
            <w:pPr>
              <w:spacing w:line="360" w:lineRule="auto"/>
              <w:ind w:left="0"/>
              <w:cnfStyle w:val="000000000000" w:firstRow="0" w:lastRow="0" w:firstColumn="0" w:lastColumn="0" w:oddVBand="0" w:evenVBand="0" w:oddHBand="0" w:evenHBand="0" w:firstRowFirstColumn="0" w:firstRowLastColumn="0" w:lastRowFirstColumn="0" w:lastRowLastColumn="0"/>
              <w:rPr>
                <w:sz w:val="15"/>
                <w:szCs w:val="15"/>
                <w:lang w:val="cs-CZ"/>
              </w:rPr>
            </w:pPr>
            <w:r w:rsidRPr="00ED3950">
              <w:rPr>
                <w:sz w:val="15"/>
                <w:szCs w:val="15"/>
                <w:lang w:val="cs-CZ"/>
              </w:rPr>
              <w:t xml:space="preserve">B4 </w:t>
            </w:r>
            <w:r w:rsidR="00BB5966" w:rsidRPr="00ED3950">
              <w:rPr>
                <w:sz w:val="15"/>
                <w:szCs w:val="15"/>
                <w:lang w:val="cs-CZ"/>
              </w:rPr>
              <w:t xml:space="preserve">Omezený </w:t>
            </w:r>
            <w:r w:rsidR="00981319" w:rsidRPr="00ED3950">
              <w:rPr>
                <w:sz w:val="15"/>
                <w:szCs w:val="15"/>
                <w:lang w:val="cs-CZ"/>
              </w:rPr>
              <w:t>politický tlak</w:t>
            </w:r>
          </w:p>
        </w:tc>
        <w:tc>
          <w:tcPr>
            <w:tcW w:w="1984" w:type="dxa"/>
            <w:tcMar>
              <w:top w:w="28" w:type="dxa"/>
              <w:left w:w="28" w:type="dxa"/>
              <w:right w:w="28" w:type="dxa"/>
            </w:tcMar>
          </w:tcPr>
          <w:p w:rsidR="005840C5" w:rsidRPr="00ED3950" w:rsidRDefault="00ED3950">
            <w:pPr>
              <w:spacing w:line="360" w:lineRule="auto"/>
              <w:ind w:left="0"/>
              <w:cnfStyle w:val="000000000000" w:firstRow="0" w:lastRow="0" w:firstColumn="0" w:lastColumn="0" w:oddVBand="0" w:evenVBand="0" w:oddHBand="0" w:evenHBand="0" w:firstRowFirstColumn="0" w:firstRowLastColumn="0" w:lastRowFirstColumn="0" w:lastRowLastColumn="0"/>
              <w:rPr>
                <w:spacing w:val="-4"/>
                <w:sz w:val="15"/>
                <w:szCs w:val="15"/>
                <w:lang w:val="cs-CZ"/>
              </w:rPr>
            </w:pPr>
            <w:r w:rsidRPr="00ED3950">
              <w:rPr>
                <w:spacing w:val="-4"/>
                <w:sz w:val="15"/>
                <w:szCs w:val="15"/>
                <w:lang w:val="cs-CZ"/>
              </w:rPr>
              <w:t xml:space="preserve">B5 </w:t>
            </w:r>
            <w:r w:rsidR="00336A8E" w:rsidRPr="00ED3950">
              <w:rPr>
                <w:spacing w:val="-4"/>
                <w:sz w:val="15"/>
                <w:szCs w:val="15"/>
                <w:lang w:val="cs-CZ"/>
              </w:rPr>
              <w:t>Omezená institucionalizace</w:t>
            </w:r>
          </w:p>
        </w:tc>
        <w:tc>
          <w:tcPr>
            <w:tcW w:w="2075" w:type="dxa"/>
            <w:tcMar>
              <w:top w:w="28" w:type="dxa"/>
              <w:left w:w="28" w:type="dxa"/>
              <w:right w:w="28" w:type="dxa"/>
            </w:tcMar>
          </w:tcPr>
          <w:p w:rsidR="005840C5" w:rsidRPr="00ED3950" w:rsidRDefault="00ED3950">
            <w:pPr>
              <w:spacing w:line="360" w:lineRule="auto"/>
              <w:ind w:left="0"/>
              <w:cnfStyle w:val="000000000000" w:firstRow="0" w:lastRow="0" w:firstColumn="0" w:lastColumn="0" w:oddVBand="0" w:evenVBand="0" w:oddHBand="0" w:evenHBand="0" w:firstRowFirstColumn="0" w:firstRowLastColumn="0" w:lastRowFirstColumn="0" w:lastRowLastColumn="0"/>
              <w:rPr>
                <w:sz w:val="15"/>
                <w:szCs w:val="15"/>
                <w:lang w:val="cs-CZ"/>
              </w:rPr>
            </w:pPr>
            <w:r w:rsidRPr="00ED3950">
              <w:rPr>
                <w:spacing w:val="-4"/>
                <w:sz w:val="15"/>
                <w:szCs w:val="15"/>
                <w:lang w:val="cs-CZ"/>
              </w:rPr>
              <w:t xml:space="preserve">B5 </w:t>
            </w:r>
            <w:r w:rsidR="00B36295" w:rsidRPr="00ED3950">
              <w:rPr>
                <w:spacing w:val="-4"/>
                <w:sz w:val="15"/>
                <w:szCs w:val="15"/>
                <w:lang w:val="cs-CZ"/>
              </w:rPr>
              <w:t>Omezená institucionalizace</w:t>
            </w:r>
          </w:p>
        </w:tc>
      </w:tr>
    </w:tbl>
    <w:p w:rsidR="00373CAC" w:rsidRPr="00ED3950" w:rsidRDefault="00373CAC" w:rsidP="00373CAC">
      <w:pPr>
        <w:ind w:left="0"/>
        <w:rPr>
          <w:lang w:val="cs-CZ"/>
        </w:rPr>
      </w:pPr>
    </w:p>
    <w:p w:rsidR="005840C5" w:rsidRPr="00ED3950" w:rsidRDefault="00ED3950">
      <w:pPr>
        <w:pStyle w:val="Nadpis4"/>
        <w:rPr>
          <w:lang w:val="cs-CZ"/>
        </w:rPr>
      </w:pPr>
      <w:proofErr w:type="spellStart"/>
      <w:r w:rsidRPr="00ED3950">
        <w:rPr>
          <w:lang w:val="cs-CZ"/>
        </w:rPr>
        <w:t>Replikovatelnost</w:t>
      </w:r>
      <w:proofErr w:type="spellEnd"/>
      <w:r w:rsidRPr="00ED3950">
        <w:rPr>
          <w:lang w:val="cs-CZ"/>
        </w:rPr>
        <w:t xml:space="preserve"> </w:t>
      </w:r>
      <w:r w:rsidR="00E77B62" w:rsidRPr="00ED3950">
        <w:rPr>
          <w:lang w:val="cs-CZ"/>
        </w:rPr>
        <w:t>specializovaného procesu pro inovační investice (</w:t>
      </w:r>
      <w:r w:rsidR="00E80B79" w:rsidRPr="00ED3950">
        <w:rPr>
          <w:lang w:val="cs-CZ"/>
        </w:rPr>
        <w:t xml:space="preserve">na základě </w:t>
      </w:r>
      <w:r w:rsidR="00E77B62" w:rsidRPr="00ED3950">
        <w:rPr>
          <w:lang w:val="cs-CZ"/>
        </w:rPr>
        <w:t>finského modelu)</w:t>
      </w:r>
    </w:p>
    <w:p w:rsidR="005840C5" w:rsidRPr="00ED3950" w:rsidRDefault="00ED3950">
      <w:pPr>
        <w:rPr>
          <w:lang w:val="cs-CZ"/>
        </w:rPr>
      </w:pPr>
      <w:r w:rsidRPr="00ED3950">
        <w:rPr>
          <w:lang w:val="cs-CZ"/>
        </w:rPr>
        <w:t xml:space="preserve">Vytvoření specializovaného </w:t>
      </w:r>
      <w:r w:rsidR="0034615F" w:rsidRPr="00ED3950">
        <w:rPr>
          <w:lang w:val="cs-CZ"/>
        </w:rPr>
        <w:t xml:space="preserve">procesu </w:t>
      </w:r>
      <w:r w:rsidR="00607B47" w:rsidRPr="00ED3950">
        <w:rPr>
          <w:lang w:val="cs-CZ"/>
        </w:rPr>
        <w:t xml:space="preserve">DNSH, který </w:t>
      </w:r>
      <w:r w:rsidR="0034615F" w:rsidRPr="00ED3950">
        <w:rPr>
          <w:lang w:val="cs-CZ"/>
        </w:rPr>
        <w:t xml:space="preserve">zohledňuje </w:t>
      </w:r>
      <w:r w:rsidR="00607B47" w:rsidRPr="00ED3950">
        <w:rPr>
          <w:lang w:val="cs-CZ"/>
        </w:rPr>
        <w:t xml:space="preserve">specifika </w:t>
      </w:r>
      <w:r w:rsidRPr="00ED3950">
        <w:rPr>
          <w:lang w:val="cs-CZ"/>
        </w:rPr>
        <w:t xml:space="preserve">inovačních investic, se zdá být v </w:t>
      </w:r>
      <w:r w:rsidR="007F178D" w:rsidRPr="00ED3950">
        <w:rPr>
          <w:lang w:val="cs-CZ"/>
        </w:rPr>
        <w:t xml:space="preserve">zásadě </w:t>
      </w:r>
      <w:proofErr w:type="spellStart"/>
      <w:r w:rsidRPr="00ED3950">
        <w:rPr>
          <w:lang w:val="cs-CZ"/>
        </w:rPr>
        <w:t>replikovatelné</w:t>
      </w:r>
      <w:proofErr w:type="spellEnd"/>
      <w:r w:rsidRPr="00ED3950">
        <w:rPr>
          <w:lang w:val="cs-CZ"/>
        </w:rPr>
        <w:t xml:space="preserve">. </w:t>
      </w:r>
      <w:r w:rsidR="00786CCE" w:rsidRPr="00ED3950">
        <w:rPr>
          <w:lang w:val="cs-CZ"/>
        </w:rPr>
        <w:t xml:space="preserve">Finský případ naznačuje, že </w:t>
      </w:r>
      <w:r w:rsidR="003463B0" w:rsidRPr="00ED3950">
        <w:rPr>
          <w:lang w:val="cs-CZ"/>
        </w:rPr>
        <w:t xml:space="preserve">k </w:t>
      </w:r>
      <w:r w:rsidR="00836911" w:rsidRPr="00ED3950">
        <w:rPr>
          <w:lang w:val="cs-CZ"/>
        </w:rPr>
        <w:t xml:space="preserve">replikaci </w:t>
      </w:r>
      <w:r w:rsidR="003463B0" w:rsidRPr="00ED3950">
        <w:rPr>
          <w:lang w:val="cs-CZ"/>
        </w:rPr>
        <w:t>jsou zapotřebí tři prvky: existence vnitrostátních pokynů</w:t>
      </w:r>
      <w:r w:rsidR="00EC65C7" w:rsidRPr="00ED3950">
        <w:rPr>
          <w:lang w:val="cs-CZ"/>
        </w:rPr>
        <w:t xml:space="preserve">, </w:t>
      </w:r>
      <w:r w:rsidR="00D418AE" w:rsidRPr="00ED3950">
        <w:rPr>
          <w:lang w:val="cs-CZ"/>
        </w:rPr>
        <w:t xml:space="preserve">silná spolupráce s odborníky a existence následných procesů pro zajištění kvality. </w:t>
      </w:r>
      <w:r w:rsidR="00D9137C" w:rsidRPr="00ED3950">
        <w:rPr>
          <w:lang w:val="cs-CZ"/>
        </w:rPr>
        <w:t xml:space="preserve">V Česku byly národní pokyny vypracovány v průběhu podzimu </w:t>
      </w:r>
      <w:r w:rsidR="00D9137C" w:rsidRPr="00ED3950" w:rsidDel="00E80B79">
        <w:rPr>
          <w:lang w:val="cs-CZ"/>
        </w:rPr>
        <w:t xml:space="preserve">2022 </w:t>
      </w:r>
      <w:r w:rsidR="00E80B79" w:rsidRPr="00ED3950">
        <w:rPr>
          <w:lang w:val="cs-CZ"/>
        </w:rPr>
        <w:t xml:space="preserve">a </w:t>
      </w:r>
      <w:r w:rsidR="00D9137C" w:rsidRPr="00ED3950">
        <w:rPr>
          <w:lang w:val="cs-CZ"/>
        </w:rPr>
        <w:t xml:space="preserve">budou doplněny zastřešujícími pokyny v rámci tohoto projektu TSI </w:t>
      </w:r>
      <w:r w:rsidR="000C78FE" w:rsidRPr="00ED3950">
        <w:rPr>
          <w:lang w:val="cs-CZ"/>
        </w:rPr>
        <w:t>[</w:t>
      </w:r>
      <w:r w:rsidR="00D9137C" w:rsidRPr="00ED3950">
        <w:rPr>
          <w:lang w:val="cs-CZ"/>
        </w:rPr>
        <w:t>E1</w:t>
      </w:r>
      <w:r w:rsidR="000C78FE" w:rsidRPr="00ED3950">
        <w:rPr>
          <w:lang w:val="cs-CZ"/>
        </w:rPr>
        <w:t>]</w:t>
      </w:r>
      <w:r w:rsidR="00D9137C" w:rsidRPr="00ED3950">
        <w:rPr>
          <w:lang w:val="cs-CZ"/>
        </w:rPr>
        <w:t xml:space="preserve">. </w:t>
      </w:r>
      <w:r w:rsidR="00297249" w:rsidRPr="00ED3950">
        <w:rPr>
          <w:lang w:val="cs-CZ"/>
        </w:rPr>
        <w:t xml:space="preserve">Spolupráce s odborníky se v </w:t>
      </w:r>
      <w:r w:rsidR="007D30A9" w:rsidRPr="00ED3950">
        <w:rPr>
          <w:lang w:val="cs-CZ"/>
        </w:rPr>
        <w:t xml:space="preserve">českém kontextu jeví jako </w:t>
      </w:r>
      <w:r w:rsidR="00CD3947" w:rsidRPr="00ED3950">
        <w:rPr>
          <w:lang w:val="cs-CZ"/>
        </w:rPr>
        <w:t xml:space="preserve">relevantní </w:t>
      </w:r>
      <w:r w:rsidR="007D30A9" w:rsidRPr="00ED3950">
        <w:rPr>
          <w:lang w:val="cs-CZ"/>
        </w:rPr>
        <w:t xml:space="preserve">také </w:t>
      </w:r>
      <w:r w:rsidR="00545BBC" w:rsidRPr="00ED3950">
        <w:rPr>
          <w:lang w:val="cs-CZ"/>
        </w:rPr>
        <w:t xml:space="preserve">proto, že </w:t>
      </w:r>
      <w:r w:rsidR="00DC6269" w:rsidRPr="00ED3950">
        <w:rPr>
          <w:lang w:val="cs-CZ"/>
        </w:rPr>
        <w:t xml:space="preserve">uplatňování principu DNSH </w:t>
      </w:r>
      <w:r w:rsidR="003F2DD7" w:rsidRPr="00ED3950">
        <w:rPr>
          <w:lang w:val="cs-CZ"/>
        </w:rPr>
        <w:t xml:space="preserve">zajišťují </w:t>
      </w:r>
      <w:r w:rsidR="00DC6269" w:rsidRPr="00ED3950">
        <w:rPr>
          <w:lang w:val="cs-CZ"/>
        </w:rPr>
        <w:t xml:space="preserve">řídicí orgány, které disponují aktuálními a odvětvovými odbornými znalostmi, </w:t>
      </w:r>
      <w:r w:rsidR="00281624" w:rsidRPr="00ED3950">
        <w:rPr>
          <w:lang w:val="cs-CZ"/>
        </w:rPr>
        <w:t xml:space="preserve">jako jsou operační programy </w:t>
      </w:r>
      <w:r w:rsidR="000C78FE" w:rsidRPr="00ED3950">
        <w:rPr>
          <w:lang w:val="cs-CZ"/>
        </w:rPr>
        <w:t>[</w:t>
      </w:r>
      <w:r w:rsidR="00281624" w:rsidRPr="00ED3950">
        <w:rPr>
          <w:lang w:val="cs-CZ"/>
        </w:rPr>
        <w:t>E2</w:t>
      </w:r>
      <w:r w:rsidR="000C78FE" w:rsidRPr="00ED3950">
        <w:rPr>
          <w:lang w:val="cs-CZ"/>
        </w:rPr>
        <w:t>]</w:t>
      </w:r>
      <w:r w:rsidR="00281624" w:rsidRPr="00ED3950">
        <w:rPr>
          <w:lang w:val="cs-CZ"/>
        </w:rPr>
        <w:t>.</w:t>
      </w:r>
      <w:r w:rsidR="00863332" w:rsidRPr="00ED3950">
        <w:rPr>
          <w:lang w:val="cs-CZ"/>
        </w:rPr>
        <w:t xml:space="preserve"> Kromě toho skutečnost, že ve Finsku i v Česku jsou pozorovány překážky [B1] a [B2], naznačuje, že nebrání zavedení procesu DNSH pro inovační investice, ale že by spíše bránily jeho úspěchu.</w:t>
      </w:r>
    </w:p>
    <w:p w:rsidR="00962A51" w:rsidRPr="00ED3950" w:rsidRDefault="00962A51" w:rsidP="00E77B62">
      <w:pPr>
        <w:rPr>
          <w:lang w:val="cs-CZ"/>
        </w:rPr>
      </w:pPr>
    </w:p>
    <w:p w:rsidR="005840C5" w:rsidRPr="00ED3950" w:rsidRDefault="00ED3950">
      <w:pPr>
        <w:rPr>
          <w:lang w:val="cs-CZ"/>
        </w:rPr>
      </w:pPr>
      <w:r w:rsidRPr="00ED3950">
        <w:rPr>
          <w:lang w:val="cs-CZ"/>
        </w:rPr>
        <w:t xml:space="preserve">V praxi </w:t>
      </w:r>
      <w:r w:rsidR="00E80B79" w:rsidRPr="00ED3950">
        <w:rPr>
          <w:lang w:val="cs-CZ"/>
        </w:rPr>
        <w:t xml:space="preserve">je </w:t>
      </w:r>
      <w:r w:rsidR="00C554A4" w:rsidRPr="00ED3950">
        <w:rPr>
          <w:lang w:val="cs-CZ"/>
        </w:rPr>
        <w:t xml:space="preserve">třeba </w:t>
      </w:r>
      <w:r w:rsidRPr="00ED3950">
        <w:rPr>
          <w:lang w:val="cs-CZ"/>
        </w:rPr>
        <w:t xml:space="preserve">provést řadu změn, které </w:t>
      </w:r>
      <w:r w:rsidR="00A849D0" w:rsidRPr="00ED3950">
        <w:rPr>
          <w:lang w:val="cs-CZ"/>
        </w:rPr>
        <w:t xml:space="preserve">umožní replikaci praxe. </w:t>
      </w:r>
      <w:r w:rsidR="003504F5" w:rsidRPr="00ED3950">
        <w:rPr>
          <w:lang w:val="cs-CZ"/>
        </w:rPr>
        <w:t xml:space="preserve">Ve srovnání s přístupem Finského klimatického fondu </w:t>
      </w:r>
      <w:r w:rsidR="003F2DD7" w:rsidRPr="00ED3950">
        <w:rPr>
          <w:lang w:val="cs-CZ"/>
        </w:rPr>
        <w:t xml:space="preserve">není zapojení </w:t>
      </w:r>
      <w:r w:rsidR="00EF68E1" w:rsidRPr="00ED3950">
        <w:rPr>
          <w:lang w:val="cs-CZ"/>
        </w:rPr>
        <w:t xml:space="preserve">českých </w:t>
      </w:r>
      <w:r w:rsidR="00962A51" w:rsidRPr="00ED3950">
        <w:rPr>
          <w:lang w:val="cs-CZ"/>
        </w:rPr>
        <w:t xml:space="preserve">tematických a sektorových </w:t>
      </w:r>
      <w:r w:rsidR="003F2DD7" w:rsidRPr="00ED3950">
        <w:rPr>
          <w:lang w:val="cs-CZ"/>
        </w:rPr>
        <w:t xml:space="preserve">expertů institucionalizováno; zdá se, že dochází k rozdělení rolí </w:t>
      </w:r>
      <w:r w:rsidR="00665563" w:rsidRPr="00ED3950">
        <w:rPr>
          <w:lang w:val="cs-CZ"/>
        </w:rPr>
        <w:t xml:space="preserve">"do sil" </w:t>
      </w:r>
      <w:r w:rsidR="003F2DD7" w:rsidRPr="00ED3950">
        <w:rPr>
          <w:lang w:val="cs-CZ"/>
        </w:rPr>
        <w:t>napříč řídicími orgány</w:t>
      </w:r>
      <w:r w:rsidR="00AE6DBC" w:rsidRPr="00ED3950">
        <w:rPr>
          <w:lang w:val="cs-CZ"/>
        </w:rPr>
        <w:t xml:space="preserve">. </w:t>
      </w:r>
      <w:r w:rsidR="00CE356B" w:rsidRPr="00ED3950">
        <w:rPr>
          <w:lang w:val="cs-CZ"/>
        </w:rPr>
        <w:t xml:space="preserve">Možnost spoléhat se na </w:t>
      </w:r>
      <w:r w:rsidR="001C1232" w:rsidRPr="00ED3950">
        <w:rPr>
          <w:lang w:val="cs-CZ"/>
        </w:rPr>
        <w:t xml:space="preserve">experty je tak </w:t>
      </w:r>
      <w:r w:rsidR="00E80B79" w:rsidRPr="00ED3950">
        <w:rPr>
          <w:lang w:val="cs-CZ"/>
        </w:rPr>
        <w:t xml:space="preserve">podmíněna </w:t>
      </w:r>
      <w:r w:rsidR="001C1232" w:rsidRPr="00ED3950">
        <w:rPr>
          <w:lang w:val="cs-CZ"/>
        </w:rPr>
        <w:t xml:space="preserve">jasnější institucionalizací, která </w:t>
      </w:r>
      <w:r w:rsidR="00FD4DFF" w:rsidRPr="00ED3950">
        <w:rPr>
          <w:lang w:val="cs-CZ"/>
        </w:rPr>
        <w:t>by motivovala ke koordinaci mezi orgány</w:t>
      </w:r>
      <w:r w:rsidR="001C1232" w:rsidRPr="00ED3950">
        <w:rPr>
          <w:lang w:val="cs-CZ"/>
        </w:rPr>
        <w:t xml:space="preserve">. </w:t>
      </w:r>
      <w:r w:rsidR="00912DAF" w:rsidRPr="00ED3950">
        <w:rPr>
          <w:lang w:val="cs-CZ"/>
        </w:rPr>
        <w:t xml:space="preserve">Kromě toho </w:t>
      </w:r>
      <w:r w:rsidR="00FF17A9" w:rsidRPr="00ED3950">
        <w:rPr>
          <w:lang w:val="cs-CZ"/>
        </w:rPr>
        <w:t xml:space="preserve">by bylo třeba zavést </w:t>
      </w:r>
      <w:r w:rsidR="00CE0B96" w:rsidRPr="00ED3950">
        <w:rPr>
          <w:lang w:val="cs-CZ"/>
        </w:rPr>
        <w:t xml:space="preserve">následné hodnocení </w:t>
      </w:r>
      <w:r w:rsidR="00A26034" w:rsidRPr="00ED3950">
        <w:rPr>
          <w:lang w:val="cs-CZ"/>
        </w:rPr>
        <w:t>projektů</w:t>
      </w:r>
      <w:r w:rsidR="00CE0B96" w:rsidRPr="00ED3950">
        <w:rPr>
          <w:lang w:val="cs-CZ"/>
        </w:rPr>
        <w:t xml:space="preserve">, které by potvrdilo (i) </w:t>
      </w:r>
      <w:r w:rsidR="00DE1A65" w:rsidRPr="00ED3950">
        <w:rPr>
          <w:lang w:val="cs-CZ"/>
        </w:rPr>
        <w:t>relevanci zvolených kritérií a prahových hodnot a (</w:t>
      </w:r>
      <w:proofErr w:type="spellStart"/>
      <w:r w:rsidR="00DE1A65" w:rsidRPr="00ED3950">
        <w:rPr>
          <w:lang w:val="cs-CZ"/>
        </w:rPr>
        <w:t>ii</w:t>
      </w:r>
      <w:proofErr w:type="spellEnd"/>
      <w:r w:rsidR="00DE1A65" w:rsidRPr="00ED3950">
        <w:rPr>
          <w:lang w:val="cs-CZ"/>
        </w:rPr>
        <w:t xml:space="preserve">) </w:t>
      </w:r>
      <w:r w:rsidR="00634FFA" w:rsidRPr="00ED3950">
        <w:rPr>
          <w:lang w:val="cs-CZ"/>
        </w:rPr>
        <w:t xml:space="preserve">že </w:t>
      </w:r>
      <w:r w:rsidR="003A7AE9" w:rsidRPr="00ED3950">
        <w:rPr>
          <w:lang w:val="cs-CZ"/>
        </w:rPr>
        <w:t xml:space="preserve">projekt </w:t>
      </w:r>
      <w:r w:rsidR="00634FFA" w:rsidRPr="00ED3950">
        <w:rPr>
          <w:lang w:val="cs-CZ"/>
        </w:rPr>
        <w:t>kritéria a prahové hodnoty splňuje</w:t>
      </w:r>
      <w:r w:rsidR="00DC4E07" w:rsidRPr="00ED3950">
        <w:rPr>
          <w:lang w:val="cs-CZ"/>
        </w:rPr>
        <w:t xml:space="preserve">. </w:t>
      </w:r>
      <w:r w:rsidR="000A0C5E" w:rsidRPr="00ED3950">
        <w:rPr>
          <w:lang w:val="cs-CZ"/>
        </w:rPr>
        <w:t xml:space="preserve">Neočekává se, že by </w:t>
      </w:r>
      <w:r w:rsidR="004D79B6" w:rsidRPr="00ED3950">
        <w:rPr>
          <w:lang w:val="cs-CZ"/>
        </w:rPr>
        <w:t xml:space="preserve">zavedení tohoto systému </w:t>
      </w:r>
      <w:r w:rsidR="000A0C5E" w:rsidRPr="00ED3950">
        <w:rPr>
          <w:lang w:val="cs-CZ"/>
        </w:rPr>
        <w:t xml:space="preserve">vyvolalo technické problémy, </w:t>
      </w:r>
      <w:r w:rsidR="00D5714F" w:rsidRPr="00ED3950">
        <w:rPr>
          <w:lang w:val="cs-CZ"/>
        </w:rPr>
        <w:t xml:space="preserve">ale že </w:t>
      </w:r>
      <w:r w:rsidR="00C823B9" w:rsidRPr="00ED3950">
        <w:rPr>
          <w:lang w:val="cs-CZ"/>
        </w:rPr>
        <w:t xml:space="preserve">by </w:t>
      </w:r>
      <w:r w:rsidR="003A7AE9" w:rsidRPr="00ED3950">
        <w:rPr>
          <w:lang w:val="cs-CZ"/>
        </w:rPr>
        <w:t xml:space="preserve">mu bránil </w:t>
      </w:r>
      <w:r w:rsidR="00D5714F" w:rsidRPr="00ED3950">
        <w:rPr>
          <w:lang w:val="cs-CZ"/>
        </w:rPr>
        <w:t>nedostatek zdrojů.</w:t>
      </w:r>
    </w:p>
    <w:p w:rsidR="000925A0" w:rsidRPr="00ED3950" w:rsidRDefault="000925A0" w:rsidP="00E77B62">
      <w:pPr>
        <w:rPr>
          <w:lang w:val="cs-CZ"/>
        </w:rPr>
      </w:pPr>
    </w:p>
    <w:p w:rsidR="005840C5" w:rsidRPr="00ED3950" w:rsidRDefault="00ED3950">
      <w:pPr>
        <w:pStyle w:val="Nadpis4"/>
        <w:rPr>
          <w:lang w:val="cs-CZ"/>
        </w:rPr>
      </w:pPr>
      <w:proofErr w:type="spellStart"/>
      <w:r w:rsidRPr="00ED3950">
        <w:rPr>
          <w:lang w:val="cs-CZ"/>
        </w:rPr>
        <w:t>Replikovatelnost</w:t>
      </w:r>
      <w:proofErr w:type="spellEnd"/>
      <w:r w:rsidRPr="00ED3950">
        <w:rPr>
          <w:lang w:val="cs-CZ"/>
        </w:rPr>
        <w:t xml:space="preserve"> </w:t>
      </w:r>
      <w:r w:rsidR="00DC0CA3" w:rsidRPr="00ED3950">
        <w:rPr>
          <w:lang w:val="cs-CZ"/>
        </w:rPr>
        <w:t>zeleného rozpočtování (</w:t>
      </w:r>
      <w:r w:rsidR="00E80B79" w:rsidRPr="00ED3950">
        <w:rPr>
          <w:lang w:val="cs-CZ"/>
        </w:rPr>
        <w:t xml:space="preserve">na základě </w:t>
      </w:r>
      <w:r w:rsidR="00DC0CA3" w:rsidRPr="00ED3950">
        <w:rPr>
          <w:lang w:val="cs-CZ"/>
        </w:rPr>
        <w:t>rakouského modelu)</w:t>
      </w:r>
    </w:p>
    <w:p w:rsidR="005840C5" w:rsidRPr="00ED3950" w:rsidRDefault="00ED3950">
      <w:pPr>
        <w:rPr>
          <w:lang w:val="cs-CZ"/>
        </w:rPr>
      </w:pPr>
      <w:r w:rsidRPr="00ED3950">
        <w:rPr>
          <w:lang w:val="cs-CZ"/>
        </w:rPr>
        <w:t xml:space="preserve">V krátkodobém horizontu je </w:t>
      </w:r>
      <w:proofErr w:type="spellStart"/>
      <w:r w:rsidRPr="00ED3950">
        <w:rPr>
          <w:lang w:val="cs-CZ"/>
        </w:rPr>
        <w:t>replikovatelnost</w:t>
      </w:r>
      <w:proofErr w:type="spellEnd"/>
      <w:r w:rsidRPr="00ED3950">
        <w:rPr>
          <w:lang w:val="cs-CZ"/>
        </w:rPr>
        <w:t xml:space="preserve"> </w:t>
      </w:r>
      <w:r w:rsidR="00091C60" w:rsidRPr="00ED3950">
        <w:rPr>
          <w:lang w:val="cs-CZ"/>
        </w:rPr>
        <w:t xml:space="preserve">zeleného rozpočtování do Česka </w:t>
      </w:r>
      <w:r w:rsidR="00C823B9" w:rsidRPr="00ED3950">
        <w:rPr>
          <w:lang w:val="cs-CZ"/>
        </w:rPr>
        <w:t xml:space="preserve">považována za </w:t>
      </w:r>
      <w:r w:rsidR="00091C60" w:rsidRPr="00ED3950">
        <w:rPr>
          <w:lang w:val="cs-CZ"/>
        </w:rPr>
        <w:t xml:space="preserve">nízkou. </w:t>
      </w:r>
      <w:r w:rsidR="00FD3751" w:rsidRPr="00ED3950">
        <w:rPr>
          <w:lang w:val="cs-CZ"/>
        </w:rPr>
        <w:t xml:space="preserve">Zatímco dva z identifikovaných faktorů </w:t>
      </w:r>
      <w:r w:rsidR="00A60230" w:rsidRPr="00ED3950">
        <w:rPr>
          <w:lang w:val="cs-CZ"/>
        </w:rPr>
        <w:t xml:space="preserve">([E4] Dostatečné zdroje a [E5] Vícenásobné přínosy) v </w:t>
      </w:r>
      <w:r w:rsidR="009359B0" w:rsidRPr="00ED3950">
        <w:rPr>
          <w:lang w:val="cs-CZ"/>
        </w:rPr>
        <w:t xml:space="preserve">českém kontextu chybí, </w:t>
      </w:r>
      <w:r w:rsidR="00530E03" w:rsidRPr="00ED3950">
        <w:rPr>
          <w:lang w:val="cs-CZ"/>
        </w:rPr>
        <w:t xml:space="preserve">obě </w:t>
      </w:r>
      <w:r w:rsidR="00DA3D3E" w:rsidRPr="00ED3950">
        <w:rPr>
          <w:lang w:val="cs-CZ"/>
        </w:rPr>
        <w:t xml:space="preserve">zbývající překážky </w:t>
      </w:r>
      <w:r w:rsidR="00530E03" w:rsidRPr="00ED3950">
        <w:rPr>
          <w:lang w:val="cs-CZ"/>
        </w:rPr>
        <w:t xml:space="preserve">rakouského zeleného rozpočtování jsou v Česku pozorovány </w:t>
      </w:r>
      <w:r w:rsidR="00E93CFB" w:rsidRPr="00ED3950">
        <w:rPr>
          <w:lang w:val="cs-CZ"/>
        </w:rPr>
        <w:t>(</w:t>
      </w:r>
      <w:r w:rsidR="00A5192C" w:rsidRPr="00ED3950">
        <w:rPr>
          <w:lang w:val="cs-CZ"/>
        </w:rPr>
        <w:t>[</w:t>
      </w:r>
      <w:r w:rsidR="00E93CFB" w:rsidRPr="00ED3950">
        <w:rPr>
          <w:lang w:val="cs-CZ"/>
        </w:rPr>
        <w:t>B3</w:t>
      </w:r>
      <w:r w:rsidR="00A5192C" w:rsidRPr="00ED3950">
        <w:rPr>
          <w:lang w:val="cs-CZ"/>
        </w:rPr>
        <w:t xml:space="preserve">] </w:t>
      </w:r>
      <w:r w:rsidR="00E93CFB" w:rsidRPr="00ED3950">
        <w:rPr>
          <w:lang w:val="cs-CZ"/>
        </w:rPr>
        <w:t>Nedostatečné zajištění kvality a [B4] Omezený politický tlak)</w:t>
      </w:r>
      <w:r w:rsidR="00C17BAD" w:rsidRPr="00ED3950">
        <w:rPr>
          <w:lang w:val="cs-CZ"/>
        </w:rPr>
        <w:t xml:space="preserve">. </w:t>
      </w:r>
    </w:p>
    <w:p w:rsidR="000F5D48" w:rsidRPr="00ED3950" w:rsidRDefault="000F5D48" w:rsidP="00E93CFB">
      <w:pPr>
        <w:rPr>
          <w:lang w:val="cs-CZ"/>
        </w:rPr>
      </w:pPr>
    </w:p>
    <w:p w:rsidR="005840C5" w:rsidRPr="00ED3950" w:rsidRDefault="00ED3950">
      <w:pPr>
        <w:rPr>
          <w:lang w:val="cs-CZ"/>
        </w:rPr>
      </w:pPr>
      <w:r w:rsidRPr="00ED3950">
        <w:rPr>
          <w:lang w:val="cs-CZ"/>
        </w:rPr>
        <w:lastRenderedPageBreak/>
        <w:t xml:space="preserve">O </w:t>
      </w:r>
      <w:r w:rsidR="003B5663" w:rsidRPr="00ED3950">
        <w:rPr>
          <w:lang w:val="cs-CZ"/>
        </w:rPr>
        <w:t xml:space="preserve">replikaci zeleného rozpočtování </w:t>
      </w:r>
      <w:r w:rsidRPr="00ED3950">
        <w:rPr>
          <w:lang w:val="cs-CZ"/>
        </w:rPr>
        <w:t xml:space="preserve">by však bylo možné uvažovat ve </w:t>
      </w:r>
      <w:r w:rsidR="003B5663" w:rsidRPr="00ED3950">
        <w:rPr>
          <w:lang w:val="cs-CZ"/>
        </w:rPr>
        <w:t xml:space="preserve">střednědobém horizontu (tj. po </w:t>
      </w:r>
      <w:r w:rsidR="007C4C75" w:rsidRPr="00ED3950">
        <w:rPr>
          <w:lang w:val="cs-CZ"/>
        </w:rPr>
        <w:t xml:space="preserve">úplné institucionalizaci </w:t>
      </w:r>
      <w:r w:rsidR="008E1D4E" w:rsidRPr="00ED3950">
        <w:rPr>
          <w:lang w:val="cs-CZ"/>
        </w:rPr>
        <w:t xml:space="preserve">postupů a procesů </w:t>
      </w:r>
      <w:r w:rsidR="007C4C75" w:rsidRPr="00ED3950">
        <w:rPr>
          <w:lang w:val="cs-CZ"/>
        </w:rPr>
        <w:t xml:space="preserve">DNSH </w:t>
      </w:r>
      <w:r w:rsidRPr="00ED3950">
        <w:rPr>
          <w:lang w:val="cs-CZ"/>
        </w:rPr>
        <w:t xml:space="preserve">na </w:t>
      </w:r>
      <w:r w:rsidR="007C4C75" w:rsidRPr="00ED3950">
        <w:rPr>
          <w:lang w:val="cs-CZ"/>
        </w:rPr>
        <w:t>všech českých ministerstvech a řídicích orgánech)</w:t>
      </w:r>
      <w:r w:rsidR="00A336AA" w:rsidRPr="00ED3950">
        <w:rPr>
          <w:lang w:val="cs-CZ"/>
        </w:rPr>
        <w:t xml:space="preserve">. Ve </w:t>
      </w:r>
      <w:r w:rsidR="00D9718C" w:rsidRPr="00ED3950">
        <w:rPr>
          <w:lang w:val="cs-CZ"/>
        </w:rPr>
        <w:t xml:space="preserve">střednědobém horizontu </w:t>
      </w:r>
      <w:r w:rsidR="00B8385C" w:rsidRPr="00ED3950">
        <w:rPr>
          <w:lang w:val="cs-CZ"/>
        </w:rPr>
        <w:t xml:space="preserve">lze očekávat výskyt </w:t>
      </w:r>
      <w:r w:rsidR="00A336AA" w:rsidRPr="00ED3950">
        <w:rPr>
          <w:lang w:val="cs-CZ"/>
        </w:rPr>
        <w:t>následujících podpůrných prostředků:</w:t>
      </w:r>
    </w:p>
    <w:p w:rsidR="005840C5" w:rsidRPr="00ED3950" w:rsidRDefault="00ED3950">
      <w:pPr>
        <w:pStyle w:val="Bulletpoint"/>
        <w:ind w:left="851" w:hanging="284"/>
        <w:rPr>
          <w:lang w:val="cs-CZ"/>
        </w:rPr>
      </w:pPr>
      <w:r w:rsidRPr="00ED3950">
        <w:rPr>
          <w:b/>
          <w:lang w:val="cs-CZ"/>
        </w:rPr>
        <w:t xml:space="preserve">Dostatečné zdroje </w:t>
      </w:r>
      <w:r w:rsidRPr="00ED3950">
        <w:rPr>
          <w:lang w:val="cs-CZ"/>
        </w:rPr>
        <w:t xml:space="preserve">[E4]: </w:t>
      </w:r>
      <w:r w:rsidR="004E6779" w:rsidRPr="00ED3950">
        <w:rPr>
          <w:lang w:val="cs-CZ"/>
        </w:rPr>
        <w:t xml:space="preserve">Očekává se, že </w:t>
      </w:r>
      <w:r w:rsidR="00882846" w:rsidRPr="00ED3950">
        <w:rPr>
          <w:lang w:val="cs-CZ"/>
        </w:rPr>
        <w:t xml:space="preserve">institucionalizace </w:t>
      </w:r>
      <w:r w:rsidR="004E6779" w:rsidRPr="00ED3950">
        <w:rPr>
          <w:lang w:val="cs-CZ"/>
        </w:rPr>
        <w:t xml:space="preserve">postupů a procesů DNSH </w:t>
      </w:r>
      <w:r w:rsidR="00FD1CE6" w:rsidRPr="00ED3950">
        <w:rPr>
          <w:lang w:val="cs-CZ"/>
        </w:rPr>
        <w:t xml:space="preserve">podpoří </w:t>
      </w:r>
      <w:r w:rsidR="00275E3F" w:rsidRPr="00ED3950">
        <w:rPr>
          <w:lang w:val="cs-CZ"/>
        </w:rPr>
        <w:t xml:space="preserve">jejich </w:t>
      </w:r>
      <w:r w:rsidR="00FD1CE6" w:rsidRPr="00ED3950">
        <w:rPr>
          <w:lang w:val="cs-CZ"/>
        </w:rPr>
        <w:t xml:space="preserve">standardizaci, </w:t>
      </w:r>
      <w:r w:rsidR="00D12A3C" w:rsidRPr="00ED3950">
        <w:rPr>
          <w:lang w:val="cs-CZ"/>
        </w:rPr>
        <w:t xml:space="preserve">a tím i jejich </w:t>
      </w:r>
      <w:r w:rsidR="004E6779" w:rsidRPr="00ED3950">
        <w:rPr>
          <w:lang w:val="cs-CZ"/>
        </w:rPr>
        <w:t>účinnost</w:t>
      </w:r>
      <w:r w:rsidR="00D12A3C" w:rsidRPr="00ED3950">
        <w:rPr>
          <w:lang w:val="cs-CZ"/>
        </w:rPr>
        <w:t xml:space="preserve">. </w:t>
      </w:r>
      <w:r w:rsidR="00FD3B18" w:rsidRPr="00ED3950">
        <w:rPr>
          <w:lang w:val="cs-CZ"/>
        </w:rPr>
        <w:t xml:space="preserve">I když to nemusí stačit k tomu, aby byly </w:t>
      </w:r>
      <w:r w:rsidR="00830F30" w:rsidRPr="00ED3950">
        <w:rPr>
          <w:lang w:val="cs-CZ"/>
        </w:rPr>
        <w:t>týmy z</w:t>
      </w:r>
      <w:r w:rsidR="00743B21" w:rsidRPr="00ED3950">
        <w:rPr>
          <w:lang w:val="cs-CZ"/>
        </w:rPr>
        <w:t xml:space="preserve">proštěny </w:t>
      </w:r>
      <w:r w:rsidR="00830F30" w:rsidRPr="00ED3950">
        <w:rPr>
          <w:lang w:val="cs-CZ"/>
        </w:rPr>
        <w:t xml:space="preserve">práce zaměřené na DNSH, očekává se, že se tím </w:t>
      </w:r>
      <w:r w:rsidR="00A44005" w:rsidRPr="00ED3950">
        <w:rPr>
          <w:lang w:val="cs-CZ"/>
        </w:rPr>
        <w:t>uvolní další zdroje;</w:t>
      </w:r>
    </w:p>
    <w:p w:rsidR="005840C5" w:rsidRPr="00ED3950" w:rsidRDefault="00ED3950">
      <w:pPr>
        <w:pStyle w:val="Bulletpoint"/>
        <w:ind w:left="851" w:hanging="284"/>
        <w:rPr>
          <w:lang w:val="cs-CZ"/>
        </w:rPr>
      </w:pPr>
      <w:r w:rsidRPr="00ED3950">
        <w:rPr>
          <w:b/>
          <w:lang w:val="cs-CZ"/>
        </w:rPr>
        <w:t xml:space="preserve">Postupný </w:t>
      </w:r>
      <w:r w:rsidR="00CD260D" w:rsidRPr="00ED3950">
        <w:rPr>
          <w:b/>
          <w:lang w:val="cs-CZ"/>
        </w:rPr>
        <w:t xml:space="preserve">přístup </w:t>
      </w:r>
      <w:r w:rsidR="00AA42AE" w:rsidRPr="00ED3950">
        <w:rPr>
          <w:lang w:val="cs-CZ"/>
        </w:rPr>
        <w:t>[E6]</w:t>
      </w:r>
      <w:r w:rsidR="00CD260D" w:rsidRPr="00ED3950">
        <w:rPr>
          <w:lang w:val="cs-CZ"/>
        </w:rPr>
        <w:t xml:space="preserve">: </w:t>
      </w:r>
      <w:r w:rsidR="002C6352" w:rsidRPr="00ED3950">
        <w:rPr>
          <w:lang w:val="cs-CZ"/>
        </w:rPr>
        <w:t xml:space="preserve">Soustředěním zdrojů a koncepční práce na </w:t>
      </w:r>
      <w:r w:rsidR="0046041F" w:rsidRPr="00ED3950">
        <w:rPr>
          <w:lang w:val="cs-CZ"/>
        </w:rPr>
        <w:t xml:space="preserve">aplikaci </w:t>
      </w:r>
      <w:r w:rsidR="00493C06" w:rsidRPr="00ED3950">
        <w:rPr>
          <w:lang w:val="cs-CZ"/>
        </w:rPr>
        <w:t xml:space="preserve">principu </w:t>
      </w:r>
      <w:r w:rsidR="0046041F" w:rsidRPr="00ED3950">
        <w:rPr>
          <w:lang w:val="cs-CZ"/>
        </w:rPr>
        <w:t>DNSH v krátkodobém horizontu se budou moci české orgány v budoucnu opřít o silný systém pro rozvoj zeleného rozpočtování (například pomocí výsledků hodnocení DNSH pro klasifikaci rozpočtových položek)</w:t>
      </w:r>
      <w:r w:rsidR="005B1A5B" w:rsidRPr="00ED3950">
        <w:rPr>
          <w:lang w:val="cs-CZ"/>
        </w:rPr>
        <w:t>;</w:t>
      </w:r>
    </w:p>
    <w:p w:rsidR="005840C5" w:rsidRPr="00ED3950" w:rsidRDefault="00ED3950">
      <w:pPr>
        <w:pStyle w:val="Odstavecseseznamem"/>
        <w:ind w:left="851" w:hanging="284"/>
        <w:rPr>
          <w:lang w:val="cs-CZ"/>
        </w:rPr>
      </w:pPr>
      <w:r w:rsidRPr="00ED3950">
        <w:rPr>
          <w:b/>
          <w:lang w:val="cs-CZ"/>
        </w:rPr>
        <w:t xml:space="preserve">Vícenásobné výhody </w:t>
      </w:r>
      <w:r w:rsidR="00716940" w:rsidRPr="00ED3950">
        <w:rPr>
          <w:lang w:val="cs-CZ"/>
        </w:rPr>
        <w:t xml:space="preserve">[E5]: </w:t>
      </w:r>
      <w:r w:rsidR="00C5141E" w:rsidRPr="00ED3950">
        <w:rPr>
          <w:lang w:val="cs-CZ"/>
        </w:rPr>
        <w:t xml:space="preserve">Zveřejnění </w:t>
      </w:r>
      <w:r w:rsidR="00EB2D78" w:rsidRPr="00ED3950">
        <w:rPr>
          <w:lang w:val="cs-CZ"/>
        </w:rPr>
        <w:t xml:space="preserve">evropského standardu pro zelené dluhopisy </w:t>
      </w:r>
      <w:r w:rsidR="00E7393C" w:rsidRPr="00ED3950">
        <w:rPr>
          <w:lang w:val="cs-CZ"/>
        </w:rPr>
        <w:t xml:space="preserve">(který </w:t>
      </w:r>
      <w:r w:rsidR="00CD70F5" w:rsidRPr="00ED3950">
        <w:rPr>
          <w:lang w:val="cs-CZ"/>
        </w:rPr>
        <w:t xml:space="preserve">v tomto návrhu </w:t>
      </w:r>
      <w:r w:rsidR="00CD596A" w:rsidRPr="00ED3950">
        <w:rPr>
          <w:lang w:val="cs-CZ"/>
        </w:rPr>
        <w:t xml:space="preserve">vychází </w:t>
      </w:r>
      <w:r w:rsidR="007077FB" w:rsidRPr="00ED3950">
        <w:rPr>
          <w:lang w:val="cs-CZ"/>
        </w:rPr>
        <w:t xml:space="preserve">z </w:t>
      </w:r>
      <w:r w:rsidR="00CD596A" w:rsidRPr="00ED3950">
        <w:rPr>
          <w:lang w:val="cs-CZ"/>
        </w:rPr>
        <w:t xml:space="preserve">principu DNSH) </w:t>
      </w:r>
      <w:r w:rsidR="00EB2D78" w:rsidRPr="00ED3950">
        <w:rPr>
          <w:lang w:val="cs-CZ"/>
        </w:rPr>
        <w:t xml:space="preserve">a </w:t>
      </w:r>
      <w:r w:rsidR="00233DE5" w:rsidRPr="00ED3950">
        <w:rPr>
          <w:lang w:val="cs-CZ"/>
        </w:rPr>
        <w:t xml:space="preserve">rozšíření </w:t>
      </w:r>
      <w:r w:rsidR="00627872" w:rsidRPr="00ED3950">
        <w:rPr>
          <w:lang w:val="cs-CZ"/>
        </w:rPr>
        <w:t xml:space="preserve">obezřetnostních opatření </w:t>
      </w:r>
      <w:r w:rsidR="00B34B10" w:rsidRPr="00ED3950">
        <w:rPr>
          <w:lang w:val="cs-CZ"/>
        </w:rPr>
        <w:t xml:space="preserve">týkajících se klimatu </w:t>
      </w:r>
      <w:r w:rsidR="00532592" w:rsidRPr="00ED3950">
        <w:rPr>
          <w:lang w:val="cs-CZ"/>
        </w:rPr>
        <w:t xml:space="preserve">znásobí důvody pro zavedení </w:t>
      </w:r>
      <w:r w:rsidR="00E81BD2" w:rsidRPr="00ED3950">
        <w:rPr>
          <w:lang w:val="cs-CZ"/>
        </w:rPr>
        <w:t>metody zeleného rozpočtování</w:t>
      </w:r>
      <w:r w:rsidR="008C578B" w:rsidRPr="00ED3950">
        <w:rPr>
          <w:lang w:val="cs-CZ"/>
        </w:rPr>
        <w:t>.</w:t>
      </w:r>
    </w:p>
    <w:p w:rsidR="008C578B" w:rsidRPr="00ED3950" w:rsidRDefault="008C578B" w:rsidP="008C578B">
      <w:pPr>
        <w:rPr>
          <w:lang w:val="cs-CZ"/>
        </w:rPr>
      </w:pPr>
    </w:p>
    <w:p w:rsidR="005840C5" w:rsidRPr="00ED3950" w:rsidRDefault="00ED3950">
      <w:pPr>
        <w:rPr>
          <w:lang w:val="cs-CZ"/>
        </w:rPr>
      </w:pPr>
      <w:proofErr w:type="spellStart"/>
      <w:r w:rsidRPr="00ED3950">
        <w:rPr>
          <w:lang w:val="cs-CZ"/>
        </w:rPr>
        <w:t>Replikovatelnost</w:t>
      </w:r>
      <w:proofErr w:type="spellEnd"/>
      <w:r w:rsidRPr="00ED3950">
        <w:rPr>
          <w:lang w:val="cs-CZ"/>
        </w:rPr>
        <w:t xml:space="preserve"> ilustrativního příkladu je uvedena v dokumentu </w:t>
      </w:r>
      <w:r w:rsidRPr="00ED3950">
        <w:rPr>
          <w:lang w:val="cs-CZ"/>
        </w:rPr>
        <w:fldChar w:fldCharType="begin"/>
      </w:r>
      <w:r w:rsidRPr="00ED3950">
        <w:rPr>
          <w:lang w:val="cs-CZ"/>
        </w:rPr>
        <w:instrText xml:space="preserve"> REF _Ref128125652 \h  \* MERGEFORMAT </w:instrText>
      </w:r>
      <w:r w:rsidRPr="00ED3950">
        <w:rPr>
          <w:lang w:val="cs-CZ"/>
        </w:rPr>
      </w:r>
      <w:r w:rsidRPr="00ED3950">
        <w:rPr>
          <w:lang w:val="cs-CZ"/>
        </w:rPr>
        <w:fldChar w:fldCharType="separate"/>
      </w:r>
      <w:r w:rsidR="009937DB" w:rsidRPr="00ED3950">
        <w:rPr>
          <w:highlight w:val="yellow"/>
          <w:lang w:val="cs-CZ"/>
        </w:rPr>
        <w:fldChar w:fldCharType="begin"/>
      </w:r>
      <w:r w:rsidR="009937DB" w:rsidRPr="00ED3950">
        <w:rPr>
          <w:lang w:val="cs-CZ"/>
        </w:rPr>
        <w:instrText xml:space="preserve"> REF _Ref128133800 \h </w:instrText>
      </w:r>
      <w:r w:rsidR="009937DB" w:rsidRPr="00ED3950">
        <w:rPr>
          <w:highlight w:val="yellow"/>
          <w:lang w:val="cs-CZ"/>
        </w:rPr>
      </w:r>
      <w:r w:rsidRPr="00ED3950">
        <w:rPr>
          <w:highlight w:val="yellow"/>
          <w:lang w:val="cs-CZ"/>
        </w:rPr>
        <w:instrText xml:space="preserve"> \* MERGEFORMAT </w:instrText>
      </w:r>
      <w:r w:rsidR="009937DB" w:rsidRPr="00ED3950">
        <w:rPr>
          <w:highlight w:val="yellow"/>
          <w:lang w:val="cs-CZ"/>
        </w:rPr>
        <w:fldChar w:fldCharType="separate"/>
      </w:r>
      <w:r w:rsidR="009937DB" w:rsidRPr="00ED3950">
        <w:rPr>
          <w:lang w:val="cs-CZ"/>
        </w:rPr>
        <w:t>Rámeček 6</w:t>
      </w:r>
      <w:r w:rsidR="009937DB" w:rsidRPr="00ED3950">
        <w:rPr>
          <w:highlight w:val="yellow"/>
          <w:lang w:val="cs-CZ"/>
        </w:rPr>
        <w:fldChar w:fldCharType="end"/>
      </w:r>
      <w:r w:rsidRPr="00ED3950">
        <w:rPr>
          <w:lang w:val="cs-CZ"/>
        </w:rPr>
        <w:fldChar w:fldCharType="end"/>
      </w:r>
      <w:r w:rsidRPr="00ED3950">
        <w:rPr>
          <w:lang w:val="cs-CZ"/>
        </w:rPr>
        <w:t>.</w:t>
      </w:r>
    </w:p>
    <w:p w:rsidR="000C5096" w:rsidRPr="00ED3950" w:rsidRDefault="000C5096" w:rsidP="000C5096">
      <w:pPr>
        <w:rPr>
          <w:lang w:val="cs-CZ"/>
        </w:rPr>
      </w:pPr>
    </w:p>
    <w:p w:rsidR="005840C5" w:rsidRPr="00ED3950" w:rsidRDefault="00ED3950">
      <w:pPr>
        <w:pStyle w:val="Titulek"/>
        <w:keepNext/>
        <w:rPr>
          <w:lang w:val="cs-CZ"/>
        </w:rPr>
      </w:pPr>
      <w:bookmarkStart w:id="41" w:name="_Ref128133800"/>
      <w:r w:rsidRPr="00ED3950">
        <w:rPr>
          <w:lang w:val="cs-CZ"/>
        </w:rPr>
        <w:t xml:space="preserve">Box </w:t>
      </w:r>
      <w:r w:rsidR="0094316D" w:rsidRPr="00ED3950">
        <w:rPr>
          <w:lang w:val="cs-CZ"/>
        </w:rPr>
        <w:fldChar w:fldCharType="begin"/>
      </w:r>
      <w:r w:rsidR="0094316D" w:rsidRPr="00ED3950">
        <w:rPr>
          <w:lang w:val="cs-CZ"/>
        </w:rPr>
        <w:instrText xml:space="preserve"> SEQ Box \* ARABIC </w:instrText>
      </w:r>
      <w:r w:rsidR="0094316D" w:rsidRPr="00ED3950">
        <w:rPr>
          <w:lang w:val="cs-CZ"/>
        </w:rPr>
        <w:fldChar w:fldCharType="separate"/>
      </w:r>
      <w:r w:rsidR="009905C4" w:rsidRPr="00ED3950">
        <w:rPr>
          <w:lang w:val="cs-CZ"/>
        </w:rPr>
        <w:t>6</w:t>
      </w:r>
      <w:r w:rsidR="0094316D" w:rsidRPr="00ED3950">
        <w:rPr>
          <w:lang w:val="cs-CZ"/>
        </w:rPr>
        <w:fldChar w:fldCharType="end"/>
      </w:r>
      <w:bookmarkEnd w:id="41"/>
      <w:r w:rsidRPr="00ED3950">
        <w:rPr>
          <w:lang w:val="cs-CZ"/>
        </w:rPr>
        <w:t xml:space="preserve"> </w:t>
      </w:r>
      <w:proofErr w:type="spellStart"/>
      <w:r w:rsidRPr="00ED3950">
        <w:rPr>
          <w:lang w:val="cs-CZ"/>
        </w:rPr>
        <w:t>Replikovatelnost</w:t>
      </w:r>
      <w:proofErr w:type="spellEnd"/>
      <w:r w:rsidRPr="00ED3950">
        <w:rPr>
          <w:lang w:val="cs-CZ"/>
        </w:rPr>
        <w:t xml:space="preserve"> ilustrativních </w:t>
      </w:r>
      <w:r w:rsidR="002610E2" w:rsidRPr="00ED3950">
        <w:rPr>
          <w:lang w:val="cs-CZ"/>
        </w:rPr>
        <w:t>postupů pro výzkum a vývoj a inovativní ekologické investice</w:t>
      </w:r>
    </w:p>
    <w:tbl>
      <w:tblPr>
        <w:tblStyle w:val="Table1"/>
        <w:tblW w:w="5000" w:type="pct"/>
        <w:tblInd w:w="596" w:type="dxa"/>
        <w:shd w:val="clear" w:color="auto" w:fill="E0EBEB" w:themeFill="accent3" w:themeFillTint="66"/>
        <w:tblLook w:val="04A0" w:firstRow="1" w:lastRow="0" w:firstColumn="1" w:lastColumn="0" w:noHBand="0" w:noVBand="1"/>
      </w:tblPr>
      <w:tblGrid>
        <w:gridCol w:w="9016"/>
      </w:tblGrid>
      <w:tr w:rsidR="000C5096" w:rsidRPr="00ED3950" w:rsidTr="00EA2D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E0EBEB" w:themeFill="accent3" w:themeFillTint="66"/>
          </w:tcPr>
          <w:p w:rsidR="005840C5" w:rsidRPr="00ED3950" w:rsidRDefault="00ED3950">
            <w:pPr>
              <w:pStyle w:val="Nadpis4"/>
              <w:ind w:firstLine="0"/>
              <w:outlineLvl w:val="3"/>
              <w:rPr>
                <w:b/>
                <w:bCs w:val="0"/>
                <w:color w:val="005962" w:themeColor="accent1"/>
                <w:lang w:val="cs-CZ"/>
              </w:rPr>
            </w:pPr>
            <w:proofErr w:type="spellStart"/>
            <w:r w:rsidRPr="00ED3950">
              <w:rPr>
                <w:b/>
                <w:bCs w:val="0"/>
                <w:color w:val="005962" w:themeColor="accent1"/>
                <w:lang w:val="cs-CZ"/>
              </w:rPr>
              <w:t>Replikovatelnost</w:t>
            </w:r>
            <w:proofErr w:type="spellEnd"/>
            <w:r w:rsidRPr="00ED3950">
              <w:rPr>
                <w:b/>
                <w:bCs w:val="0"/>
                <w:color w:val="005962" w:themeColor="accent1"/>
                <w:lang w:val="cs-CZ"/>
              </w:rPr>
              <w:t xml:space="preserve"> posílené koordinace mezi zúčastněnými stranami (</w:t>
            </w:r>
            <w:r w:rsidR="00E80B79" w:rsidRPr="00ED3950">
              <w:rPr>
                <w:b/>
                <w:bCs w:val="0"/>
                <w:color w:val="005962" w:themeColor="accent1"/>
                <w:lang w:val="cs-CZ"/>
              </w:rPr>
              <w:t xml:space="preserve">na základě </w:t>
            </w:r>
            <w:r w:rsidRPr="00ED3950">
              <w:rPr>
                <w:b/>
                <w:bCs w:val="0"/>
                <w:color w:val="005962" w:themeColor="accent1"/>
                <w:lang w:val="cs-CZ"/>
              </w:rPr>
              <w:t>finského modelu)</w:t>
            </w:r>
          </w:p>
          <w:p w:rsidR="005840C5" w:rsidRPr="00ED3950" w:rsidRDefault="00ED3950">
            <w:pPr>
              <w:ind w:left="0"/>
              <w:jc w:val="left"/>
              <w:rPr>
                <w:b w:val="0"/>
                <w:bCs/>
                <w:color w:val="000000" w:themeColor="text1"/>
                <w:lang w:val="cs-CZ"/>
              </w:rPr>
            </w:pPr>
            <w:r w:rsidRPr="00ED3950">
              <w:rPr>
                <w:b w:val="0"/>
                <w:bCs/>
                <w:color w:val="000000" w:themeColor="text1"/>
                <w:lang w:val="cs-CZ"/>
              </w:rPr>
              <w:t xml:space="preserve">Tato praxe je považována za opakovatelnou v českém kontextu za předpokladu, že se omezí na nejsložitější investiční případy. Na rozdíl od Finska mají české orgány </w:t>
            </w:r>
            <w:r w:rsidRPr="00ED3950">
              <w:rPr>
                <w:b w:val="0"/>
                <w:bCs/>
                <w:color w:val="000000" w:themeColor="text1"/>
                <w:lang w:val="cs-CZ"/>
              </w:rPr>
              <w:t>nedostatek zdrojů [E4] a potýkají se s velkým objemem projektů [E8]. Jasné rozdělení rolí se však zdá být stejně zásadní jako objem zdrojů, neboť umožňuje úředníkům určit, které týmy a kolegové mohou na posuzování DNSH spolupracovat. Přerozdělení rolí vyža</w:t>
            </w:r>
            <w:r w:rsidRPr="00ED3950">
              <w:rPr>
                <w:b w:val="0"/>
                <w:bCs/>
                <w:color w:val="000000" w:themeColor="text1"/>
                <w:lang w:val="cs-CZ"/>
              </w:rPr>
              <w:t xml:space="preserve">duje institucionalizované postupy, které je složité zavést, zatímco navýšení zdrojů je prakticky snadné, jakmile je </w:t>
            </w:r>
            <w:r w:rsidRPr="00ED3950" w:rsidDel="00E80B79">
              <w:rPr>
                <w:b w:val="0"/>
                <w:bCs/>
                <w:color w:val="000000" w:themeColor="text1"/>
                <w:lang w:val="cs-CZ"/>
              </w:rPr>
              <w:t>dán</w:t>
            </w:r>
            <w:r w:rsidRPr="00ED3950">
              <w:rPr>
                <w:b w:val="0"/>
                <w:bCs/>
                <w:color w:val="000000" w:themeColor="text1"/>
                <w:lang w:val="cs-CZ"/>
              </w:rPr>
              <w:t xml:space="preserve"> politický impuls, </w:t>
            </w:r>
            <w:r w:rsidR="00E80B79" w:rsidRPr="00ED3950">
              <w:rPr>
                <w:b w:val="0"/>
                <w:bCs/>
                <w:color w:val="000000" w:themeColor="text1"/>
                <w:lang w:val="cs-CZ"/>
              </w:rPr>
              <w:t xml:space="preserve">a </w:t>
            </w:r>
            <w:r w:rsidRPr="00ED3950">
              <w:rPr>
                <w:b w:val="0"/>
                <w:bCs/>
                <w:color w:val="000000" w:themeColor="text1"/>
                <w:lang w:val="cs-CZ"/>
              </w:rPr>
              <w:t>může být kompenzováno zaměřením na nejsložitější investiční případy. Existence jasných rolí v Česku [E7] proto vytváří předpoklady pro silnější koordinaci mezi ministerstvy, řídicími orgány a místními orgány, které vydávají povolení. A konečně, institucion</w:t>
            </w:r>
            <w:r w:rsidRPr="00ED3950">
              <w:rPr>
                <w:b w:val="0"/>
                <w:bCs/>
                <w:color w:val="000000" w:themeColor="text1"/>
                <w:lang w:val="cs-CZ"/>
              </w:rPr>
              <w:t>alizace koordinace může být snadno provedena (např. jejím popisem v národních pokynech), aby se odstranila bariéra [B5].</w:t>
            </w:r>
          </w:p>
          <w:p w:rsidR="009937DB" w:rsidRPr="00ED3950" w:rsidRDefault="009937DB" w:rsidP="00EA2D8D">
            <w:pPr>
              <w:jc w:val="left"/>
              <w:rPr>
                <w:b w:val="0"/>
                <w:bCs/>
                <w:lang w:val="cs-CZ"/>
              </w:rPr>
            </w:pPr>
          </w:p>
          <w:p w:rsidR="005840C5" w:rsidRPr="00ED3950" w:rsidRDefault="00ED3950">
            <w:pPr>
              <w:pStyle w:val="Nadpis4"/>
              <w:ind w:firstLine="0"/>
              <w:outlineLvl w:val="3"/>
              <w:rPr>
                <w:b/>
                <w:bCs w:val="0"/>
                <w:lang w:val="cs-CZ"/>
              </w:rPr>
            </w:pPr>
            <w:proofErr w:type="spellStart"/>
            <w:r w:rsidRPr="00ED3950">
              <w:rPr>
                <w:b/>
                <w:bCs w:val="0"/>
                <w:color w:val="005962" w:themeColor="accent1"/>
                <w:lang w:val="cs-CZ"/>
              </w:rPr>
              <w:t>Replikovatelnost</w:t>
            </w:r>
            <w:proofErr w:type="spellEnd"/>
            <w:r w:rsidRPr="00ED3950">
              <w:rPr>
                <w:b/>
                <w:bCs w:val="0"/>
                <w:color w:val="005962" w:themeColor="accent1"/>
                <w:lang w:val="cs-CZ"/>
              </w:rPr>
              <w:t xml:space="preserve"> </w:t>
            </w:r>
            <w:r w:rsidR="009937DB" w:rsidRPr="00ED3950">
              <w:rPr>
                <w:b/>
                <w:bCs w:val="0"/>
                <w:color w:val="005962" w:themeColor="accent1"/>
                <w:lang w:val="cs-CZ"/>
              </w:rPr>
              <w:t xml:space="preserve">využití širších zdrojů dat pro kategorizaci (na </w:t>
            </w:r>
            <w:r w:rsidR="00E80B79" w:rsidRPr="00ED3950">
              <w:rPr>
                <w:b/>
                <w:bCs w:val="0"/>
                <w:color w:val="005962" w:themeColor="accent1"/>
                <w:lang w:val="cs-CZ"/>
              </w:rPr>
              <w:t xml:space="preserve">základě </w:t>
            </w:r>
            <w:r w:rsidR="009937DB" w:rsidRPr="00ED3950">
              <w:rPr>
                <w:b/>
                <w:bCs w:val="0"/>
                <w:color w:val="005962" w:themeColor="accent1"/>
                <w:lang w:val="cs-CZ"/>
              </w:rPr>
              <w:t>španělského modelu).</w:t>
            </w:r>
          </w:p>
          <w:p w:rsidR="005840C5" w:rsidRPr="00ED3950" w:rsidRDefault="00ED3950">
            <w:pPr>
              <w:ind w:left="0"/>
              <w:jc w:val="left"/>
              <w:rPr>
                <w:b w:val="0"/>
                <w:bCs/>
                <w:color w:val="000000" w:themeColor="text1"/>
                <w:lang w:val="cs-CZ"/>
              </w:rPr>
            </w:pPr>
            <w:r w:rsidRPr="00ED3950">
              <w:rPr>
                <w:b w:val="0"/>
                <w:bCs/>
                <w:color w:val="000000" w:themeColor="text1"/>
                <w:lang w:val="cs-CZ"/>
              </w:rPr>
              <w:t>Využití širších dokumentů (např. zjednod</w:t>
            </w:r>
            <w:r w:rsidRPr="00ED3950">
              <w:rPr>
                <w:b w:val="0"/>
                <w:bCs/>
                <w:color w:val="000000" w:themeColor="text1"/>
                <w:lang w:val="cs-CZ"/>
              </w:rPr>
              <w:t xml:space="preserve">ušené hodnocení životního cyklu, hodnocení plnění cílů udržitelného rozvoje, sektorové cestovní mapy) pro kategorizaci inovativních projektů se zdá být ve střednědobém horizontu </w:t>
            </w:r>
            <w:proofErr w:type="spellStart"/>
            <w:r w:rsidRPr="00ED3950">
              <w:rPr>
                <w:b w:val="0"/>
                <w:bCs/>
                <w:color w:val="000000" w:themeColor="text1"/>
                <w:lang w:val="cs-CZ"/>
              </w:rPr>
              <w:t>replikovatelné</w:t>
            </w:r>
            <w:proofErr w:type="spellEnd"/>
            <w:r w:rsidRPr="00ED3950">
              <w:rPr>
                <w:b w:val="0"/>
                <w:bCs/>
                <w:color w:val="000000" w:themeColor="text1"/>
                <w:lang w:val="cs-CZ"/>
              </w:rPr>
              <w:t xml:space="preserve"> do českého kontextu. Španělský příklad naznačuje, že tato praxe</w:t>
            </w:r>
            <w:r w:rsidRPr="00ED3950">
              <w:rPr>
                <w:b w:val="0"/>
                <w:bCs/>
                <w:color w:val="000000" w:themeColor="text1"/>
                <w:lang w:val="cs-CZ"/>
              </w:rPr>
              <w:t xml:space="preserve"> vyžaduje granulární data a silné institucionální ukotvení. Zatímco Česko se může opřít o sektorové cestovní mapy [E10] a o analýzu rozpočtu založenou na SGD</w:t>
            </w:r>
            <w:r w:rsidRPr="00ED3950">
              <w:rPr>
                <w:rStyle w:val="Znakapoznpodarou"/>
                <w:b w:val="0"/>
                <w:bCs/>
                <w:color w:val="000000" w:themeColor="text1"/>
                <w:lang w:val="cs-CZ"/>
              </w:rPr>
              <w:footnoteReference w:id="6"/>
            </w:r>
            <w:r w:rsidRPr="00ED3950">
              <w:rPr>
                <w:b w:val="0"/>
                <w:bCs/>
                <w:color w:val="000000" w:themeColor="text1"/>
                <w:lang w:val="cs-CZ"/>
              </w:rPr>
              <w:t xml:space="preserve"> [E9], nemá dostatečný institucionální impuls k systematické analýze inovativních projektů s využi</w:t>
            </w:r>
            <w:r w:rsidRPr="00ED3950">
              <w:rPr>
                <w:b w:val="0"/>
                <w:bCs/>
                <w:color w:val="000000" w:themeColor="text1"/>
                <w:lang w:val="cs-CZ"/>
              </w:rPr>
              <w:t xml:space="preserve">tím širšího souboru datových zdrojů [B5]. Nedostatek zdrojů popsaný českými orgány naznačuje, že současné metody hodnocení DNSH by neměly být složitější </w:t>
            </w:r>
            <w:r w:rsidR="00E80B79" w:rsidRPr="00ED3950">
              <w:rPr>
                <w:b w:val="0"/>
                <w:bCs/>
                <w:color w:val="000000" w:themeColor="text1"/>
                <w:lang w:val="cs-CZ"/>
              </w:rPr>
              <w:t>nebo nákladnější</w:t>
            </w:r>
            <w:r w:rsidRPr="00ED3950">
              <w:rPr>
                <w:b w:val="0"/>
                <w:bCs/>
                <w:color w:val="000000" w:themeColor="text1"/>
                <w:lang w:val="cs-CZ"/>
              </w:rPr>
              <w:t>. Tato omezení se však mohou v průběhu času vyvíjet [E6]. Zvýšení účinnosti hodnocení D</w:t>
            </w:r>
            <w:r w:rsidRPr="00ED3950">
              <w:rPr>
                <w:b w:val="0"/>
                <w:bCs/>
                <w:color w:val="000000" w:themeColor="text1"/>
                <w:lang w:val="cs-CZ"/>
              </w:rPr>
              <w:t xml:space="preserve">NSH (díky institucionalizaci principu DNSH a vytvoření národních pokynů) a větší zkušenosti s inovativními projekty (s příklady zjednodušených hodnocení životního cyklu a pilotních případů založených na cílech udržitelného rozvoje a sektorových cestovních </w:t>
            </w:r>
            <w:r w:rsidRPr="00ED3950">
              <w:rPr>
                <w:b w:val="0"/>
                <w:bCs/>
                <w:color w:val="000000" w:themeColor="text1"/>
                <w:lang w:val="cs-CZ"/>
              </w:rPr>
              <w:t>mapách) do značné míry podpoří replikaci této praxe ve střednědobém horizontu.</w:t>
            </w:r>
          </w:p>
          <w:p w:rsidR="000C5096" w:rsidRPr="00ED3950" w:rsidRDefault="000C5096">
            <w:pPr>
              <w:ind w:left="0"/>
              <w:jc w:val="left"/>
              <w:rPr>
                <w:b w:val="0"/>
                <w:bCs/>
                <w:color w:val="000000" w:themeColor="text1"/>
                <w:sz w:val="16"/>
                <w:szCs w:val="16"/>
                <w:lang w:val="cs-CZ"/>
              </w:rPr>
            </w:pPr>
          </w:p>
        </w:tc>
      </w:tr>
    </w:tbl>
    <w:p w:rsidR="00363FF4" w:rsidRPr="00ED3950" w:rsidRDefault="001D4CF2" w:rsidP="003F2A11">
      <w:pPr>
        <w:ind w:left="0"/>
        <w:rPr>
          <w:lang w:val="cs-CZ"/>
        </w:rPr>
      </w:pPr>
      <w:r w:rsidRPr="00ED3950">
        <w:rPr>
          <w:lang w:val="cs-CZ"/>
        </w:rPr>
        <w:br w:type="page"/>
      </w:r>
    </w:p>
    <w:p w:rsidR="005840C5" w:rsidRPr="00ED3950" w:rsidRDefault="00ED3950">
      <w:pPr>
        <w:pStyle w:val="Nadpis1"/>
        <w:tabs>
          <w:tab w:val="clear" w:pos="851"/>
          <w:tab w:val="left" w:pos="567"/>
        </w:tabs>
        <w:ind w:left="567" w:hanging="567"/>
        <w:rPr>
          <w:lang w:val="cs-CZ"/>
        </w:rPr>
      </w:pPr>
      <w:bookmarkStart w:id="42" w:name="_Toc131775844"/>
      <w:r w:rsidRPr="00ED3950">
        <w:rPr>
          <w:lang w:val="cs-CZ"/>
        </w:rPr>
        <w:lastRenderedPageBreak/>
        <w:t xml:space="preserve">Webové semináře pro vzájemné učení </w:t>
      </w:r>
      <w:bookmarkEnd w:id="42"/>
    </w:p>
    <w:p w:rsidR="005840C5" w:rsidRPr="00ED3950" w:rsidRDefault="00ED3950">
      <w:pPr>
        <w:rPr>
          <w:lang w:val="cs-CZ"/>
        </w:rPr>
      </w:pPr>
      <w:r w:rsidRPr="00ED3950">
        <w:rPr>
          <w:lang w:val="cs-CZ"/>
        </w:rPr>
        <w:t xml:space="preserve">Tato kapitola </w:t>
      </w:r>
      <w:r w:rsidR="001932D3" w:rsidRPr="00ED3950">
        <w:rPr>
          <w:lang w:val="cs-CZ"/>
        </w:rPr>
        <w:t xml:space="preserve">jde nad rámec analýzy konkrétních případů, které byly navrženy v kapitole </w:t>
      </w:r>
      <w:r w:rsidR="001E6E56" w:rsidRPr="00ED3950">
        <w:rPr>
          <w:lang w:val="cs-CZ"/>
        </w:rPr>
        <w:fldChar w:fldCharType="begin"/>
      </w:r>
      <w:r w:rsidR="001E6E56" w:rsidRPr="00ED3950">
        <w:rPr>
          <w:lang w:val="cs-CZ"/>
        </w:rPr>
        <w:instrText xml:space="preserve"> REF _Ref131521548 \r \h </w:instrText>
      </w:r>
      <w:r w:rsidR="001E6E56" w:rsidRPr="00ED3950">
        <w:rPr>
          <w:lang w:val="cs-CZ"/>
        </w:rPr>
      </w:r>
      <w:r w:rsidRPr="00ED3950">
        <w:rPr>
          <w:lang w:val="cs-CZ"/>
        </w:rPr>
        <w:instrText xml:space="preserve"> \* MERGEFORMAT </w:instrText>
      </w:r>
      <w:r w:rsidR="001E6E56" w:rsidRPr="00ED3950">
        <w:rPr>
          <w:lang w:val="cs-CZ"/>
        </w:rPr>
        <w:fldChar w:fldCharType="separate"/>
      </w:r>
      <w:r w:rsidR="001E6E56" w:rsidRPr="00ED3950">
        <w:rPr>
          <w:lang w:val="cs-CZ"/>
        </w:rPr>
        <w:t>4</w:t>
      </w:r>
      <w:r w:rsidR="001E6E56" w:rsidRPr="00ED3950">
        <w:rPr>
          <w:lang w:val="cs-CZ"/>
        </w:rPr>
        <w:fldChar w:fldCharType="end"/>
      </w:r>
      <w:r w:rsidR="001E6E56" w:rsidRPr="00ED3950">
        <w:rPr>
          <w:lang w:val="cs-CZ"/>
        </w:rPr>
        <w:t xml:space="preserve">a </w:t>
      </w:r>
      <w:r w:rsidRPr="00ED3950">
        <w:rPr>
          <w:lang w:val="cs-CZ"/>
        </w:rPr>
        <w:t xml:space="preserve">poskytuje přehled </w:t>
      </w:r>
      <w:r w:rsidR="00B52F94" w:rsidRPr="00ED3950">
        <w:rPr>
          <w:lang w:val="cs-CZ"/>
        </w:rPr>
        <w:t xml:space="preserve">obsahu </w:t>
      </w:r>
      <w:r w:rsidR="00F02842" w:rsidRPr="00ED3950">
        <w:rPr>
          <w:lang w:val="cs-CZ"/>
        </w:rPr>
        <w:t xml:space="preserve">diskusí vedených během </w:t>
      </w:r>
      <w:proofErr w:type="spellStart"/>
      <w:r w:rsidR="00F02842" w:rsidRPr="00ED3950">
        <w:rPr>
          <w:lang w:val="cs-CZ"/>
        </w:rPr>
        <w:t>webinářů</w:t>
      </w:r>
      <w:proofErr w:type="spellEnd"/>
      <w:r w:rsidR="001F1472" w:rsidRPr="00ED3950">
        <w:rPr>
          <w:lang w:val="cs-CZ"/>
        </w:rPr>
        <w:t xml:space="preserve">. U </w:t>
      </w:r>
      <w:r w:rsidRPr="00ED3950">
        <w:rPr>
          <w:lang w:val="cs-CZ"/>
        </w:rPr>
        <w:t xml:space="preserve">každého </w:t>
      </w:r>
      <w:proofErr w:type="spellStart"/>
      <w:r w:rsidR="006622B0" w:rsidRPr="00ED3950">
        <w:rPr>
          <w:lang w:val="cs-CZ"/>
        </w:rPr>
        <w:t>webináře</w:t>
      </w:r>
      <w:proofErr w:type="spellEnd"/>
      <w:r w:rsidR="006622B0" w:rsidRPr="00ED3950">
        <w:rPr>
          <w:lang w:val="cs-CZ"/>
        </w:rPr>
        <w:t xml:space="preserve"> jsou shrnuty proběhlé diskuse spolu s (i) hlavními body diskuse a závěry </w:t>
      </w:r>
      <w:r w:rsidR="002E22E5" w:rsidRPr="00ED3950">
        <w:rPr>
          <w:lang w:val="cs-CZ"/>
        </w:rPr>
        <w:t>a (</w:t>
      </w:r>
      <w:proofErr w:type="spellStart"/>
      <w:r w:rsidR="002E22E5" w:rsidRPr="00ED3950">
        <w:rPr>
          <w:lang w:val="cs-CZ"/>
        </w:rPr>
        <w:t>ii</w:t>
      </w:r>
      <w:proofErr w:type="spellEnd"/>
      <w:r w:rsidR="002E22E5" w:rsidRPr="00ED3950">
        <w:rPr>
          <w:lang w:val="cs-CZ"/>
        </w:rPr>
        <w:t>) hlavními získanými poznatky</w:t>
      </w:r>
      <w:r w:rsidR="002E22E5" w:rsidRPr="00ED3950" w:rsidDel="002E22E5">
        <w:rPr>
          <w:lang w:val="cs-CZ"/>
        </w:rPr>
        <w:t xml:space="preserve">. </w:t>
      </w:r>
    </w:p>
    <w:p w:rsidR="004E262B" w:rsidRPr="00ED3950" w:rsidRDefault="004E262B" w:rsidP="004E262B">
      <w:pPr>
        <w:rPr>
          <w:lang w:val="cs-CZ"/>
        </w:rPr>
      </w:pPr>
    </w:p>
    <w:p w:rsidR="005840C5" w:rsidRPr="00ED3950" w:rsidRDefault="00ED3950">
      <w:pPr>
        <w:pStyle w:val="Nadpis2"/>
        <w:rPr>
          <w:rStyle w:val="normaltextrun"/>
          <w:lang w:val="cs-CZ"/>
        </w:rPr>
      </w:pPr>
      <w:bookmarkStart w:id="43" w:name="_Toc131775845"/>
      <w:proofErr w:type="spellStart"/>
      <w:r w:rsidRPr="00ED3950">
        <w:rPr>
          <w:lang w:val="cs-CZ"/>
        </w:rPr>
        <w:t>We</w:t>
      </w:r>
      <w:r w:rsidRPr="00ED3950">
        <w:rPr>
          <w:lang w:val="cs-CZ"/>
        </w:rPr>
        <w:t>binář</w:t>
      </w:r>
      <w:proofErr w:type="spellEnd"/>
      <w:r w:rsidRPr="00ED3950">
        <w:rPr>
          <w:lang w:val="cs-CZ"/>
        </w:rPr>
        <w:t xml:space="preserve"> 1: </w:t>
      </w:r>
      <w:r w:rsidRPr="00ED3950">
        <w:rPr>
          <w:lang w:val="cs-CZ"/>
        </w:rPr>
        <w:t>Řídicí procesy pro uplatňování zásady DNSH</w:t>
      </w:r>
      <w:bookmarkEnd w:id="43"/>
    </w:p>
    <w:p w:rsidR="005840C5" w:rsidRPr="00ED3950" w:rsidRDefault="00ED3950">
      <w:pPr>
        <w:pStyle w:val="Nadpis3"/>
        <w:tabs>
          <w:tab w:val="clear" w:pos="851"/>
          <w:tab w:val="left" w:pos="567"/>
        </w:tabs>
        <w:ind w:left="567" w:hanging="567"/>
        <w:rPr>
          <w:rStyle w:val="normaltextrun"/>
          <w:color w:val="F04E30" w:themeColor="accent2"/>
          <w:szCs w:val="18"/>
          <w:bdr w:val="none" w:sz="0" w:space="0" w:color="auto" w:frame="1"/>
          <w:lang w:val="cs-CZ"/>
        </w:rPr>
      </w:pPr>
      <w:bookmarkStart w:id="44" w:name="_Toc131775846"/>
      <w:r w:rsidRPr="00ED3950">
        <w:rPr>
          <w:rStyle w:val="normaltextrun"/>
          <w:color w:val="F04E30" w:themeColor="accent2"/>
          <w:szCs w:val="18"/>
          <w:bdr w:val="none" w:sz="0" w:space="0" w:color="auto" w:frame="1"/>
          <w:lang w:val="cs-CZ"/>
        </w:rPr>
        <w:t xml:space="preserve">Hlavní body diskuse a </w:t>
      </w:r>
      <w:r w:rsidR="00940E5E" w:rsidRPr="00ED3950">
        <w:rPr>
          <w:rStyle w:val="normaltextrun"/>
          <w:color w:val="F04E30" w:themeColor="accent2"/>
          <w:szCs w:val="18"/>
          <w:bdr w:val="none" w:sz="0" w:space="0" w:color="auto" w:frame="1"/>
          <w:lang w:val="cs-CZ"/>
        </w:rPr>
        <w:t xml:space="preserve">poznatky z </w:t>
      </w:r>
      <w:proofErr w:type="spellStart"/>
      <w:r w:rsidR="00940E5E" w:rsidRPr="00ED3950">
        <w:rPr>
          <w:rStyle w:val="normaltextrun"/>
          <w:color w:val="F04E30" w:themeColor="accent2"/>
          <w:szCs w:val="18"/>
          <w:bdr w:val="none" w:sz="0" w:space="0" w:color="auto" w:frame="1"/>
          <w:lang w:val="cs-CZ"/>
        </w:rPr>
        <w:t>webináře</w:t>
      </w:r>
      <w:bookmarkEnd w:id="44"/>
      <w:proofErr w:type="spellEnd"/>
    </w:p>
    <w:p w:rsidR="005840C5" w:rsidRPr="00ED3950" w:rsidRDefault="00ED3950">
      <w:pPr>
        <w:rPr>
          <w:rStyle w:val="normaltextrun"/>
          <w:color w:val="000000"/>
          <w:szCs w:val="18"/>
          <w:bdr w:val="none" w:sz="0" w:space="0" w:color="auto" w:frame="1"/>
          <w:lang w:val="cs-CZ"/>
        </w:rPr>
      </w:pPr>
      <w:r w:rsidRPr="00ED3950">
        <w:rPr>
          <w:rStyle w:val="normaltextrun"/>
          <w:color w:val="000000"/>
          <w:szCs w:val="18"/>
          <w:bdr w:val="none" w:sz="0" w:space="0" w:color="auto" w:frame="1"/>
          <w:lang w:val="cs-CZ"/>
        </w:rPr>
        <w:t xml:space="preserve">Výzvy související s </w:t>
      </w:r>
      <w:r w:rsidRPr="00ED3950">
        <w:rPr>
          <w:rStyle w:val="normaltextrun"/>
          <w:b/>
          <w:bCs/>
          <w:color w:val="000000"/>
          <w:szCs w:val="18"/>
          <w:bdr w:val="none" w:sz="0" w:space="0" w:color="auto" w:frame="1"/>
          <w:lang w:val="cs-CZ"/>
        </w:rPr>
        <w:t xml:space="preserve">nedávným </w:t>
      </w:r>
      <w:r w:rsidRPr="00ED3950">
        <w:rPr>
          <w:rStyle w:val="normaltextrun"/>
          <w:color w:val="000000"/>
          <w:szCs w:val="18"/>
          <w:bdr w:val="none" w:sz="0" w:space="0" w:color="auto" w:frame="1"/>
          <w:lang w:val="cs-CZ"/>
        </w:rPr>
        <w:t>vývojem principu DNSH</w:t>
      </w:r>
      <w:r w:rsidR="004B2273" w:rsidRPr="00ED3950">
        <w:rPr>
          <w:rStyle w:val="normaltextrun"/>
          <w:color w:val="000000"/>
          <w:szCs w:val="18"/>
          <w:bdr w:val="none" w:sz="0" w:space="0" w:color="auto" w:frame="1"/>
          <w:lang w:val="cs-CZ"/>
        </w:rPr>
        <w:t xml:space="preserve">, </w:t>
      </w:r>
      <w:r w:rsidR="004B2273" w:rsidRPr="00ED3950">
        <w:rPr>
          <w:rStyle w:val="normaltextrun"/>
          <w:b/>
          <w:bCs/>
          <w:color w:val="000000"/>
          <w:szCs w:val="18"/>
          <w:bdr w:val="none" w:sz="0" w:space="0" w:color="auto" w:frame="1"/>
          <w:lang w:val="cs-CZ"/>
        </w:rPr>
        <w:t xml:space="preserve">nedostatek konsolidovaných </w:t>
      </w:r>
      <w:r w:rsidRPr="00ED3950">
        <w:rPr>
          <w:rStyle w:val="normaltextrun"/>
          <w:b/>
          <w:bCs/>
          <w:color w:val="000000"/>
          <w:szCs w:val="18"/>
          <w:bdr w:val="none" w:sz="0" w:space="0" w:color="auto" w:frame="1"/>
          <w:lang w:val="cs-CZ"/>
        </w:rPr>
        <w:t xml:space="preserve">rámců </w:t>
      </w:r>
      <w:r w:rsidRPr="00ED3950">
        <w:rPr>
          <w:rStyle w:val="normaltextrun"/>
          <w:color w:val="000000"/>
          <w:szCs w:val="18"/>
          <w:bdr w:val="none" w:sz="0" w:space="0" w:color="auto" w:frame="1"/>
          <w:lang w:val="cs-CZ"/>
        </w:rPr>
        <w:t xml:space="preserve">(tj. existuje řada různých modelů, šablon a přístupů), </w:t>
      </w:r>
      <w:r w:rsidRPr="00ED3950">
        <w:rPr>
          <w:rStyle w:val="normaltextrun"/>
          <w:b/>
          <w:bCs/>
          <w:color w:val="000000"/>
          <w:szCs w:val="18"/>
          <w:bdr w:val="none" w:sz="0" w:space="0" w:color="auto" w:frame="1"/>
          <w:lang w:val="cs-CZ"/>
        </w:rPr>
        <w:t xml:space="preserve">nedostatek odborných znalostí v </w:t>
      </w:r>
      <w:r w:rsidR="007F677E" w:rsidRPr="00ED3950">
        <w:rPr>
          <w:rStyle w:val="normaltextrun"/>
          <w:color w:val="000000"/>
          <w:szCs w:val="18"/>
          <w:bdr w:val="none" w:sz="0" w:space="0" w:color="auto" w:frame="1"/>
          <w:lang w:val="cs-CZ"/>
        </w:rPr>
        <w:t xml:space="preserve">celém procesu uplatňování DNSH </w:t>
      </w:r>
      <w:r w:rsidR="00464CA3" w:rsidRPr="00ED3950">
        <w:rPr>
          <w:rStyle w:val="normaltextrun"/>
          <w:color w:val="000000"/>
          <w:szCs w:val="18"/>
          <w:bdr w:val="none" w:sz="0" w:space="0" w:color="auto" w:frame="1"/>
          <w:lang w:val="cs-CZ"/>
        </w:rPr>
        <w:t xml:space="preserve">a </w:t>
      </w:r>
      <w:r w:rsidR="00F17B5A" w:rsidRPr="00ED3950">
        <w:rPr>
          <w:rStyle w:val="normaltextrun"/>
          <w:b/>
          <w:bCs/>
          <w:color w:val="000000"/>
          <w:szCs w:val="18"/>
          <w:bdr w:val="none" w:sz="0" w:space="0" w:color="auto" w:frame="1"/>
          <w:lang w:val="cs-CZ"/>
        </w:rPr>
        <w:t xml:space="preserve">potřeba vyhrazených zdrojů </w:t>
      </w:r>
      <w:r w:rsidR="00464CA3" w:rsidRPr="00ED3950">
        <w:rPr>
          <w:rStyle w:val="normaltextrun"/>
          <w:color w:val="000000"/>
          <w:szCs w:val="18"/>
          <w:bdr w:val="none" w:sz="0" w:space="0" w:color="auto" w:frame="1"/>
          <w:lang w:val="cs-CZ"/>
        </w:rPr>
        <w:t xml:space="preserve">se objevují jako </w:t>
      </w:r>
      <w:r w:rsidR="0017050E" w:rsidRPr="00ED3950">
        <w:rPr>
          <w:rStyle w:val="normaltextrun"/>
          <w:color w:val="000000"/>
          <w:szCs w:val="18"/>
          <w:bdr w:val="none" w:sz="0" w:space="0" w:color="auto" w:frame="1"/>
          <w:lang w:val="cs-CZ"/>
        </w:rPr>
        <w:t xml:space="preserve">klíčové charakteristiky ve všech </w:t>
      </w:r>
      <w:r w:rsidR="007206B6" w:rsidRPr="00ED3950">
        <w:rPr>
          <w:rStyle w:val="normaltextrun"/>
          <w:color w:val="000000"/>
          <w:szCs w:val="18"/>
          <w:bdr w:val="none" w:sz="0" w:space="0" w:color="auto" w:frame="1"/>
          <w:lang w:val="cs-CZ"/>
        </w:rPr>
        <w:t xml:space="preserve">členských </w:t>
      </w:r>
      <w:r w:rsidR="0017050E" w:rsidRPr="00ED3950">
        <w:rPr>
          <w:rStyle w:val="normaltextrun"/>
          <w:color w:val="000000"/>
          <w:szCs w:val="18"/>
          <w:bdr w:val="none" w:sz="0" w:space="0" w:color="auto" w:frame="1"/>
          <w:lang w:val="cs-CZ"/>
        </w:rPr>
        <w:t xml:space="preserve">státech, které se zúčastnily </w:t>
      </w:r>
      <w:proofErr w:type="spellStart"/>
      <w:r w:rsidR="00BC60B7" w:rsidRPr="00ED3950">
        <w:rPr>
          <w:rStyle w:val="normaltextrun"/>
          <w:color w:val="000000"/>
          <w:szCs w:val="18"/>
          <w:bdr w:val="none" w:sz="0" w:space="0" w:color="auto" w:frame="1"/>
          <w:lang w:val="cs-CZ"/>
        </w:rPr>
        <w:t>webináře</w:t>
      </w:r>
      <w:proofErr w:type="spellEnd"/>
      <w:r w:rsidR="0017050E" w:rsidRPr="00ED3950">
        <w:rPr>
          <w:rStyle w:val="normaltextrun"/>
          <w:color w:val="000000"/>
          <w:szCs w:val="18"/>
          <w:bdr w:val="none" w:sz="0" w:space="0" w:color="auto" w:frame="1"/>
          <w:lang w:val="cs-CZ"/>
        </w:rPr>
        <w:t xml:space="preserve">. </w:t>
      </w:r>
      <w:r w:rsidR="009958F2" w:rsidRPr="00ED3950">
        <w:rPr>
          <w:rStyle w:val="normaltextrun"/>
          <w:color w:val="000000"/>
          <w:szCs w:val="18"/>
          <w:bdr w:val="none" w:sz="0" w:space="0" w:color="auto" w:frame="1"/>
          <w:lang w:val="cs-CZ"/>
        </w:rPr>
        <w:t xml:space="preserve">Tyto charakteristiky spolu </w:t>
      </w:r>
      <w:r w:rsidR="008E337E" w:rsidRPr="00ED3950">
        <w:rPr>
          <w:rStyle w:val="normaltextrun"/>
          <w:color w:val="000000"/>
          <w:szCs w:val="18"/>
          <w:bdr w:val="none" w:sz="0" w:space="0" w:color="auto" w:frame="1"/>
          <w:lang w:val="cs-CZ"/>
        </w:rPr>
        <w:t xml:space="preserve">souvisejí a mají tendenci se vzájemně zhoršovat (např. omezená velikost týmů věnujících se </w:t>
      </w:r>
      <w:r w:rsidR="007C78E0" w:rsidRPr="00ED3950">
        <w:rPr>
          <w:rStyle w:val="normaltextrun"/>
          <w:color w:val="000000"/>
          <w:szCs w:val="18"/>
          <w:bdr w:val="none" w:sz="0" w:space="0" w:color="auto" w:frame="1"/>
          <w:lang w:val="cs-CZ"/>
        </w:rPr>
        <w:t xml:space="preserve">principu DNSH je zdůrazňována jako obtíž při vytváření konsolidovaných rámců a budování odborných znalostí všech příslušných pracovníků). Kromě toho </w:t>
      </w:r>
      <w:r w:rsidR="00241FB5" w:rsidRPr="00ED3950">
        <w:rPr>
          <w:rStyle w:val="normaltextrun"/>
          <w:color w:val="000000"/>
          <w:szCs w:val="18"/>
          <w:bdr w:val="none" w:sz="0" w:space="0" w:color="auto" w:frame="1"/>
          <w:lang w:val="cs-CZ"/>
        </w:rPr>
        <w:t xml:space="preserve">byly diskutovány </w:t>
      </w:r>
      <w:r w:rsidR="0041037E" w:rsidRPr="00ED3950">
        <w:rPr>
          <w:rStyle w:val="normaltextrun"/>
          <w:color w:val="000000"/>
          <w:szCs w:val="18"/>
          <w:bdr w:val="none" w:sz="0" w:space="0" w:color="auto" w:frame="1"/>
          <w:lang w:val="cs-CZ"/>
        </w:rPr>
        <w:t xml:space="preserve">3 </w:t>
      </w:r>
      <w:r w:rsidR="00624D5A" w:rsidRPr="00ED3950">
        <w:rPr>
          <w:rStyle w:val="normaltextrun"/>
          <w:color w:val="000000"/>
          <w:szCs w:val="18"/>
          <w:bdr w:val="none" w:sz="0" w:space="0" w:color="auto" w:frame="1"/>
          <w:lang w:val="cs-CZ"/>
        </w:rPr>
        <w:t xml:space="preserve">klíčové </w:t>
      </w:r>
      <w:r w:rsidR="00241FB5" w:rsidRPr="00ED3950">
        <w:rPr>
          <w:rStyle w:val="normaltextrun"/>
          <w:color w:val="000000"/>
          <w:szCs w:val="18"/>
          <w:bdr w:val="none" w:sz="0" w:space="0" w:color="auto" w:frame="1"/>
          <w:lang w:val="cs-CZ"/>
        </w:rPr>
        <w:t xml:space="preserve">body, které se opakují ve všech srovnávaných </w:t>
      </w:r>
      <w:r w:rsidR="007206B6" w:rsidRPr="00ED3950">
        <w:rPr>
          <w:rStyle w:val="normaltextrun"/>
          <w:color w:val="000000"/>
          <w:szCs w:val="18"/>
          <w:bdr w:val="none" w:sz="0" w:space="0" w:color="auto" w:frame="1"/>
          <w:lang w:val="cs-CZ"/>
        </w:rPr>
        <w:t xml:space="preserve">členských </w:t>
      </w:r>
      <w:r w:rsidR="00241FB5" w:rsidRPr="00ED3950">
        <w:rPr>
          <w:rStyle w:val="normaltextrun"/>
          <w:color w:val="000000"/>
          <w:szCs w:val="18"/>
          <w:bdr w:val="none" w:sz="0" w:space="0" w:color="auto" w:frame="1"/>
          <w:lang w:val="cs-CZ"/>
        </w:rPr>
        <w:t xml:space="preserve">státech a </w:t>
      </w:r>
      <w:r w:rsidR="00892FC7" w:rsidRPr="00ED3950">
        <w:rPr>
          <w:rStyle w:val="normaltextrun"/>
          <w:color w:val="000000"/>
          <w:szCs w:val="18"/>
          <w:bdr w:val="none" w:sz="0" w:space="0" w:color="auto" w:frame="1"/>
          <w:lang w:val="cs-CZ"/>
        </w:rPr>
        <w:t xml:space="preserve">týkají se struktury řízení a postupů pro </w:t>
      </w:r>
      <w:r w:rsidR="005516A0" w:rsidRPr="00ED3950">
        <w:rPr>
          <w:rStyle w:val="normaltextrun"/>
          <w:color w:val="000000"/>
          <w:szCs w:val="18"/>
          <w:bdr w:val="none" w:sz="0" w:space="0" w:color="auto" w:frame="1"/>
          <w:lang w:val="cs-CZ"/>
        </w:rPr>
        <w:t>uplatňování zásady DNSH</w:t>
      </w:r>
      <w:r w:rsidR="00241FB5" w:rsidRPr="00ED3950">
        <w:rPr>
          <w:rStyle w:val="normaltextrun"/>
          <w:color w:val="000000"/>
          <w:szCs w:val="18"/>
          <w:bdr w:val="none" w:sz="0" w:space="0" w:color="auto" w:frame="1"/>
          <w:lang w:val="cs-CZ"/>
        </w:rPr>
        <w:t>:</w:t>
      </w:r>
    </w:p>
    <w:p w:rsidR="005840C5" w:rsidRPr="00ED3950" w:rsidRDefault="00ED3950">
      <w:pPr>
        <w:pStyle w:val="Bulletpoint"/>
        <w:ind w:left="851" w:hanging="284"/>
        <w:rPr>
          <w:rStyle w:val="normaltextrun"/>
          <w:color w:val="000000"/>
          <w:szCs w:val="18"/>
          <w:bdr w:val="none" w:sz="0" w:space="0" w:color="auto" w:frame="1"/>
          <w:lang w:val="cs-CZ"/>
        </w:rPr>
      </w:pPr>
      <w:r w:rsidRPr="00ED3950">
        <w:rPr>
          <w:rStyle w:val="normaltextrun"/>
          <w:b/>
          <w:bCs/>
          <w:color w:val="000000"/>
          <w:szCs w:val="18"/>
          <w:bdr w:val="none" w:sz="0" w:space="0" w:color="auto" w:frame="1"/>
          <w:lang w:val="cs-CZ"/>
        </w:rPr>
        <w:t xml:space="preserve">Obtížnost nalezení rovnováhy mezi centralizací a </w:t>
      </w:r>
      <w:r w:rsidR="00B746DE" w:rsidRPr="00ED3950">
        <w:rPr>
          <w:rStyle w:val="normaltextrun"/>
          <w:b/>
          <w:bCs/>
          <w:color w:val="000000"/>
          <w:szCs w:val="18"/>
          <w:bdr w:val="none" w:sz="0" w:space="0" w:color="auto" w:frame="1"/>
          <w:lang w:val="cs-CZ"/>
        </w:rPr>
        <w:t>decentralizací</w:t>
      </w:r>
      <w:r w:rsidRPr="00ED3950">
        <w:rPr>
          <w:rStyle w:val="normaltextrun"/>
          <w:color w:val="000000"/>
          <w:szCs w:val="18"/>
          <w:bdr w:val="none" w:sz="0" w:space="0" w:color="auto" w:frame="1"/>
          <w:lang w:val="cs-CZ"/>
        </w:rPr>
        <w:t xml:space="preserve">. </w:t>
      </w:r>
      <w:r w:rsidR="00445599" w:rsidRPr="00ED3950">
        <w:rPr>
          <w:rStyle w:val="normaltextrun"/>
          <w:color w:val="000000"/>
          <w:szCs w:val="18"/>
          <w:bdr w:val="none" w:sz="0" w:space="0" w:color="auto" w:frame="1"/>
          <w:lang w:val="cs-CZ"/>
        </w:rPr>
        <w:t xml:space="preserve">První z nich </w:t>
      </w:r>
      <w:r w:rsidRPr="00ED3950">
        <w:rPr>
          <w:rStyle w:val="normaltextrun"/>
          <w:color w:val="000000"/>
          <w:szCs w:val="18"/>
          <w:bdr w:val="none" w:sz="0" w:space="0" w:color="auto" w:frame="1"/>
          <w:lang w:val="cs-CZ"/>
        </w:rPr>
        <w:t xml:space="preserve">umožňuje rozvoj konsolidovaných rámců </w:t>
      </w:r>
      <w:r w:rsidR="00FD0A6C" w:rsidRPr="00ED3950">
        <w:rPr>
          <w:rStyle w:val="normaltextrun"/>
          <w:color w:val="000000"/>
          <w:szCs w:val="18"/>
          <w:bdr w:val="none" w:sz="0" w:space="0" w:color="auto" w:frame="1"/>
          <w:lang w:val="cs-CZ"/>
        </w:rPr>
        <w:t xml:space="preserve">a usnadňuje synergie, zatímco </w:t>
      </w:r>
      <w:r w:rsidR="00445599" w:rsidRPr="00ED3950">
        <w:rPr>
          <w:rStyle w:val="normaltextrun"/>
          <w:color w:val="000000"/>
          <w:szCs w:val="18"/>
          <w:bdr w:val="none" w:sz="0" w:space="0" w:color="auto" w:frame="1"/>
          <w:lang w:val="cs-CZ"/>
        </w:rPr>
        <w:t xml:space="preserve">druhá zajišťuje, že </w:t>
      </w:r>
      <w:r w:rsidR="00F856D1" w:rsidRPr="00ED3950">
        <w:rPr>
          <w:rStyle w:val="normaltextrun"/>
          <w:color w:val="000000"/>
          <w:szCs w:val="18"/>
          <w:bdr w:val="none" w:sz="0" w:space="0" w:color="auto" w:frame="1"/>
          <w:lang w:val="cs-CZ"/>
        </w:rPr>
        <w:t xml:space="preserve">uplatňování zásady DNSH je </w:t>
      </w:r>
      <w:r w:rsidR="00C952EB" w:rsidRPr="00ED3950">
        <w:rPr>
          <w:rStyle w:val="normaltextrun"/>
          <w:color w:val="000000"/>
          <w:szCs w:val="18"/>
          <w:bdr w:val="none" w:sz="0" w:space="0" w:color="auto" w:frame="1"/>
          <w:lang w:val="cs-CZ"/>
        </w:rPr>
        <w:t xml:space="preserve">přizpůsobeno </w:t>
      </w:r>
      <w:r w:rsidR="00F856D1" w:rsidRPr="00ED3950">
        <w:rPr>
          <w:rStyle w:val="normaltextrun"/>
          <w:color w:val="000000"/>
          <w:szCs w:val="18"/>
          <w:bdr w:val="none" w:sz="0" w:space="0" w:color="auto" w:frame="1"/>
          <w:lang w:val="cs-CZ"/>
        </w:rPr>
        <w:t xml:space="preserve">místním nebo odvětvovým souvislostem </w:t>
      </w:r>
      <w:r w:rsidR="00C952EB" w:rsidRPr="00ED3950">
        <w:rPr>
          <w:rStyle w:val="normaltextrun"/>
          <w:color w:val="000000"/>
          <w:szCs w:val="18"/>
          <w:bdr w:val="none" w:sz="0" w:space="0" w:color="auto" w:frame="1"/>
          <w:lang w:val="cs-CZ"/>
        </w:rPr>
        <w:t xml:space="preserve">(zejména tam, kde neexistují žádné </w:t>
      </w:r>
      <w:r w:rsidR="00847D53" w:rsidRPr="00ED3950">
        <w:rPr>
          <w:rStyle w:val="normaltextrun"/>
          <w:color w:val="000000"/>
          <w:szCs w:val="18"/>
          <w:bdr w:val="none" w:sz="0" w:space="0" w:color="auto" w:frame="1"/>
          <w:lang w:val="cs-CZ"/>
        </w:rPr>
        <w:t xml:space="preserve">týmy věnující se zásadě DNSH </w:t>
      </w:r>
      <w:r w:rsidR="00C952EB" w:rsidRPr="00ED3950">
        <w:rPr>
          <w:rStyle w:val="normaltextrun"/>
          <w:color w:val="000000"/>
          <w:szCs w:val="18"/>
          <w:bdr w:val="none" w:sz="0" w:space="0" w:color="auto" w:frame="1"/>
          <w:lang w:val="cs-CZ"/>
        </w:rPr>
        <w:t xml:space="preserve">nebo jsou tyto </w:t>
      </w:r>
      <w:r w:rsidR="00847D53" w:rsidRPr="00ED3950">
        <w:rPr>
          <w:rStyle w:val="normaltextrun"/>
          <w:color w:val="000000"/>
          <w:szCs w:val="18"/>
          <w:bdr w:val="none" w:sz="0" w:space="0" w:color="auto" w:frame="1"/>
          <w:lang w:val="cs-CZ"/>
        </w:rPr>
        <w:t>týmy malé, protože uplatňování se může opírat pouze o liniová ministerstva nebo řídicí orgány);</w:t>
      </w:r>
    </w:p>
    <w:p w:rsidR="005840C5" w:rsidRPr="00ED3950" w:rsidRDefault="00224DA8">
      <w:pPr>
        <w:pStyle w:val="Bulletpoint"/>
        <w:ind w:left="851" w:hanging="284"/>
        <w:rPr>
          <w:rStyle w:val="normaltextrun"/>
          <w:color w:val="000000"/>
          <w:szCs w:val="18"/>
          <w:bdr w:val="none" w:sz="0" w:space="0" w:color="auto" w:frame="1"/>
          <w:lang w:val="cs-CZ"/>
        </w:rPr>
      </w:pPr>
      <w:r w:rsidRPr="00ED3950">
        <w:rPr>
          <w:rStyle w:val="normaltextrun"/>
          <w:b/>
          <w:bCs/>
          <w:color w:val="000000"/>
          <w:szCs w:val="18"/>
          <w:bdr w:val="none" w:sz="0" w:space="0" w:color="auto" w:frame="1"/>
          <w:lang w:val="cs-CZ"/>
        </w:rPr>
        <w:t>Rozmanitost a počet zapojených orgánů</w:t>
      </w:r>
      <w:r w:rsidR="00D54B44" w:rsidRPr="00ED3950">
        <w:rPr>
          <w:rStyle w:val="normaltextrun"/>
          <w:color w:val="000000"/>
          <w:szCs w:val="18"/>
          <w:bdr w:val="none" w:sz="0" w:space="0" w:color="auto" w:frame="1"/>
          <w:lang w:val="cs-CZ"/>
        </w:rPr>
        <w:t xml:space="preserve">. Procesy řízení musí umožnit budování kapacit a efektivitu </w:t>
      </w:r>
      <w:r w:rsidR="00633EBB" w:rsidRPr="00ED3950">
        <w:rPr>
          <w:rStyle w:val="normaltextrun"/>
          <w:color w:val="000000"/>
          <w:szCs w:val="18"/>
          <w:bdr w:val="none" w:sz="0" w:space="0" w:color="auto" w:frame="1"/>
          <w:lang w:val="cs-CZ"/>
        </w:rPr>
        <w:t>všech řídicích orgánů, což představuje problém, protože se do značné míry liší z hlediska odvětví a rozsahu</w:t>
      </w:r>
      <w:r w:rsidR="00116369" w:rsidRPr="00ED3950">
        <w:rPr>
          <w:rStyle w:val="normaltextrun"/>
          <w:color w:val="000000"/>
          <w:szCs w:val="18"/>
          <w:bdr w:val="none" w:sz="0" w:space="0" w:color="auto" w:frame="1"/>
          <w:lang w:val="cs-CZ"/>
        </w:rPr>
        <w:t>;</w:t>
      </w:r>
    </w:p>
    <w:p w:rsidR="005840C5" w:rsidRPr="00ED3950" w:rsidRDefault="00ED3950">
      <w:pPr>
        <w:pStyle w:val="Bulletpoint"/>
        <w:ind w:left="851" w:hanging="284"/>
        <w:rPr>
          <w:rStyle w:val="normaltextrun"/>
          <w:color w:val="000000"/>
          <w:szCs w:val="18"/>
          <w:bdr w:val="none" w:sz="0" w:space="0" w:color="auto" w:frame="1"/>
          <w:lang w:val="cs-CZ"/>
        </w:rPr>
      </w:pPr>
      <w:r w:rsidRPr="00ED3950">
        <w:rPr>
          <w:rStyle w:val="normaltextrun"/>
          <w:b/>
          <w:bCs/>
          <w:color w:val="000000"/>
          <w:szCs w:val="18"/>
          <w:bdr w:val="none" w:sz="0" w:space="0" w:color="auto" w:frame="1"/>
          <w:lang w:val="cs-CZ"/>
        </w:rPr>
        <w:t>Obtí</w:t>
      </w:r>
      <w:r w:rsidRPr="00ED3950">
        <w:rPr>
          <w:rStyle w:val="normaltextrun"/>
          <w:b/>
          <w:bCs/>
          <w:color w:val="000000"/>
          <w:szCs w:val="18"/>
          <w:bdr w:val="none" w:sz="0" w:space="0" w:color="auto" w:frame="1"/>
          <w:lang w:val="cs-CZ"/>
        </w:rPr>
        <w:t xml:space="preserve">že při uplatňování </w:t>
      </w:r>
      <w:r w:rsidR="005328F7" w:rsidRPr="00ED3950">
        <w:rPr>
          <w:rStyle w:val="normaltextrun"/>
          <w:b/>
          <w:bCs/>
          <w:color w:val="000000"/>
          <w:szCs w:val="18"/>
          <w:bdr w:val="none" w:sz="0" w:space="0" w:color="auto" w:frame="1"/>
          <w:lang w:val="cs-CZ"/>
        </w:rPr>
        <w:t xml:space="preserve">zásady DNSH stejným způsobem ve </w:t>
      </w:r>
      <w:r w:rsidR="008124A0" w:rsidRPr="00ED3950">
        <w:rPr>
          <w:rStyle w:val="normaltextrun"/>
          <w:b/>
          <w:bCs/>
          <w:color w:val="000000"/>
          <w:szCs w:val="18"/>
          <w:bdr w:val="none" w:sz="0" w:space="0" w:color="auto" w:frame="1"/>
          <w:lang w:val="cs-CZ"/>
        </w:rPr>
        <w:t xml:space="preserve">všech </w:t>
      </w:r>
      <w:r w:rsidR="005328F7" w:rsidRPr="00ED3950">
        <w:rPr>
          <w:rStyle w:val="normaltextrun"/>
          <w:b/>
          <w:bCs/>
          <w:color w:val="000000"/>
          <w:szCs w:val="18"/>
          <w:bdr w:val="none" w:sz="0" w:space="0" w:color="auto" w:frame="1"/>
          <w:lang w:val="cs-CZ"/>
        </w:rPr>
        <w:t>fondech</w:t>
      </w:r>
      <w:r w:rsidR="005328F7" w:rsidRPr="00ED3950">
        <w:rPr>
          <w:rStyle w:val="normaltextrun"/>
          <w:color w:val="000000"/>
          <w:szCs w:val="18"/>
          <w:bdr w:val="none" w:sz="0" w:space="0" w:color="auto" w:frame="1"/>
          <w:lang w:val="cs-CZ"/>
        </w:rPr>
        <w:t xml:space="preserve">. </w:t>
      </w:r>
      <w:r w:rsidR="009A3CE7" w:rsidRPr="00ED3950">
        <w:rPr>
          <w:rStyle w:val="normaltextrun"/>
          <w:color w:val="000000"/>
          <w:szCs w:val="18"/>
          <w:bdr w:val="none" w:sz="0" w:space="0" w:color="auto" w:frame="1"/>
          <w:lang w:val="cs-CZ"/>
        </w:rPr>
        <w:t xml:space="preserve">Provádění </w:t>
      </w:r>
      <w:r w:rsidR="008124A0" w:rsidRPr="00ED3950">
        <w:rPr>
          <w:rStyle w:val="normaltextrun"/>
          <w:color w:val="000000"/>
          <w:szCs w:val="18"/>
          <w:bdr w:val="none" w:sz="0" w:space="0" w:color="auto" w:frame="1"/>
          <w:lang w:val="cs-CZ"/>
        </w:rPr>
        <w:t xml:space="preserve">RRF </w:t>
      </w:r>
      <w:r w:rsidR="00116EEF" w:rsidRPr="00ED3950">
        <w:rPr>
          <w:rStyle w:val="normaltextrun"/>
          <w:color w:val="000000"/>
          <w:szCs w:val="18"/>
          <w:bdr w:val="none" w:sz="0" w:space="0" w:color="auto" w:frame="1"/>
          <w:lang w:val="cs-CZ"/>
        </w:rPr>
        <w:t xml:space="preserve">obvykle </w:t>
      </w:r>
      <w:r w:rsidR="004E35B2" w:rsidRPr="00ED3950">
        <w:rPr>
          <w:rStyle w:val="normaltextrun"/>
          <w:color w:val="000000"/>
          <w:szCs w:val="18"/>
          <w:bdr w:val="none" w:sz="0" w:space="0" w:color="auto" w:frame="1"/>
          <w:lang w:val="cs-CZ"/>
        </w:rPr>
        <w:t xml:space="preserve">vyžaduje </w:t>
      </w:r>
      <w:r w:rsidR="009A3CE7" w:rsidRPr="00ED3950">
        <w:rPr>
          <w:rStyle w:val="normaltextrun"/>
          <w:color w:val="000000"/>
          <w:szCs w:val="18"/>
          <w:bdr w:val="none" w:sz="0" w:space="0" w:color="auto" w:frame="1"/>
          <w:lang w:val="cs-CZ"/>
        </w:rPr>
        <w:t xml:space="preserve">právní výkon, zatímco provádění fondů politiky soudržnosti </w:t>
      </w:r>
      <w:r w:rsidR="004E35B2" w:rsidRPr="00ED3950">
        <w:rPr>
          <w:rStyle w:val="normaltextrun"/>
          <w:color w:val="000000"/>
          <w:szCs w:val="18"/>
          <w:bdr w:val="none" w:sz="0" w:space="0" w:color="auto" w:frame="1"/>
          <w:lang w:val="cs-CZ"/>
        </w:rPr>
        <w:t xml:space="preserve">vyžaduje technickou znalost příslušných kritérií </w:t>
      </w:r>
      <w:r w:rsidR="00966E9D" w:rsidRPr="00ED3950">
        <w:rPr>
          <w:rStyle w:val="normaltextrun"/>
          <w:color w:val="000000"/>
          <w:szCs w:val="18"/>
          <w:bdr w:val="none" w:sz="0" w:space="0" w:color="auto" w:frame="1"/>
          <w:lang w:val="cs-CZ"/>
        </w:rPr>
        <w:t xml:space="preserve">DNSH. To </w:t>
      </w:r>
      <w:r w:rsidR="00591BE8" w:rsidRPr="00ED3950">
        <w:rPr>
          <w:rStyle w:val="normaltextrun"/>
          <w:color w:val="000000"/>
          <w:szCs w:val="18"/>
          <w:bdr w:val="none" w:sz="0" w:space="0" w:color="auto" w:frame="1"/>
          <w:lang w:val="cs-CZ"/>
        </w:rPr>
        <w:t xml:space="preserve">vyžaduje </w:t>
      </w:r>
      <w:r w:rsidR="00966E9D" w:rsidRPr="00ED3950">
        <w:rPr>
          <w:rStyle w:val="normaltextrun"/>
          <w:color w:val="000000"/>
          <w:szCs w:val="18"/>
          <w:bdr w:val="none" w:sz="0" w:space="0" w:color="auto" w:frame="1"/>
          <w:lang w:val="cs-CZ"/>
        </w:rPr>
        <w:t xml:space="preserve">odlišné </w:t>
      </w:r>
      <w:r w:rsidR="00591BE8" w:rsidRPr="00ED3950">
        <w:rPr>
          <w:rStyle w:val="normaltextrun"/>
          <w:color w:val="000000"/>
          <w:szCs w:val="18"/>
          <w:bdr w:val="none" w:sz="0" w:space="0" w:color="auto" w:frame="1"/>
          <w:lang w:val="cs-CZ"/>
        </w:rPr>
        <w:t xml:space="preserve">a potenciálně </w:t>
      </w:r>
      <w:r w:rsidR="00116EEF" w:rsidRPr="00ED3950">
        <w:rPr>
          <w:rStyle w:val="normaltextrun"/>
          <w:color w:val="000000"/>
          <w:szCs w:val="18"/>
          <w:bdr w:val="none" w:sz="0" w:space="0" w:color="auto" w:frame="1"/>
          <w:lang w:val="cs-CZ"/>
        </w:rPr>
        <w:t xml:space="preserve">rozdílné </w:t>
      </w:r>
      <w:r w:rsidR="003270D2" w:rsidRPr="00ED3950">
        <w:rPr>
          <w:rStyle w:val="normaltextrun"/>
          <w:color w:val="000000"/>
          <w:szCs w:val="18"/>
          <w:bdr w:val="none" w:sz="0" w:space="0" w:color="auto" w:frame="1"/>
          <w:lang w:val="cs-CZ"/>
        </w:rPr>
        <w:t xml:space="preserve">atributy </w:t>
      </w:r>
      <w:r w:rsidR="00591BE8" w:rsidRPr="00ED3950">
        <w:rPr>
          <w:rStyle w:val="normaltextrun"/>
          <w:color w:val="000000"/>
          <w:szCs w:val="18"/>
          <w:bdr w:val="none" w:sz="0" w:space="0" w:color="auto" w:frame="1"/>
          <w:lang w:val="cs-CZ"/>
        </w:rPr>
        <w:t xml:space="preserve">v </w:t>
      </w:r>
      <w:r w:rsidR="006B7B7A" w:rsidRPr="00ED3950">
        <w:rPr>
          <w:rStyle w:val="normaltextrun"/>
          <w:color w:val="000000"/>
          <w:szCs w:val="18"/>
          <w:bdr w:val="none" w:sz="0" w:space="0" w:color="auto" w:frame="1"/>
          <w:lang w:val="cs-CZ"/>
        </w:rPr>
        <w:t>systémech řízení</w:t>
      </w:r>
      <w:r w:rsidR="00591BE8" w:rsidRPr="00ED3950">
        <w:rPr>
          <w:rStyle w:val="normaltextrun"/>
          <w:color w:val="000000"/>
          <w:szCs w:val="18"/>
          <w:bdr w:val="none" w:sz="0" w:space="0" w:color="auto" w:frame="1"/>
          <w:lang w:val="cs-CZ"/>
        </w:rPr>
        <w:t>.</w:t>
      </w:r>
    </w:p>
    <w:p w:rsidR="00B746DE" w:rsidRPr="00ED3950" w:rsidRDefault="00B746DE" w:rsidP="006415AD">
      <w:pPr>
        <w:rPr>
          <w:rStyle w:val="normaltextrun"/>
          <w:color w:val="000000"/>
          <w:szCs w:val="18"/>
          <w:bdr w:val="none" w:sz="0" w:space="0" w:color="auto" w:frame="1"/>
          <w:lang w:val="cs-CZ"/>
        </w:rPr>
      </w:pPr>
    </w:p>
    <w:p w:rsidR="005840C5" w:rsidRPr="00ED3950" w:rsidRDefault="00ED3950">
      <w:pPr>
        <w:pStyle w:val="Nadpis3"/>
        <w:ind w:left="567" w:hanging="567"/>
        <w:rPr>
          <w:rStyle w:val="normaltextrun"/>
          <w:color w:val="F04E30" w:themeColor="accent2"/>
          <w:szCs w:val="18"/>
          <w:bdr w:val="none" w:sz="0" w:space="0" w:color="auto" w:frame="1"/>
          <w:lang w:val="cs-CZ"/>
        </w:rPr>
      </w:pPr>
      <w:bookmarkStart w:id="45" w:name="_Toc131775847"/>
      <w:r w:rsidRPr="00ED3950">
        <w:rPr>
          <w:rStyle w:val="normaltextrun"/>
          <w:color w:val="F04E30" w:themeColor="accent2"/>
          <w:szCs w:val="18"/>
          <w:bdr w:val="none" w:sz="0" w:space="0" w:color="auto" w:frame="1"/>
          <w:lang w:val="cs-CZ"/>
        </w:rPr>
        <w:t>Klíčové poznatky</w:t>
      </w:r>
      <w:bookmarkEnd w:id="45"/>
    </w:p>
    <w:p w:rsidR="005840C5" w:rsidRPr="00ED3950" w:rsidRDefault="00A41FB0">
      <w:pPr>
        <w:rPr>
          <w:lang w:val="cs-CZ"/>
        </w:rPr>
      </w:pPr>
      <w:r w:rsidRPr="00ED3950">
        <w:rPr>
          <w:lang w:val="cs-CZ"/>
        </w:rPr>
        <w:t xml:space="preserve">V rámci panelové diskuse </w:t>
      </w:r>
      <w:r w:rsidR="00ED3950" w:rsidRPr="00ED3950">
        <w:rPr>
          <w:lang w:val="cs-CZ"/>
        </w:rPr>
        <w:t xml:space="preserve">byla projednána řada získaných poznatků </w:t>
      </w:r>
      <w:r w:rsidRPr="00ED3950">
        <w:rPr>
          <w:lang w:val="cs-CZ"/>
        </w:rPr>
        <w:t>a zamyšlení</w:t>
      </w:r>
      <w:r w:rsidR="00ED3950" w:rsidRPr="00ED3950">
        <w:rPr>
          <w:lang w:val="cs-CZ"/>
        </w:rPr>
        <w:t xml:space="preserve">. Přestože se systematicky nezabývají </w:t>
      </w:r>
      <w:r w:rsidR="00BD1D89" w:rsidRPr="00ED3950">
        <w:rPr>
          <w:lang w:val="cs-CZ"/>
        </w:rPr>
        <w:t xml:space="preserve">všemi </w:t>
      </w:r>
      <w:r w:rsidR="004274FC" w:rsidRPr="00ED3950">
        <w:rPr>
          <w:lang w:val="cs-CZ"/>
        </w:rPr>
        <w:t xml:space="preserve">výše zmíněnými </w:t>
      </w:r>
      <w:r w:rsidR="00BD1D89" w:rsidRPr="00ED3950">
        <w:rPr>
          <w:lang w:val="cs-CZ"/>
        </w:rPr>
        <w:t xml:space="preserve">problémy v </w:t>
      </w:r>
      <w:r w:rsidR="004274FC" w:rsidRPr="00ED3950">
        <w:rPr>
          <w:lang w:val="cs-CZ"/>
        </w:rPr>
        <w:t xml:space="preserve">oblasti správy DNSH, </w:t>
      </w:r>
      <w:r w:rsidR="00ED3950" w:rsidRPr="00ED3950">
        <w:rPr>
          <w:lang w:val="cs-CZ"/>
        </w:rPr>
        <w:t xml:space="preserve">jejich </w:t>
      </w:r>
      <w:r w:rsidR="007B661D" w:rsidRPr="00ED3950">
        <w:rPr>
          <w:lang w:val="cs-CZ"/>
        </w:rPr>
        <w:t xml:space="preserve">výhodou je, že se dají aplikovat </w:t>
      </w:r>
      <w:r w:rsidR="00ED3950" w:rsidRPr="00ED3950">
        <w:rPr>
          <w:lang w:val="cs-CZ"/>
        </w:rPr>
        <w:t>na různé kontexty:</w:t>
      </w:r>
    </w:p>
    <w:p w:rsidR="005840C5" w:rsidRPr="00ED3950" w:rsidRDefault="00ED3950">
      <w:pPr>
        <w:pStyle w:val="Bulletpoint"/>
        <w:ind w:left="851" w:hanging="284"/>
        <w:rPr>
          <w:lang w:val="cs-CZ"/>
        </w:rPr>
      </w:pPr>
      <w:r w:rsidRPr="00ED3950">
        <w:rPr>
          <w:b/>
          <w:bCs/>
          <w:lang w:val="cs-CZ"/>
        </w:rPr>
        <w:t>Pružnost je zásadní</w:t>
      </w:r>
      <w:r w:rsidRPr="00ED3950">
        <w:rPr>
          <w:lang w:val="cs-CZ"/>
        </w:rPr>
        <w:t>. Cíle a environmentální rizika se mohou v průběhu času měnit</w:t>
      </w:r>
      <w:r w:rsidR="006E3333" w:rsidRPr="00ED3950">
        <w:rPr>
          <w:lang w:val="cs-CZ"/>
        </w:rPr>
        <w:t>. Je proto třeba se vyhnout konkrétním doporučením ve školeních a v systémech řízení</w:t>
      </w:r>
      <w:r w:rsidR="007B661D" w:rsidRPr="00ED3950">
        <w:rPr>
          <w:lang w:val="cs-CZ"/>
        </w:rPr>
        <w:t>. Měla by být spíše poskytována praktická podpora pro rozhodování (např. v podobě rozhodovacích stromů)</w:t>
      </w:r>
      <w:r w:rsidR="006E3333" w:rsidRPr="00ED3950">
        <w:rPr>
          <w:lang w:val="cs-CZ"/>
        </w:rPr>
        <w:t>;</w:t>
      </w:r>
    </w:p>
    <w:p w:rsidR="005840C5" w:rsidRPr="00ED3950" w:rsidRDefault="00ED3950">
      <w:pPr>
        <w:pStyle w:val="Odstavecseseznamem"/>
        <w:ind w:left="851" w:hanging="284"/>
        <w:rPr>
          <w:lang w:val="cs-CZ"/>
        </w:rPr>
      </w:pPr>
      <w:r w:rsidRPr="00ED3950">
        <w:rPr>
          <w:b/>
          <w:bCs/>
          <w:lang w:val="cs-CZ"/>
        </w:rPr>
        <w:t>Měly by být vytvořeny agregované údaje a nástroje IT</w:t>
      </w:r>
      <w:r w:rsidRPr="00ED3950">
        <w:rPr>
          <w:lang w:val="cs-CZ"/>
        </w:rPr>
        <w:t xml:space="preserve">. Měly by nabízet aktuální a vědecké informace (např. </w:t>
      </w:r>
      <w:r w:rsidR="00B5017B" w:rsidRPr="00ED3950">
        <w:rPr>
          <w:lang w:val="cs-CZ"/>
        </w:rPr>
        <w:t xml:space="preserve">z </w:t>
      </w:r>
      <w:r w:rsidRPr="00ED3950">
        <w:rPr>
          <w:lang w:val="cs-CZ"/>
        </w:rPr>
        <w:t xml:space="preserve">výzkumných ústavů) </w:t>
      </w:r>
      <w:r w:rsidR="00B5017B" w:rsidRPr="00ED3950">
        <w:rPr>
          <w:lang w:val="cs-CZ"/>
        </w:rPr>
        <w:t>a data by měla být strojově čitelná;</w:t>
      </w:r>
    </w:p>
    <w:p w:rsidR="005840C5" w:rsidRPr="00ED3950" w:rsidRDefault="00ED3950">
      <w:pPr>
        <w:pStyle w:val="Odstavecseseznamem"/>
        <w:ind w:left="851" w:hanging="284"/>
        <w:rPr>
          <w:lang w:val="cs-CZ"/>
        </w:rPr>
      </w:pPr>
      <w:r w:rsidRPr="00ED3950">
        <w:rPr>
          <w:lang w:val="cs-CZ"/>
        </w:rPr>
        <w:t xml:space="preserve">Mezi týmy, které se věnují DNSH, </w:t>
      </w:r>
      <w:r w:rsidR="000756E0" w:rsidRPr="00ED3950">
        <w:rPr>
          <w:lang w:val="cs-CZ"/>
        </w:rPr>
        <w:t xml:space="preserve">a orgány uplatňujícími zásadu DNSH </w:t>
      </w:r>
      <w:r w:rsidRPr="00ED3950">
        <w:rPr>
          <w:b/>
          <w:bCs/>
          <w:lang w:val="cs-CZ"/>
        </w:rPr>
        <w:t>je třeba pravidelně komunikovat</w:t>
      </w:r>
      <w:r w:rsidR="00DF0F26" w:rsidRPr="00ED3950">
        <w:rPr>
          <w:lang w:val="cs-CZ"/>
        </w:rPr>
        <w:t xml:space="preserve">. Intenzivní komunikace je </w:t>
      </w:r>
      <w:r w:rsidR="00600351" w:rsidRPr="00ED3950">
        <w:rPr>
          <w:lang w:val="cs-CZ"/>
        </w:rPr>
        <w:t xml:space="preserve">prospěšná zejména </w:t>
      </w:r>
      <w:r w:rsidR="00DF0F26" w:rsidRPr="00ED3950">
        <w:rPr>
          <w:lang w:val="cs-CZ"/>
        </w:rPr>
        <w:t xml:space="preserve">ve fázi hodnocení, aby se vytvořila pevná kritéria a procesy, které </w:t>
      </w:r>
      <w:r w:rsidR="00600351" w:rsidRPr="00ED3950">
        <w:rPr>
          <w:lang w:val="cs-CZ"/>
        </w:rPr>
        <w:t xml:space="preserve">zabrání krizovým situacím, </w:t>
      </w:r>
      <w:r w:rsidR="00DF0F26" w:rsidRPr="00ED3950">
        <w:rPr>
          <w:lang w:val="cs-CZ"/>
        </w:rPr>
        <w:t xml:space="preserve">ale </w:t>
      </w:r>
      <w:r w:rsidR="00600351" w:rsidRPr="00ED3950">
        <w:rPr>
          <w:lang w:val="cs-CZ"/>
        </w:rPr>
        <w:t xml:space="preserve">komunikace </w:t>
      </w:r>
      <w:r w:rsidR="00DF0F26" w:rsidRPr="00ED3950">
        <w:rPr>
          <w:lang w:val="cs-CZ"/>
        </w:rPr>
        <w:t>by měla být udržována v průběhu všech kroků uplatňování DNSH</w:t>
      </w:r>
      <w:r w:rsidR="00AA45F3" w:rsidRPr="00ED3950">
        <w:rPr>
          <w:lang w:val="cs-CZ"/>
        </w:rPr>
        <w:t xml:space="preserve">. Týmy zabývající se DNSH by měly aktivně oslovovat příslušná ministerstva a nabízet jim pomoc </w:t>
      </w:r>
      <w:r w:rsidR="00600351" w:rsidRPr="00ED3950">
        <w:rPr>
          <w:lang w:val="cs-CZ"/>
        </w:rPr>
        <w:t>a základní školení</w:t>
      </w:r>
      <w:r w:rsidR="00DF0F26" w:rsidRPr="00ED3950">
        <w:rPr>
          <w:lang w:val="cs-CZ"/>
        </w:rPr>
        <w:t>;</w:t>
      </w:r>
    </w:p>
    <w:p w:rsidR="005840C5" w:rsidRPr="00ED3950" w:rsidRDefault="00ED3950">
      <w:pPr>
        <w:pStyle w:val="Odstavecseseznamem"/>
        <w:ind w:left="851" w:hanging="284"/>
        <w:rPr>
          <w:rStyle w:val="eop"/>
          <w:lang w:val="cs-CZ"/>
        </w:rPr>
      </w:pPr>
      <w:r w:rsidRPr="00ED3950">
        <w:rPr>
          <w:rStyle w:val="normaltextrun"/>
          <w:rFonts w:cs="Segoe UI"/>
          <w:b/>
          <w:bCs/>
          <w:szCs w:val="18"/>
          <w:lang w:val="cs-CZ"/>
        </w:rPr>
        <w:t xml:space="preserve">Šířit informace </w:t>
      </w:r>
      <w:r w:rsidR="00E6200F" w:rsidRPr="00ED3950">
        <w:rPr>
          <w:rStyle w:val="normaltextrun"/>
          <w:rFonts w:cs="Segoe UI"/>
          <w:b/>
          <w:bCs/>
          <w:szCs w:val="18"/>
          <w:lang w:val="cs-CZ"/>
        </w:rPr>
        <w:t xml:space="preserve">prostřednictvím </w:t>
      </w:r>
      <w:r w:rsidR="00E6200F" w:rsidRPr="00ED3950">
        <w:rPr>
          <w:rStyle w:val="normaltextrun"/>
          <w:rFonts w:cs="Segoe UI"/>
          <w:szCs w:val="18"/>
          <w:lang w:val="cs-CZ"/>
        </w:rPr>
        <w:t xml:space="preserve">(i) </w:t>
      </w:r>
      <w:r w:rsidR="00E6200F" w:rsidRPr="00ED3950">
        <w:rPr>
          <w:rStyle w:val="normaltextrun"/>
          <w:rFonts w:cs="Segoe UI"/>
          <w:b/>
          <w:bCs/>
          <w:szCs w:val="18"/>
          <w:lang w:val="cs-CZ"/>
        </w:rPr>
        <w:t xml:space="preserve">různých </w:t>
      </w:r>
      <w:r w:rsidRPr="00ED3950">
        <w:rPr>
          <w:rStyle w:val="normaltextrun"/>
          <w:rFonts w:cs="Segoe UI"/>
          <w:b/>
          <w:bCs/>
          <w:szCs w:val="18"/>
          <w:lang w:val="cs-CZ"/>
        </w:rPr>
        <w:t xml:space="preserve">formátů </w:t>
      </w:r>
      <w:r w:rsidRPr="00ED3950">
        <w:rPr>
          <w:rStyle w:val="normaltextrun"/>
          <w:rFonts w:cs="Segoe UI"/>
          <w:szCs w:val="18"/>
          <w:lang w:val="cs-CZ"/>
        </w:rPr>
        <w:t xml:space="preserve">tak, aby bylo k dispozici více informací (např. videa), </w:t>
      </w:r>
      <w:r w:rsidR="00E6200F" w:rsidRPr="00ED3950">
        <w:rPr>
          <w:rStyle w:val="normaltextrun"/>
          <w:rFonts w:cs="Segoe UI"/>
          <w:szCs w:val="18"/>
          <w:lang w:val="cs-CZ"/>
        </w:rPr>
        <w:t>(</w:t>
      </w:r>
      <w:proofErr w:type="spellStart"/>
      <w:r w:rsidR="00E6200F" w:rsidRPr="00ED3950">
        <w:rPr>
          <w:rStyle w:val="normaltextrun"/>
          <w:rFonts w:cs="Segoe UI"/>
          <w:szCs w:val="18"/>
          <w:lang w:val="cs-CZ"/>
        </w:rPr>
        <w:t>ii</w:t>
      </w:r>
      <w:proofErr w:type="spellEnd"/>
      <w:r w:rsidR="00E6200F" w:rsidRPr="00ED3950">
        <w:rPr>
          <w:rStyle w:val="normaltextrun"/>
          <w:rFonts w:cs="Segoe UI"/>
          <w:szCs w:val="18"/>
          <w:lang w:val="cs-CZ"/>
        </w:rPr>
        <w:t xml:space="preserve">) </w:t>
      </w:r>
      <w:r w:rsidR="006156EF" w:rsidRPr="00ED3950">
        <w:rPr>
          <w:rStyle w:val="normaltextrun"/>
          <w:rFonts w:cs="Segoe UI"/>
          <w:b/>
          <w:bCs/>
          <w:szCs w:val="18"/>
          <w:lang w:val="cs-CZ"/>
        </w:rPr>
        <w:t xml:space="preserve">nad rámec </w:t>
      </w:r>
      <w:r w:rsidRPr="00ED3950">
        <w:rPr>
          <w:rStyle w:val="normaltextrun"/>
          <w:rFonts w:cs="Segoe UI"/>
          <w:b/>
          <w:bCs/>
          <w:szCs w:val="18"/>
          <w:lang w:val="cs-CZ"/>
        </w:rPr>
        <w:t>RRP a nad rámec klim</w:t>
      </w:r>
      <w:r w:rsidRPr="00ED3950">
        <w:rPr>
          <w:rStyle w:val="normaltextrun"/>
          <w:rFonts w:cs="Segoe UI"/>
          <w:b/>
          <w:bCs/>
          <w:szCs w:val="18"/>
          <w:lang w:val="cs-CZ"/>
        </w:rPr>
        <w:t xml:space="preserve">atu </w:t>
      </w:r>
      <w:r w:rsidR="00471BDE" w:rsidRPr="00ED3950">
        <w:rPr>
          <w:rStyle w:val="normaltextrun"/>
          <w:rFonts w:cs="Segoe UI"/>
          <w:szCs w:val="18"/>
          <w:lang w:val="cs-CZ"/>
        </w:rPr>
        <w:t xml:space="preserve">(nemělo by docházet k </w:t>
      </w:r>
      <w:r w:rsidRPr="00ED3950">
        <w:rPr>
          <w:rStyle w:val="normaltextrun"/>
          <w:rFonts w:cs="Segoe UI"/>
          <w:szCs w:val="18"/>
          <w:lang w:val="cs-CZ"/>
        </w:rPr>
        <w:t xml:space="preserve">výběru </w:t>
      </w:r>
      <w:r w:rsidR="00471BDE" w:rsidRPr="00ED3950">
        <w:rPr>
          <w:rStyle w:val="normaltextrun"/>
          <w:rFonts w:cs="Segoe UI"/>
          <w:szCs w:val="18"/>
          <w:lang w:val="cs-CZ"/>
        </w:rPr>
        <w:t xml:space="preserve">mezi </w:t>
      </w:r>
      <w:r w:rsidR="00471BDE" w:rsidRPr="00ED3950">
        <w:rPr>
          <w:rStyle w:val="normaltextrun"/>
          <w:rFonts w:cs="Segoe UI"/>
          <w:szCs w:val="18"/>
          <w:lang w:val="cs-CZ"/>
        </w:rPr>
        <w:lastRenderedPageBreak/>
        <w:t>environmentálními cíli</w:t>
      </w:r>
      <w:r w:rsidRPr="00ED3950">
        <w:rPr>
          <w:rStyle w:val="normaltextrun"/>
          <w:rFonts w:cs="Segoe UI"/>
          <w:szCs w:val="18"/>
          <w:lang w:val="cs-CZ"/>
        </w:rPr>
        <w:t xml:space="preserve">) </w:t>
      </w:r>
      <w:r w:rsidR="006156EF" w:rsidRPr="00ED3950">
        <w:rPr>
          <w:rStyle w:val="normaltextrun"/>
          <w:rFonts w:cs="Segoe UI"/>
          <w:szCs w:val="18"/>
          <w:lang w:val="cs-CZ"/>
        </w:rPr>
        <w:t>a (</w:t>
      </w:r>
      <w:proofErr w:type="spellStart"/>
      <w:r w:rsidR="006156EF" w:rsidRPr="00ED3950">
        <w:rPr>
          <w:rStyle w:val="normaltextrun"/>
          <w:rFonts w:cs="Segoe UI"/>
          <w:szCs w:val="18"/>
          <w:lang w:val="cs-CZ"/>
        </w:rPr>
        <w:t>iii</w:t>
      </w:r>
      <w:proofErr w:type="spellEnd"/>
      <w:r w:rsidR="006156EF" w:rsidRPr="00ED3950">
        <w:rPr>
          <w:rStyle w:val="normaltextrun"/>
          <w:rFonts w:cs="Segoe UI"/>
          <w:szCs w:val="18"/>
          <w:lang w:val="cs-CZ"/>
        </w:rPr>
        <w:t xml:space="preserve">) </w:t>
      </w:r>
      <w:r w:rsidR="006156EF" w:rsidRPr="00ED3950">
        <w:rPr>
          <w:rStyle w:val="normaltextrun"/>
          <w:rFonts w:cs="Segoe UI"/>
          <w:b/>
          <w:bCs/>
          <w:szCs w:val="18"/>
          <w:lang w:val="cs-CZ"/>
        </w:rPr>
        <w:t xml:space="preserve">v celém aplikačním řetězci DNSH </w:t>
      </w:r>
      <w:r w:rsidR="006156EF" w:rsidRPr="00ED3950">
        <w:rPr>
          <w:rStyle w:val="normaltextrun"/>
          <w:rFonts w:cs="Segoe UI"/>
          <w:szCs w:val="18"/>
          <w:lang w:val="cs-CZ"/>
        </w:rPr>
        <w:t>(</w:t>
      </w:r>
      <w:r w:rsidRPr="00ED3950">
        <w:rPr>
          <w:rStyle w:val="normaltextrun"/>
          <w:rFonts w:cs="Segoe UI"/>
          <w:szCs w:val="18"/>
          <w:lang w:val="cs-CZ"/>
        </w:rPr>
        <w:t xml:space="preserve">školit kontrolní týmy </w:t>
      </w:r>
      <w:r w:rsidRPr="00ED3950">
        <w:rPr>
          <w:rStyle w:val="normaltextrun"/>
          <w:rFonts w:cs="Segoe UI"/>
          <w:szCs w:val="18"/>
          <w:lang w:val="cs-CZ"/>
        </w:rPr>
        <w:t>RRP a finanční inspektory</w:t>
      </w:r>
      <w:r w:rsidR="003D580F" w:rsidRPr="00ED3950">
        <w:rPr>
          <w:rStyle w:val="normaltextrun"/>
          <w:rFonts w:cs="Segoe UI"/>
          <w:szCs w:val="18"/>
          <w:lang w:val="cs-CZ"/>
        </w:rPr>
        <w:t xml:space="preserve">, </w:t>
      </w:r>
      <w:r w:rsidR="00471BDE" w:rsidRPr="00ED3950">
        <w:rPr>
          <w:rStyle w:val="normaltextrun"/>
          <w:rFonts w:cs="Segoe UI"/>
          <w:szCs w:val="18"/>
          <w:lang w:val="cs-CZ"/>
        </w:rPr>
        <w:t xml:space="preserve">školit </w:t>
      </w:r>
      <w:r w:rsidR="003D580F" w:rsidRPr="00ED3950">
        <w:rPr>
          <w:rStyle w:val="normaltextrun"/>
          <w:rFonts w:cs="Segoe UI"/>
          <w:szCs w:val="18"/>
          <w:lang w:val="cs-CZ"/>
        </w:rPr>
        <w:t xml:space="preserve">týmy zapojené do </w:t>
      </w:r>
      <w:r w:rsidR="00471BDE" w:rsidRPr="00ED3950">
        <w:rPr>
          <w:rStyle w:val="normaltextrun"/>
          <w:rFonts w:cs="Segoe UI"/>
          <w:szCs w:val="18"/>
          <w:lang w:val="cs-CZ"/>
        </w:rPr>
        <w:t xml:space="preserve">vývoje </w:t>
      </w:r>
      <w:r w:rsidR="003D580F" w:rsidRPr="00ED3950">
        <w:rPr>
          <w:rStyle w:val="normaltextrun"/>
          <w:rFonts w:cs="Segoe UI"/>
          <w:szCs w:val="18"/>
          <w:lang w:val="cs-CZ"/>
        </w:rPr>
        <w:t>ESG</w:t>
      </w:r>
      <w:r w:rsidR="006156EF" w:rsidRPr="00ED3950">
        <w:rPr>
          <w:rStyle w:val="normaltextrun"/>
          <w:rFonts w:cs="Segoe UI"/>
          <w:szCs w:val="18"/>
          <w:lang w:val="cs-CZ"/>
        </w:rPr>
        <w:t>)</w:t>
      </w:r>
      <w:r w:rsidRPr="00ED3950">
        <w:rPr>
          <w:rStyle w:val="normaltextrun"/>
          <w:rFonts w:cs="Segoe UI"/>
          <w:szCs w:val="18"/>
          <w:lang w:val="cs-CZ"/>
        </w:rPr>
        <w:t>;</w:t>
      </w:r>
    </w:p>
    <w:p w:rsidR="005840C5" w:rsidRPr="00ED3950" w:rsidRDefault="00ED3950">
      <w:pPr>
        <w:pStyle w:val="Odstavecseseznamem"/>
        <w:ind w:left="851" w:hanging="284"/>
        <w:rPr>
          <w:rFonts w:cs="Segoe UI"/>
          <w:szCs w:val="18"/>
          <w:lang w:val="cs-CZ"/>
        </w:rPr>
      </w:pPr>
      <w:r w:rsidRPr="00ED3950">
        <w:rPr>
          <w:rStyle w:val="normaltextrun"/>
          <w:rFonts w:cs="Segoe UI"/>
          <w:b/>
          <w:bCs/>
          <w:szCs w:val="18"/>
          <w:lang w:val="cs-CZ"/>
        </w:rPr>
        <w:t xml:space="preserve">Zajistit, aby </w:t>
      </w:r>
      <w:r w:rsidR="00C62982" w:rsidRPr="00ED3950">
        <w:rPr>
          <w:rStyle w:val="normaltextrun"/>
          <w:rFonts w:cs="Segoe UI"/>
          <w:b/>
          <w:bCs/>
          <w:szCs w:val="18"/>
          <w:lang w:val="cs-CZ"/>
        </w:rPr>
        <w:t xml:space="preserve">existovaly </w:t>
      </w:r>
      <w:r w:rsidRPr="00ED3950">
        <w:rPr>
          <w:rStyle w:val="normaltextrun"/>
          <w:rFonts w:cs="Segoe UI"/>
          <w:b/>
          <w:bCs/>
          <w:szCs w:val="18"/>
          <w:lang w:val="cs-CZ"/>
        </w:rPr>
        <w:t xml:space="preserve">dostatečné </w:t>
      </w:r>
      <w:r w:rsidR="00C62982" w:rsidRPr="00ED3950">
        <w:rPr>
          <w:rStyle w:val="normaltextrun"/>
          <w:rFonts w:cs="Segoe UI"/>
          <w:b/>
          <w:bCs/>
          <w:szCs w:val="18"/>
          <w:lang w:val="cs-CZ"/>
        </w:rPr>
        <w:t xml:space="preserve">zdroje </w:t>
      </w:r>
      <w:r w:rsidR="00BD1D89" w:rsidRPr="00ED3950">
        <w:rPr>
          <w:rStyle w:val="normaltextrun"/>
          <w:rFonts w:cs="Segoe UI"/>
          <w:b/>
          <w:bCs/>
          <w:szCs w:val="18"/>
          <w:lang w:val="cs-CZ"/>
        </w:rPr>
        <w:t xml:space="preserve">a aby zásada DNSH byla v </w:t>
      </w:r>
      <w:r w:rsidR="000756E0" w:rsidRPr="00ED3950">
        <w:rPr>
          <w:rStyle w:val="normaltextrun"/>
          <w:rFonts w:cs="Segoe UI"/>
          <w:b/>
          <w:bCs/>
          <w:szCs w:val="18"/>
          <w:lang w:val="cs-CZ"/>
        </w:rPr>
        <w:t xml:space="preserve">hledáčku </w:t>
      </w:r>
      <w:r w:rsidR="00BD1D89" w:rsidRPr="00ED3950">
        <w:rPr>
          <w:rStyle w:val="normaltextrun"/>
          <w:rFonts w:cs="Segoe UI"/>
          <w:b/>
          <w:bCs/>
          <w:szCs w:val="18"/>
          <w:lang w:val="cs-CZ"/>
        </w:rPr>
        <w:t xml:space="preserve">všech příslušných ministerstev a </w:t>
      </w:r>
      <w:r w:rsidR="000756E0" w:rsidRPr="00ED3950">
        <w:rPr>
          <w:rStyle w:val="normaltextrun"/>
          <w:rFonts w:cs="Segoe UI"/>
          <w:b/>
          <w:bCs/>
          <w:szCs w:val="18"/>
          <w:lang w:val="cs-CZ"/>
        </w:rPr>
        <w:t xml:space="preserve">institucí, </w:t>
      </w:r>
      <w:r w:rsidR="000756E0" w:rsidRPr="00ED3950">
        <w:rPr>
          <w:rStyle w:val="normaltextrun"/>
          <w:rFonts w:cs="Segoe UI"/>
          <w:szCs w:val="18"/>
          <w:lang w:val="cs-CZ"/>
        </w:rPr>
        <w:t xml:space="preserve">například tím, že se budou spoléhat na </w:t>
      </w:r>
      <w:r w:rsidR="00C62982" w:rsidRPr="00ED3950">
        <w:rPr>
          <w:rStyle w:val="normaltextrun"/>
          <w:rFonts w:cs="Segoe UI"/>
          <w:szCs w:val="18"/>
          <w:lang w:val="cs-CZ"/>
        </w:rPr>
        <w:t>národní tajemníky a vládu</w:t>
      </w:r>
      <w:r w:rsidR="00BD1D89" w:rsidRPr="00ED3950">
        <w:rPr>
          <w:rStyle w:val="normaltextrun"/>
          <w:rFonts w:cs="Segoe UI"/>
          <w:szCs w:val="18"/>
          <w:lang w:val="cs-CZ"/>
        </w:rPr>
        <w:t>.</w:t>
      </w:r>
    </w:p>
    <w:p w:rsidR="00B746DE" w:rsidRPr="00ED3950" w:rsidRDefault="00B746DE" w:rsidP="006415AD">
      <w:pPr>
        <w:rPr>
          <w:lang w:val="cs-CZ"/>
        </w:rPr>
      </w:pPr>
    </w:p>
    <w:p w:rsidR="005840C5" w:rsidRPr="00ED3950" w:rsidRDefault="00ED3950">
      <w:pPr>
        <w:pStyle w:val="Nadpis2"/>
        <w:rPr>
          <w:lang w:val="cs-CZ"/>
        </w:rPr>
      </w:pPr>
      <w:bookmarkStart w:id="46" w:name="_Toc131775848"/>
      <w:proofErr w:type="spellStart"/>
      <w:r w:rsidRPr="00ED3950">
        <w:rPr>
          <w:lang w:val="cs-CZ"/>
        </w:rPr>
        <w:t>Webinář</w:t>
      </w:r>
      <w:proofErr w:type="spellEnd"/>
      <w:r w:rsidRPr="00ED3950">
        <w:rPr>
          <w:lang w:val="cs-CZ"/>
        </w:rPr>
        <w:t xml:space="preserve"> 2: </w:t>
      </w:r>
      <w:r w:rsidR="004C1904" w:rsidRPr="00ED3950">
        <w:rPr>
          <w:lang w:val="cs-CZ"/>
        </w:rPr>
        <w:t>Provádění zjednodušeného a podrobného hodnocení DNSH</w:t>
      </w:r>
      <w:bookmarkEnd w:id="46"/>
    </w:p>
    <w:p w:rsidR="005840C5" w:rsidRPr="00ED3950" w:rsidRDefault="00ED3950">
      <w:pPr>
        <w:pStyle w:val="Nadpis3"/>
        <w:tabs>
          <w:tab w:val="clear" w:pos="851"/>
          <w:tab w:val="left" w:pos="567"/>
        </w:tabs>
        <w:ind w:left="567" w:hanging="567"/>
        <w:rPr>
          <w:lang w:val="cs-CZ"/>
        </w:rPr>
      </w:pPr>
      <w:bookmarkStart w:id="47" w:name="_Toc131775849"/>
      <w:r w:rsidRPr="00ED3950">
        <w:rPr>
          <w:lang w:val="cs-CZ"/>
        </w:rPr>
        <w:t xml:space="preserve">Hlavní body diskuse a </w:t>
      </w:r>
      <w:r w:rsidR="00940E5E" w:rsidRPr="00ED3950">
        <w:rPr>
          <w:lang w:val="cs-CZ"/>
        </w:rPr>
        <w:t xml:space="preserve">poznatky z </w:t>
      </w:r>
      <w:proofErr w:type="spellStart"/>
      <w:r w:rsidR="00940E5E" w:rsidRPr="00ED3950">
        <w:rPr>
          <w:lang w:val="cs-CZ"/>
        </w:rPr>
        <w:t>webináře</w:t>
      </w:r>
      <w:bookmarkEnd w:id="47"/>
      <w:proofErr w:type="spellEnd"/>
    </w:p>
    <w:p w:rsidR="005840C5" w:rsidRPr="00ED3950" w:rsidRDefault="00ED3950">
      <w:pPr>
        <w:rPr>
          <w:lang w:val="cs-CZ"/>
        </w:rPr>
      </w:pPr>
      <w:r w:rsidRPr="00ED3950">
        <w:rPr>
          <w:lang w:val="cs-CZ"/>
        </w:rPr>
        <w:t>Podob</w:t>
      </w:r>
      <w:r w:rsidRPr="00ED3950">
        <w:rPr>
          <w:lang w:val="cs-CZ"/>
        </w:rPr>
        <w:t xml:space="preserve">ně jako v případě hlavních </w:t>
      </w:r>
      <w:r w:rsidR="00AE0C53" w:rsidRPr="00ED3950">
        <w:rPr>
          <w:lang w:val="cs-CZ"/>
        </w:rPr>
        <w:t xml:space="preserve">závěrů </w:t>
      </w:r>
      <w:r w:rsidR="007E02D9" w:rsidRPr="00ED3950">
        <w:rPr>
          <w:lang w:val="cs-CZ"/>
        </w:rPr>
        <w:t xml:space="preserve">a bodů </w:t>
      </w:r>
      <w:r w:rsidRPr="00ED3950">
        <w:rPr>
          <w:lang w:val="cs-CZ"/>
        </w:rPr>
        <w:t xml:space="preserve">diskutovaných během </w:t>
      </w:r>
      <w:proofErr w:type="spellStart"/>
      <w:r w:rsidRPr="00ED3950">
        <w:rPr>
          <w:lang w:val="cs-CZ"/>
        </w:rPr>
        <w:t>webináře</w:t>
      </w:r>
      <w:proofErr w:type="spellEnd"/>
      <w:r w:rsidRPr="00ED3950">
        <w:rPr>
          <w:lang w:val="cs-CZ"/>
        </w:rPr>
        <w:t xml:space="preserve"> 1 účastníci vznesli připomínky</w:t>
      </w:r>
      <w:r w:rsidR="00945D30" w:rsidRPr="00ED3950">
        <w:rPr>
          <w:lang w:val="cs-CZ"/>
        </w:rPr>
        <w:t xml:space="preserve">, které se týkají zejména </w:t>
      </w:r>
      <w:r w:rsidR="0096662F" w:rsidRPr="00ED3950">
        <w:rPr>
          <w:lang w:val="cs-CZ"/>
        </w:rPr>
        <w:t xml:space="preserve">procesu učení </w:t>
      </w:r>
      <w:r w:rsidR="00D63EE9" w:rsidRPr="00ED3950">
        <w:rPr>
          <w:lang w:val="cs-CZ"/>
        </w:rPr>
        <w:t xml:space="preserve">v rámci orgánů veřejné správy v </w:t>
      </w:r>
      <w:r w:rsidR="0096662F" w:rsidRPr="00ED3950">
        <w:rPr>
          <w:lang w:val="cs-CZ"/>
        </w:rPr>
        <w:t xml:space="preserve">souvislosti s uplatňováním </w:t>
      </w:r>
      <w:r w:rsidR="00945D30" w:rsidRPr="00ED3950">
        <w:rPr>
          <w:lang w:val="cs-CZ"/>
        </w:rPr>
        <w:t xml:space="preserve">zásady DNSH. Zdůrazňují </w:t>
      </w:r>
      <w:proofErr w:type="gramStart"/>
      <w:r w:rsidR="005E781A" w:rsidRPr="00ED3950">
        <w:rPr>
          <w:lang w:val="cs-CZ"/>
        </w:rPr>
        <w:t xml:space="preserve">výzvy </w:t>
      </w:r>
      <w:r w:rsidR="00945D30" w:rsidRPr="00ED3950">
        <w:rPr>
          <w:lang w:val="cs-CZ"/>
        </w:rPr>
        <w:t>a které</w:t>
      </w:r>
      <w:proofErr w:type="gramEnd"/>
      <w:r w:rsidR="00945D30" w:rsidRPr="00ED3950">
        <w:rPr>
          <w:lang w:val="cs-CZ"/>
        </w:rPr>
        <w:t xml:space="preserve"> odrážejí </w:t>
      </w:r>
      <w:r w:rsidR="00635EB4" w:rsidRPr="00ED3950">
        <w:rPr>
          <w:lang w:val="cs-CZ"/>
        </w:rPr>
        <w:t xml:space="preserve">konkrétní obtíže při zavádění nedávno zavedeného konceptu a </w:t>
      </w:r>
      <w:r w:rsidR="00705438" w:rsidRPr="00ED3950">
        <w:rPr>
          <w:lang w:val="cs-CZ"/>
        </w:rPr>
        <w:t xml:space="preserve">popisují </w:t>
      </w:r>
      <w:r w:rsidR="005E781A" w:rsidRPr="00ED3950">
        <w:rPr>
          <w:lang w:val="cs-CZ"/>
        </w:rPr>
        <w:t xml:space="preserve">ambici </w:t>
      </w:r>
      <w:r w:rsidR="00635EB4" w:rsidRPr="00ED3950">
        <w:rPr>
          <w:lang w:val="cs-CZ"/>
        </w:rPr>
        <w:t xml:space="preserve">postupně začlenit </w:t>
      </w:r>
      <w:r w:rsidR="005E781A" w:rsidRPr="00ED3950">
        <w:rPr>
          <w:lang w:val="cs-CZ"/>
        </w:rPr>
        <w:t xml:space="preserve">zásadu DNSH </w:t>
      </w:r>
      <w:r w:rsidR="00635EB4" w:rsidRPr="00ED3950">
        <w:rPr>
          <w:lang w:val="cs-CZ"/>
        </w:rPr>
        <w:t>do metodik v oblasti životního prostředí</w:t>
      </w:r>
      <w:r w:rsidR="005E781A" w:rsidRPr="00ED3950">
        <w:rPr>
          <w:lang w:val="cs-CZ"/>
        </w:rPr>
        <w:t>:</w:t>
      </w:r>
    </w:p>
    <w:p w:rsidR="005840C5" w:rsidRPr="00ED3950" w:rsidRDefault="00ED3950">
      <w:pPr>
        <w:pStyle w:val="Bulletpoint"/>
        <w:ind w:left="851" w:hanging="284"/>
        <w:rPr>
          <w:lang w:val="cs-CZ"/>
        </w:rPr>
      </w:pPr>
      <w:r w:rsidRPr="00ED3950">
        <w:rPr>
          <w:b/>
          <w:bCs/>
          <w:lang w:val="cs-CZ"/>
        </w:rPr>
        <w:t xml:space="preserve">Je třeba </w:t>
      </w:r>
      <w:r w:rsidR="00601396" w:rsidRPr="00ED3950">
        <w:rPr>
          <w:b/>
          <w:bCs/>
          <w:lang w:val="cs-CZ"/>
        </w:rPr>
        <w:t xml:space="preserve">nalézt </w:t>
      </w:r>
      <w:r w:rsidRPr="00ED3950">
        <w:rPr>
          <w:b/>
          <w:bCs/>
          <w:lang w:val="cs-CZ"/>
        </w:rPr>
        <w:t xml:space="preserve">rovnováhu mezi </w:t>
      </w:r>
      <w:r w:rsidR="00881F73" w:rsidRPr="00ED3950">
        <w:rPr>
          <w:b/>
          <w:bCs/>
          <w:lang w:val="cs-CZ"/>
        </w:rPr>
        <w:t xml:space="preserve">omezenou </w:t>
      </w:r>
      <w:r w:rsidR="00940B56" w:rsidRPr="00ED3950">
        <w:rPr>
          <w:b/>
          <w:bCs/>
          <w:lang w:val="cs-CZ"/>
        </w:rPr>
        <w:t xml:space="preserve">administrativní zátěží </w:t>
      </w:r>
      <w:r w:rsidR="00881F73" w:rsidRPr="00ED3950">
        <w:rPr>
          <w:lang w:val="cs-CZ"/>
        </w:rPr>
        <w:t xml:space="preserve">(pro </w:t>
      </w:r>
      <w:r w:rsidR="00940B56" w:rsidRPr="00ED3950">
        <w:rPr>
          <w:lang w:val="cs-CZ"/>
        </w:rPr>
        <w:t xml:space="preserve">řídicí orgány i předkladatele </w:t>
      </w:r>
      <w:r w:rsidR="00881F73" w:rsidRPr="00ED3950">
        <w:rPr>
          <w:lang w:val="cs-CZ"/>
        </w:rPr>
        <w:t xml:space="preserve">projektů) </w:t>
      </w:r>
      <w:r w:rsidR="00881F73" w:rsidRPr="00ED3950">
        <w:rPr>
          <w:b/>
          <w:bCs/>
          <w:lang w:val="cs-CZ"/>
        </w:rPr>
        <w:t xml:space="preserve">a </w:t>
      </w:r>
      <w:r w:rsidR="009C01D3" w:rsidRPr="00ED3950">
        <w:rPr>
          <w:b/>
          <w:bCs/>
          <w:lang w:val="cs-CZ"/>
        </w:rPr>
        <w:t xml:space="preserve">příliš </w:t>
      </w:r>
      <w:r w:rsidR="00601396" w:rsidRPr="00ED3950">
        <w:rPr>
          <w:b/>
          <w:bCs/>
          <w:lang w:val="cs-CZ"/>
        </w:rPr>
        <w:t xml:space="preserve">zjednodušeným </w:t>
      </w:r>
      <w:r w:rsidR="00881F73" w:rsidRPr="00ED3950">
        <w:rPr>
          <w:b/>
          <w:bCs/>
          <w:lang w:val="cs-CZ"/>
        </w:rPr>
        <w:t>hodnocením DNSH</w:t>
      </w:r>
      <w:r w:rsidR="00881F73" w:rsidRPr="00ED3950">
        <w:rPr>
          <w:lang w:val="cs-CZ"/>
        </w:rPr>
        <w:t xml:space="preserve">. Zejména </w:t>
      </w:r>
      <w:r w:rsidR="00470701" w:rsidRPr="00ED3950">
        <w:rPr>
          <w:lang w:val="cs-CZ"/>
        </w:rPr>
        <w:t xml:space="preserve">zjednodušená posouzení a </w:t>
      </w:r>
      <w:r w:rsidR="00601396" w:rsidRPr="00ED3950">
        <w:rPr>
          <w:lang w:val="cs-CZ"/>
        </w:rPr>
        <w:t xml:space="preserve">posouzení </w:t>
      </w:r>
      <w:r w:rsidR="00470701" w:rsidRPr="00ED3950">
        <w:rPr>
          <w:lang w:val="cs-CZ"/>
        </w:rPr>
        <w:t xml:space="preserve">prováděná malými předkladateli </w:t>
      </w:r>
      <w:r w:rsidR="003A536B" w:rsidRPr="00ED3950">
        <w:rPr>
          <w:lang w:val="cs-CZ"/>
        </w:rPr>
        <w:t xml:space="preserve">by měla </w:t>
      </w:r>
      <w:r w:rsidR="00470701" w:rsidRPr="00ED3950">
        <w:rPr>
          <w:lang w:val="cs-CZ"/>
        </w:rPr>
        <w:t xml:space="preserve">zajistit integritu životního prostředí </w:t>
      </w:r>
      <w:r w:rsidR="003A536B" w:rsidRPr="00ED3950">
        <w:rPr>
          <w:lang w:val="cs-CZ"/>
        </w:rPr>
        <w:t>navzdory nižší úrovni podrobnosti;</w:t>
      </w:r>
    </w:p>
    <w:p w:rsidR="005840C5" w:rsidRPr="00ED3950" w:rsidRDefault="00ED3950">
      <w:pPr>
        <w:pStyle w:val="Odstavecseseznamem"/>
        <w:ind w:left="851" w:hanging="284"/>
        <w:rPr>
          <w:lang w:val="cs-CZ"/>
        </w:rPr>
      </w:pPr>
      <w:r w:rsidRPr="00ED3950">
        <w:rPr>
          <w:b/>
          <w:bCs/>
          <w:lang w:val="cs-CZ"/>
        </w:rPr>
        <w:t xml:space="preserve">Obsah a proces hodnocení </w:t>
      </w:r>
      <w:r w:rsidR="00C25987" w:rsidRPr="00ED3950">
        <w:rPr>
          <w:b/>
          <w:bCs/>
          <w:lang w:val="cs-CZ"/>
        </w:rPr>
        <w:t xml:space="preserve">DNSH </w:t>
      </w:r>
      <w:r w:rsidRPr="00ED3950">
        <w:rPr>
          <w:b/>
          <w:bCs/>
          <w:lang w:val="cs-CZ"/>
        </w:rPr>
        <w:t>by měl být v průběhu času flexibilní, a</w:t>
      </w:r>
      <w:r w:rsidRPr="00ED3950">
        <w:rPr>
          <w:b/>
          <w:bCs/>
          <w:lang w:val="cs-CZ"/>
        </w:rPr>
        <w:t xml:space="preserve">by </w:t>
      </w:r>
      <w:r w:rsidRPr="00ED3950">
        <w:rPr>
          <w:lang w:val="cs-CZ"/>
        </w:rPr>
        <w:t xml:space="preserve">odrážel zkušenosti získané v </w:t>
      </w:r>
      <w:r w:rsidR="003703FB" w:rsidRPr="00ED3950">
        <w:rPr>
          <w:lang w:val="cs-CZ"/>
        </w:rPr>
        <w:t xml:space="preserve">průběhu let. Stejně tak by měly umožňovat určitý prostor pro výklad (např. uznat, že alternativní projekty se mohou </w:t>
      </w:r>
      <w:r w:rsidR="007F7A1B" w:rsidRPr="00ED3950">
        <w:rPr>
          <w:lang w:val="cs-CZ"/>
        </w:rPr>
        <w:t xml:space="preserve">uskutečnit </w:t>
      </w:r>
      <w:r w:rsidR="003703FB" w:rsidRPr="00ED3950">
        <w:rPr>
          <w:lang w:val="cs-CZ"/>
        </w:rPr>
        <w:t xml:space="preserve">mimo EU </w:t>
      </w:r>
      <w:r w:rsidR="002255C2" w:rsidRPr="00ED3950">
        <w:rPr>
          <w:lang w:val="cs-CZ"/>
        </w:rPr>
        <w:t>bez environmentálních záruk);</w:t>
      </w:r>
    </w:p>
    <w:p w:rsidR="005840C5" w:rsidRPr="00ED3950" w:rsidRDefault="00ED3950">
      <w:pPr>
        <w:pStyle w:val="Odstavecseseznamem"/>
        <w:ind w:left="851" w:hanging="284"/>
        <w:rPr>
          <w:lang w:val="cs-CZ"/>
        </w:rPr>
      </w:pPr>
      <w:r w:rsidRPr="00ED3950">
        <w:rPr>
          <w:lang w:val="cs-CZ"/>
        </w:rPr>
        <w:t xml:space="preserve">Některé členské státy zvažují </w:t>
      </w:r>
      <w:r w:rsidR="003A7DD0" w:rsidRPr="00ED3950">
        <w:rPr>
          <w:b/>
          <w:bCs/>
          <w:lang w:val="cs-CZ"/>
        </w:rPr>
        <w:t xml:space="preserve">význam a proveditelnost dalších kritérií, </w:t>
      </w:r>
      <w:r w:rsidRPr="00ED3950">
        <w:rPr>
          <w:lang w:val="cs-CZ"/>
        </w:rPr>
        <w:t xml:space="preserve">aby </w:t>
      </w:r>
      <w:r w:rsidRPr="00ED3950">
        <w:rPr>
          <w:b/>
          <w:bCs/>
          <w:lang w:val="cs-CZ"/>
        </w:rPr>
        <w:t xml:space="preserve">vyvážily absenci specifických kritérií DNSH a zohlednily místní specifika </w:t>
      </w:r>
      <w:r w:rsidR="003856BB" w:rsidRPr="00ED3950">
        <w:rPr>
          <w:lang w:val="cs-CZ"/>
        </w:rPr>
        <w:t xml:space="preserve">(např. </w:t>
      </w:r>
      <w:r w:rsidRPr="00ED3950">
        <w:rPr>
          <w:lang w:val="cs-CZ"/>
        </w:rPr>
        <w:t xml:space="preserve">kritéria </w:t>
      </w:r>
      <w:r w:rsidR="003856BB" w:rsidRPr="00ED3950">
        <w:rPr>
          <w:lang w:val="cs-CZ"/>
        </w:rPr>
        <w:t>související s BAT</w:t>
      </w:r>
      <w:r w:rsidRPr="00ED3950">
        <w:rPr>
          <w:lang w:val="cs-CZ"/>
        </w:rPr>
        <w:t>, sladění s národními strategickými dokumenty);</w:t>
      </w:r>
    </w:p>
    <w:p w:rsidR="005840C5" w:rsidRPr="00ED3950" w:rsidRDefault="00ED3950">
      <w:pPr>
        <w:pStyle w:val="Odstavecseseznamem"/>
        <w:ind w:left="851" w:hanging="284"/>
        <w:rPr>
          <w:lang w:val="cs-CZ"/>
        </w:rPr>
      </w:pPr>
      <w:r w:rsidRPr="00ED3950">
        <w:rPr>
          <w:lang w:val="cs-CZ"/>
        </w:rPr>
        <w:t xml:space="preserve">Některé </w:t>
      </w:r>
      <w:r w:rsidR="00C25987" w:rsidRPr="00ED3950">
        <w:rPr>
          <w:lang w:val="cs-CZ"/>
        </w:rPr>
        <w:t xml:space="preserve">srovnatelné </w:t>
      </w:r>
      <w:r w:rsidR="00E829BA" w:rsidRPr="00ED3950">
        <w:rPr>
          <w:lang w:val="cs-CZ"/>
        </w:rPr>
        <w:t xml:space="preserve">členské </w:t>
      </w:r>
      <w:r w:rsidRPr="00ED3950">
        <w:rPr>
          <w:lang w:val="cs-CZ"/>
        </w:rPr>
        <w:t xml:space="preserve">státy </w:t>
      </w:r>
      <w:r w:rsidR="00EA59D5" w:rsidRPr="00ED3950">
        <w:rPr>
          <w:lang w:val="cs-CZ"/>
        </w:rPr>
        <w:t xml:space="preserve">zvažují </w:t>
      </w:r>
      <w:r w:rsidR="00EC79A3" w:rsidRPr="00ED3950">
        <w:rPr>
          <w:b/>
          <w:bCs/>
          <w:lang w:val="cs-CZ"/>
        </w:rPr>
        <w:t xml:space="preserve">postupné začlenění </w:t>
      </w:r>
      <w:r w:rsidRPr="00ED3950">
        <w:rPr>
          <w:b/>
          <w:bCs/>
          <w:lang w:val="cs-CZ"/>
        </w:rPr>
        <w:t xml:space="preserve">zásady DNSH do </w:t>
      </w:r>
      <w:r w:rsidR="00EC79A3" w:rsidRPr="00ED3950">
        <w:rPr>
          <w:b/>
          <w:bCs/>
          <w:lang w:val="cs-CZ"/>
        </w:rPr>
        <w:t xml:space="preserve">vnitrostátních </w:t>
      </w:r>
      <w:r w:rsidRPr="00ED3950">
        <w:rPr>
          <w:b/>
          <w:bCs/>
          <w:lang w:val="cs-CZ"/>
        </w:rPr>
        <w:t xml:space="preserve">právních předpisů a </w:t>
      </w:r>
      <w:r w:rsidR="009A11A7" w:rsidRPr="00ED3950">
        <w:rPr>
          <w:b/>
          <w:bCs/>
          <w:lang w:val="cs-CZ"/>
        </w:rPr>
        <w:t>environmentálních metodik</w:t>
      </w:r>
      <w:r w:rsidR="00C44CA7" w:rsidRPr="00ED3950">
        <w:rPr>
          <w:lang w:val="cs-CZ"/>
        </w:rPr>
        <w:t xml:space="preserve">. Legislativní změny nad rámec </w:t>
      </w:r>
      <w:r w:rsidR="00C76C16" w:rsidRPr="00ED3950">
        <w:rPr>
          <w:lang w:val="cs-CZ"/>
        </w:rPr>
        <w:t xml:space="preserve">pouhého </w:t>
      </w:r>
      <w:r w:rsidR="00C44CA7" w:rsidRPr="00ED3950">
        <w:rPr>
          <w:lang w:val="cs-CZ"/>
        </w:rPr>
        <w:t xml:space="preserve">překladu </w:t>
      </w:r>
      <w:r w:rsidR="00C76C16" w:rsidRPr="00ED3950">
        <w:rPr>
          <w:lang w:val="cs-CZ"/>
        </w:rPr>
        <w:t xml:space="preserve">evropských požadavků </w:t>
      </w:r>
      <w:r w:rsidR="00C44CA7" w:rsidRPr="00ED3950">
        <w:rPr>
          <w:lang w:val="cs-CZ"/>
        </w:rPr>
        <w:t xml:space="preserve">jsou považovány za možnost </w:t>
      </w:r>
      <w:r w:rsidR="00C76C16" w:rsidRPr="00ED3950">
        <w:rPr>
          <w:lang w:val="cs-CZ"/>
        </w:rPr>
        <w:t xml:space="preserve">zakotvení zásady DNSH do </w:t>
      </w:r>
      <w:r w:rsidR="00492D85" w:rsidRPr="00ED3950">
        <w:rPr>
          <w:lang w:val="cs-CZ"/>
        </w:rPr>
        <w:t xml:space="preserve">vnitrostátního veřejného </w:t>
      </w:r>
      <w:r w:rsidR="00D20802" w:rsidRPr="00ED3950">
        <w:rPr>
          <w:lang w:val="cs-CZ"/>
        </w:rPr>
        <w:t xml:space="preserve">financování </w:t>
      </w:r>
      <w:r w:rsidR="00EA59D5" w:rsidRPr="00ED3950">
        <w:rPr>
          <w:lang w:val="cs-CZ"/>
        </w:rPr>
        <w:t xml:space="preserve">(např. prostřednictvím </w:t>
      </w:r>
      <w:r w:rsidR="00D20802" w:rsidRPr="00ED3950">
        <w:rPr>
          <w:lang w:val="cs-CZ"/>
        </w:rPr>
        <w:t xml:space="preserve">povolování </w:t>
      </w:r>
      <w:r w:rsidR="00EA59D5" w:rsidRPr="00ED3950">
        <w:rPr>
          <w:lang w:val="cs-CZ"/>
        </w:rPr>
        <w:t>nebo zeleného rozpočtování)</w:t>
      </w:r>
      <w:r w:rsidR="00C44CA7" w:rsidRPr="00ED3950">
        <w:rPr>
          <w:lang w:val="cs-CZ"/>
        </w:rPr>
        <w:t>.</w:t>
      </w:r>
    </w:p>
    <w:p w:rsidR="008F5067" w:rsidRPr="00ED3950" w:rsidRDefault="008F5067" w:rsidP="00940B56">
      <w:pPr>
        <w:rPr>
          <w:lang w:val="cs-CZ"/>
        </w:rPr>
      </w:pPr>
    </w:p>
    <w:p w:rsidR="005840C5" w:rsidRPr="00ED3950" w:rsidRDefault="00ED3950">
      <w:pPr>
        <w:pStyle w:val="Nadpis3"/>
        <w:tabs>
          <w:tab w:val="clear" w:pos="851"/>
          <w:tab w:val="left" w:pos="567"/>
        </w:tabs>
        <w:ind w:left="567" w:hanging="567"/>
        <w:rPr>
          <w:lang w:val="cs-CZ"/>
        </w:rPr>
      </w:pPr>
      <w:bookmarkStart w:id="48" w:name="_Toc131775850"/>
      <w:r w:rsidRPr="00ED3950">
        <w:rPr>
          <w:lang w:val="cs-CZ"/>
        </w:rPr>
        <w:t>Získané zkušenosti</w:t>
      </w:r>
      <w:bookmarkEnd w:id="48"/>
    </w:p>
    <w:p w:rsidR="005840C5" w:rsidRPr="00ED3950" w:rsidRDefault="00ED3950">
      <w:pPr>
        <w:rPr>
          <w:lang w:val="cs-CZ"/>
        </w:rPr>
      </w:pPr>
      <w:r w:rsidRPr="00ED3950">
        <w:rPr>
          <w:lang w:val="cs-CZ"/>
        </w:rPr>
        <w:t xml:space="preserve">Z </w:t>
      </w:r>
      <w:proofErr w:type="spellStart"/>
      <w:r w:rsidRPr="00ED3950">
        <w:rPr>
          <w:lang w:val="cs-CZ"/>
        </w:rPr>
        <w:t>webináře</w:t>
      </w:r>
      <w:proofErr w:type="spellEnd"/>
      <w:r w:rsidRPr="00ED3950">
        <w:rPr>
          <w:lang w:val="cs-CZ"/>
        </w:rPr>
        <w:t xml:space="preserve"> vyplývá </w:t>
      </w:r>
      <w:r w:rsidR="00492D85" w:rsidRPr="00ED3950">
        <w:rPr>
          <w:lang w:val="cs-CZ"/>
        </w:rPr>
        <w:t xml:space="preserve">pět </w:t>
      </w:r>
      <w:r w:rsidRPr="00ED3950">
        <w:rPr>
          <w:lang w:val="cs-CZ"/>
        </w:rPr>
        <w:t>hlavních poznatků. Týkají se:</w:t>
      </w:r>
    </w:p>
    <w:p w:rsidR="005840C5" w:rsidRPr="00ED3950" w:rsidRDefault="00ED3950">
      <w:pPr>
        <w:pStyle w:val="Bulletpoint"/>
        <w:ind w:left="851" w:hanging="284"/>
        <w:rPr>
          <w:lang w:val="cs-CZ"/>
        </w:rPr>
      </w:pPr>
      <w:r w:rsidRPr="00ED3950">
        <w:rPr>
          <w:b/>
          <w:bCs/>
          <w:lang w:val="cs-CZ"/>
        </w:rPr>
        <w:t xml:space="preserve">Potřeba </w:t>
      </w:r>
      <w:r w:rsidR="009C01D3" w:rsidRPr="00ED3950">
        <w:rPr>
          <w:b/>
          <w:bCs/>
          <w:lang w:val="cs-CZ"/>
        </w:rPr>
        <w:t xml:space="preserve">přizpůsobit se odvětvím a velikosti projektů </w:t>
      </w:r>
      <w:r w:rsidRPr="00ED3950">
        <w:rPr>
          <w:b/>
          <w:bCs/>
          <w:lang w:val="cs-CZ"/>
        </w:rPr>
        <w:t xml:space="preserve">nebo </w:t>
      </w:r>
      <w:r w:rsidR="009C01D3" w:rsidRPr="00ED3950">
        <w:rPr>
          <w:b/>
          <w:bCs/>
          <w:lang w:val="cs-CZ"/>
        </w:rPr>
        <w:t>typu předkladatele</w:t>
      </w:r>
      <w:r w:rsidRPr="00ED3950">
        <w:rPr>
          <w:lang w:val="cs-CZ"/>
        </w:rPr>
        <w:t xml:space="preserve">. </w:t>
      </w:r>
      <w:r w:rsidR="00304C51" w:rsidRPr="00ED3950">
        <w:rPr>
          <w:lang w:val="cs-CZ"/>
        </w:rPr>
        <w:t xml:space="preserve">To by mohlo zahrnovat odstranění kritérií, která se zdají být nepřiměřená ve srovnání s rizikem, že </w:t>
      </w:r>
      <w:r w:rsidR="00B37ABD" w:rsidRPr="00ED3950">
        <w:rPr>
          <w:lang w:val="cs-CZ"/>
        </w:rPr>
        <w:t xml:space="preserve">daný </w:t>
      </w:r>
      <w:r w:rsidR="00304C51" w:rsidRPr="00ED3950">
        <w:rPr>
          <w:lang w:val="cs-CZ"/>
        </w:rPr>
        <w:t>projekt ohrožuje zásadu DNSH</w:t>
      </w:r>
      <w:r w:rsidR="00A52BAE" w:rsidRPr="00ED3950">
        <w:rPr>
          <w:lang w:val="cs-CZ"/>
        </w:rPr>
        <w:t>;</w:t>
      </w:r>
    </w:p>
    <w:p w:rsidR="005840C5" w:rsidRPr="00ED3950" w:rsidRDefault="00ED3950">
      <w:pPr>
        <w:pStyle w:val="Bulletpoint"/>
        <w:ind w:left="851" w:hanging="284"/>
        <w:rPr>
          <w:lang w:val="cs-CZ"/>
        </w:rPr>
      </w:pPr>
      <w:r w:rsidRPr="00ED3950">
        <w:rPr>
          <w:b/>
          <w:bCs/>
          <w:lang w:val="cs-CZ"/>
        </w:rPr>
        <w:t xml:space="preserve">Potřeba vyjasnění </w:t>
      </w:r>
      <w:r w:rsidR="00C611D8" w:rsidRPr="00ED3950">
        <w:rPr>
          <w:b/>
          <w:bCs/>
          <w:lang w:val="cs-CZ"/>
        </w:rPr>
        <w:t xml:space="preserve">prahových hodnot DNSH na </w:t>
      </w:r>
      <w:r w:rsidR="00B37ABD" w:rsidRPr="00ED3950">
        <w:rPr>
          <w:b/>
          <w:bCs/>
          <w:lang w:val="cs-CZ"/>
        </w:rPr>
        <w:t>evropské úrovni</w:t>
      </w:r>
      <w:r w:rsidR="00C611D8" w:rsidRPr="00ED3950">
        <w:rPr>
          <w:lang w:val="cs-CZ"/>
        </w:rPr>
        <w:t xml:space="preserve">. I když by to nemělo systematicky vést ke kvantitativním prahům (které odpovídají nerovnoměrné úrovni ambicí v </w:t>
      </w:r>
      <w:r w:rsidR="0075572E" w:rsidRPr="00ED3950">
        <w:rPr>
          <w:lang w:val="cs-CZ"/>
        </w:rPr>
        <w:t xml:space="preserve">jednotlivých </w:t>
      </w:r>
      <w:r w:rsidR="00C611D8" w:rsidRPr="00ED3950">
        <w:rPr>
          <w:lang w:val="cs-CZ"/>
        </w:rPr>
        <w:t xml:space="preserve">členských státech), je </w:t>
      </w:r>
      <w:r w:rsidR="009E64D6" w:rsidRPr="00ED3950">
        <w:rPr>
          <w:lang w:val="cs-CZ"/>
        </w:rPr>
        <w:t xml:space="preserve">to </w:t>
      </w:r>
      <w:r w:rsidR="00C611D8" w:rsidRPr="00ED3950">
        <w:rPr>
          <w:lang w:val="cs-CZ"/>
        </w:rPr>
        <w:t xml:space="preserve">nezbytné pro </w:t>
      </w:r>
      <w:r w:rsidR="009E64D6" w:rsidRPr="00ED3950">
        <w:rPr>
          <w:lang w:val="cs-CZ"/>
        </w:rPr>
        <w:t>zajištění toho, aby byla environmentální integrita respektována rovnocenným způsobem v celé EU;</w:t>
      </w:r>
    </w:p>
    <w:p w:rsidR="005840C5" w:rsidRPr="00ED3950" w:rsidRDefault="00ED3950">
      <w:pPr>
        <w:pStyle w:val="Bulletpoint"/>
        <w:ind w:left="851" w:hanging="284"/>
        <w:rPr>
          <w:lang w:val="cs-CZ"/>
        </w:rPr>
      </w:pPr>
      <w:r w:rsidRPr="00ED3950">
        <w:rPr>
          <w:b/>
          <w:bCs/>
          <w:lang w:val="cs-CZ"/>
        </w:rPr>
        <w:t xml:space="preserve">Potřeba vypracovat jednoduché a pragmatické </w:t>
      </w:r>
      <w:r w:rsidR="00083936" w:rsidRPr="00ED3950">
        <w:rPr>
          <w:b/>
          <w:bCs/>
          <w:lang w:val="cs-CZ"/>
        </w:rPr>
        <w:t>pokyny</w:t>
      </w:r>
      <w:r w:rsidR="007703E1" w:rsidRPr="00ED3950">
        <w:rPr>
          <w:lang w:val="cs-CZ"/>
        </w:rPr>
        <w:t xml:space="preserve">. Pokyny by měly být jasné, syntetické a pragmatické, </w:t>
      </w:r>
      <w:r w:rsidR="002F2636" w:rsidRPr="00ED3950">
        <w:rPr>
          <w:lang w:val="cs-CZ"/>
        </w:rPr>
        <w:t xml:space="preserve">zejména </w:t>
      </w:r>
      <w:r w:rsidR="007703E1" w:rsidRPr="00ED3950">
        <w:rPr>
          <w:lang w:val="cs-CZ"/>
        </w:rPr>
        <w:t xml:space="preserve">pokud jejich publikum tvoří navrhovatelé, např. </w:t>
      </w:r>
      <w:r w:rsidR="003221DE" w:rsidRPr="00ED3950">
        <w:rPr>
          <w:lang w:val="cs-CZ"/>
        </w:rPr>
        <w:t xml:space="preserve">nabídkou kontrolních seznamů a </w:t>
      </w:r>
      <w:r w:rsidR="002F2636" w:rsidRPr="00ED3950">
        <w:rPr>
          <w:lang w:val="cs-CZ"/>
        </w:rPr>
        <w:t xml:space="preserve">stanovením </w:t>
      </w:r>
      <w:r w:rsidR="00A34E18" w:rsidRPr="00ED3950">
        <w:rPr>
          <w:lang w:val="cs-CZ"/>
        </w:rPr>
        <w:t>stejných kritérií pro všechny finanční nástroje</w:t>
      </w:r>
      <w:r w:rsidRPr="00ED3950">
        <w:rPr>
          <w:lang w:val="cs-CZ"/>
        </w:rPr>
        <w:t>;</w:t>
      </w:r>
    </w:p>
    <w:p w:rsidR="005840C5" w:rsidRPr="00ED3950" w:rsidRDefault="00ED3950">
      <w:pPr>
        <w:pStyle w:val="Bulletpoint"/>
        <w:ind w:left="851" w:hanging="284"/>
        <w:rPr>
          <w:lang w:val="cs-CZ"/>
        </w:rPr>
      </w:pPr>
      <w:r w:rsidRPr="00ED3950">
        <w:rPr>
          <w:b/>
          <w:bCs/>
          <w:lang w:val="cs-CZ"/>
        </w:rPr>
        <w:t xml:space="preserve">možnost </w:t>
      </w:r>
      <w:r w:rsidR="00335768" w:rsidRPr="00ED3950">
        <w:rPr>
          <w:b/>
          <w:bCs/>
          <w:lang w:val="cs-CZ"/>
        </w:rPr>
        <w:t xml:space="preserve">využít </w:t>
      </w:r>
      <w:r w:rsidR="000918FC" w:rsidRPr="00ED3950">
        <w:rPr>
          <w:b/>
          <w:bCs/>
          <w:lang w:val="cs-CZ"/>
        </w:rPr>
        <w:t xml:space="preserve">uplatňování </w:t>
      </w:r>
      <w:r w:rsidRPr="00ED3950">
        <w:rPr>
          <w:b/>
          <w:bCs/>
          <w:lang w:val="cs-CZ"/>
        </w:rPr>
        <w:t xml:space="preserve">zásady </w:t>
      </w:r>
      <w:r w:rsidR="00335768" w:rsidRPr="00ED3950">
        <w:rPr>
          <w:b/>
          <w:bCs/>
          <w:lang w:val="cs-CZ"/>
        </w:rPr>
        <w:t xml:space="preserve">DNSH jako </w:t>
      </w:r>
      <w:r w:rsidRPr="00ED3950">
        <w:rPr>
          <w:b/>
          <w:bCs/>
          <w:lang w:val="cs-CZ"/>
        </w:rPr>
        <w:t xml:space="preserve">nástroje k prokázání </w:t>
      </w:r>
      <w:r w:rsidR="00335768" w:rsidRPr="00ED3950">
        <w:rPr>
          <w:b/>
          <w:bCs/>
          <w:lang w:val="cs-CZ"/>
        </w:rPr>
        <w:t xml:space="preserve">progresivního </w:t>
      </w:r>
      <w:r w:rsidRPr="00ED3950">
        <w:rPr>
          <w:b/>
          <w:bCs/>
          <w:lang w:val="cs-CZ"/>
        </w:rPr>
        <w:t xml:space="preserve">přístupu k </w:t>
      </w:r>
      <w:r w:rsidRPr="00ED3950">
        <w:rPr>
          <w:lang w:val="cs-CZ"/>
        </w:rPr>
        <w:t>evropskému financování a/ne</w:t>
      </w:r>
      <w:r w:rsidRPr="00ED3950">
        <w:rPr>
          <w:lang w:val="cs-CZ"/>
        </w:rPr>
        <w:t xml:space="preserve">bo </w:t>
      </w:r>
      <w:r w:rsidR="00EE39D4" w:rsidRPr="00ED3950">
        <w:rPr>
          <w:lang w:val="cs-CZ"/>
        </w:rPr>
        <w:t>rychlého pokroku v provádění vnitrostátních RRP</w:t>
      </w:r>
      <w:r w:rsidR="004B516A" w:rsidRPr="00ED3950">
        <w:rPr>
          <w:lang w:val="cs-CZ"/>
        </w:rPr>
        <w:t xml:space="preserve">. Několik členských </w:t>
      </w:r>
      <w:r w:rsidR="000918FC" w:rsidRPr="00ED3950">
        <w:rPr>
          <w:lang w:val="cs-CZ"/>
        </w:rPr>
        <w:t xml:space="preserve">států </w:t>
      </w:r>
      <w:r w:rsidR="004B516A" w:rsidRPr="00ED3950">
        <w:rPr>
          <w:lang w:val="cs-CZ"/>
        </w:rPr>
        <w:t xml:space="preserve">skutečně prezentuje rychlou realizaci svých národních RRP </w:t>
      </w:r>
      <w:r w:rsidR="00553E6C" w:rsidRPr="00ED3950">
        <w:rPr>
          <w:lang w:val="cs-CZ"/>
        </w:rPr>
        <w:t xml:space="preserve">jako úspěšnou strategickou volbu, což naznačuje, že </w:t>
      </w:r>
      <w:r w:rsidR="002B63AA" w:rsidRPr="00ED3950">
        <w:rPr>
          <w:lang w:val="cs-CZ"/>
        </w:rPr>
        <w:t xml:space="preserve">uplatňování zásady </w:t>
      </w:r>
      <w:r w:rsidR="00553E6C" w:rsidRPr="00ED3950">
        <w:rPr>
          <w:lang w:val="cs-CZ"/>
        </w:rPr>
        <w:t xml:space="preserve">DNSH </w:t>
      </w:r>
      <w:r w:rsidR="00223193" w:rsidRPr="00ED3950">
        <w:rPr>
          <w:lang w:val="cs-CZ"/>
        </w:rPr>
        <w:t>může být symbolem pro inovativní a účinnou ochranu životního prostředí</w:t>
      </w:r>
      <w:r w:rsidR="00EE39D4" w:rsidRPr="00ED3950">
        <w:rPr>
          <w:lang w:val="cs-CZ"/>
        </w:rPr>
        <w:t>;</w:t>
      </w:r>
    </w:p>
    <w:p w:rsidR="005840C5" w:rsidRPr="00ED3950" w:rsidRDefault="00ED3950">
      <w:pPr>
        <w:pStyle w:val="Bulletpoint"/>
        <w:ind w:left="851" w:hanging="284"/>
        <w:rPr>
          <w:lang w:val="cs-CZ"/>
        </w:rPr>
      </w:pPr>
      <w:r w:rsidRPr="00ED3950">
        <w:rPr>
          <w:b/>
          <w:bCs/>
          <w:lang w:val="cs-CZ"/>
        </w:rPr>
        <w:lastRenderedPageBreak/>
        <w:t xml:space="preserve">možnost </w:t>
      </w:r>
      <w:r w:rsidR="00D70FFA" w:rsidRPr="00ED3950">
        <w:rPr>
          <w:b/>
          <w:bCs/>
          <w:lang w:val="cs-CZ"/>
        </w:rPr>
        <w:t xml:space="preserve">vypracovat </w:t>
      </w:r>
      <w:r w:rsidR="00C1099B" w:rsidRPr="00ED3950">
        <w:rPr>
          <w:b/>
          <w:bCs/>
          <w:lang w:val="cs-CZ"/>
        </w:rPr>
        <w:t xml:space="preserve">(další) </w:t>
      </w:r>
      <w:r w:rsidR="00D70FFA" w:rsidRPr="00ED3950">
        <w:rPr>
          <w:b/>
          <w:bCs/>
          <w:lang w:val="cs-CZ"/>
        </w:rPr>
        <w:t xml:space="preserve">kritéria DNSH specifická pro výzvy </w:t>
      </w:r>
      <w:r w:rsidR="00456BFF" w:rsidRPr="00ED3950">
        <w:rPr>
          <w:b/>
          <w:bCs/>
          <w:lang w:val="cs-CZ"/>
        </w:rPr>
        <w:t xml:space="preserve">nebo </w:t>
      </w:r>
      <w:r w:rsidR="00D70FFA" w:rsidRPr="00ED3950">
        <w:rPr>
          <w:b/>
          <w:bCs/>
          <w:lang w:val="cs-CZ"/>
        </w:rPr>
        <w:t xml:space="preserve">projekty, </w:t>
      </w:r>
      <w:r w:rsidR="00D70FFA" w:rsidRPr="00ED3950">
        <w:rPr>
          <w:lang w:val="cs-CZ"/>
        </w:rPr>
        <w:t xml:space="preserve">aby bylo možné přizpůsobit obecná hodnocení DNSH konkrétním podmínkám. </w:t>
      </w:r>
      <w:r w:rsidR="006A13C6" w:rsidRPr="00ED3950">
        <w:rPr>
          <w:lang w:val="cs-CZ"/>
        </w:rPr>
        <w:t xml:space="preserve">Tuto praxi lze rozšířit i nad rámec implementace fondů politiky soudržnosti jako prostředek k </w:t>
      </w:r>
      <w:r w:rsidR="00C1099B" w:rsidRPr="00ED3950">
        <w:rPr>
          <w:lang w:val="cs-CZ"/>
        </w:rPr>
        <w:t>dosažení rovnováhy mezi flexibilitou a standardizací.</w:t>
      </w:r>
    </w:p>
    <w:p w:rsidR="003C69D4" w:rsidRPr="00ED3950" w:rsidRDefault="003C69D4" w:rsidP="003C69D4">
      <w:pPr>
        <w:rPr>
          <w:lang w:val="cs-CZ"/>
        </w:rPr>
      </w:pPr>
    </w:p>
    <w:p w:rsidR="005840C5" w:rsidRPr="00ED3950" w:rsidRDefault="00ED3950">
      <w:pPr>
        <w:pStyle w:val="Nadpis2"/>
        <w:rPr>
          <w:lang w:val="cs-CZ"/>
        </w:rPr>
      </w:pPr>
      <w:bookmarkStart w:id="49" w:name="_Toc131775851"/>
      <w:proofErr w:type="spellStart"/>
      <w:r w:rsidRPr="00ED3950">
        <w:rPr>
          <w:lang w:val="cs-CZ"/>
        </w:rPr>
        <w:t>Webinář</w:t>
      </w:r>
      <w:proofErr w:type="spellEnd"/>
      <w:r w:rsidRPr="00ED3950">
        <w:rPr>
          <w:lang w:val="cs-CZ"/>
        </w:rPr>
        <w:t xml:space="preserve"> 3: </w:t>
      </w:r>
      <w:r w:rsidR="001E46FD" w:rsidRPr="00ED3950">
        <w:rPr>
          <w:lang w:val="cs-CZ"/>
        </w:rPr>
        <w:t>Uplatnění principu DNSH na inovativní zelené technologie</w:t>
      </w:r>
      <w:bookmarkEnd w:id="49"/>
    </w:p>
    <w:p w:rsidR="005840C5" w:rsidRPr="00ED3950" w:rsidRDefault="00ED3950">
      <w:pPr>
        <w:pStyle w:val="Nadpis3"/>
        <w:tabs>
          <w:tab w:val="clear" w:pos="851"/>
          <w:tab w:val="left" w:pos="567"/>
        </w:tabs>
        <w:ind w:left="567" w:hanging="567"/>
        <w:rPr>
          <w:lang w:val="cs-CZ"/>
        </w:rPr>
      </w:pPr>
      <w:bookmarkStart w:id="50" w:name="_Toc131775852"/>
      <w:r w:rsidRPr="00ED3950">
        <w:rPr>
          <w:lang w:val="cs-CZ"/>
        </w:rPr>
        <w:t xml:space="preserve">Hlavní body diskuse a </w:t>
      </w:r>
      <w:r w:rsidR="0051122C" w:rsidRPr="00ED3950">
        <w:rPr>
          <w:lang w:val="cs-CZ"/>
        </w:rPr>
        <w:t xml:space="preserve">poznatky z </w:t>
      </w:r>
      <w:proofErr w:type="spellStart"/>
      <w:r w:rsidR="00CC1C2E" w:rsidRPr="00ED3950">
        <w:rPr>
          <w:lang w:val="cs-CZ"/>
        </w:rPr>
        <w:t>webináře</w:t>
      </w:r>
      <w:bookmarkEnd w:id="50"/>
      <w:proofErr w:type="spellEnd"/>
    </w:p>
    <w:p w:rsidR="005840C5" w:rsidRPr="00ED3950" w:rsidRDefault="00ED3950">
      <w:pPr>
        <w:rPr>
          <w:lang w:val="cs-CZ"/>
        </w:rPr>
      </w:pPr>
      <w:r w:rsidRPr="00ED3950">
        <w:rPr>
          <w:lang w:val="cs-CZ"/>
        </w:rPr>
        <w:t xml:space="preserve">Hlavní body diskuse se týkají různých kroků, kterými orgány procházejí </w:t>
      </w:r>
      <w:r w:rsidR="004F48A6" w:rsidRPr="00ED3950">
        <w:rPr>
          <w:lang w:val="cs-CZ"/>
        </w:rPr>
        <w:t xml:space="preserve">při uplatňování </w:t>
      </w:r>
      <w:r w:rsidRPr="00ED3950">
        <w:rPr>
          <w:lang w:val="cs-CZ"/>
        </w:rPr>
        <w:t xml:space="preserve">zásady DNSH </w:t>
      </w:r>
      <w:r w:rsidR="004F48A6" w:rsidRPr="00ED3950">
        <w:rPr>
          <w:lang w:val="cs-CZ"/>
        </w:rPr>
        <w:t xml:space="preserve">na </w:t>
      </w:r>
      <w:r w:rsidR="0028237C" w:rsidRPr="00ED3950">
        <w:rPr>
          <w:lang w:val="cs-CZ"/>
        </w:rPr>
        <w:t xml:space="preserve">investice do </w:t>
      </w:r>
      <w:r w:rsidRPr="00ED3950">
        <w:rPr>
          <w:lang w:val="cs-CZ"/>
        </w:rPr>
        <w:t>inovativních zelených technologií</w:t>
      </w:r>
      <w:r w:rsidR="0028237C" w:rsidRPr="00ED3950">
        <w:rPr>
          <w:lang w:val="cs-CZ"/>
        </w:rPr>
        <w:t>:</w:t>
      </w:r>
    </w:p>
    <w:p w:rsidR="005840C5" w:rsidRPr="00ED3950" w:rsidRDefault="00ED3950">
      <w:pPr>
        <w:pStyle w:val="Bulletpoint"/>
        <w:ind w:left="851" w:hanging="284"/>
        <w:rPr>
          <w:lang w:val="cs-CZ"/>
        </w:rPr>
      </w:pPr>
      <w:r w:rsidRPr="00ED3950">
        <w:rPr>
          <w:b/>
          <w:i/>
          <w:lang w:val="cs-CZ"/>
        </w:rPr>
        <w:t xml:space="preserve">V kroku </w:t>
      </w:r>
      <w:r w:rsidR="00D929FE" w:rsidRPr="00ED3950">
        <w:rPr>
          <w:b/>
          <w:i/>
          <w:lang w:val="cs-CZ"/>
        </w:rPr>
        <w:t>klasifikace</w:t>
      </w:r>
      <w:r w:rsidRPr="00ED3950">
        <w:rPr>
          <w:i/>
          <w:iCs/>
          <w:lang w:val="cs-CZ"/>
        </w:rPr>
        <w:t xml:space="preserve">: </w:t>
      </w:r>
      <w:r w:rsidR="00E55DE6" w:rsidRPr="00ED3950">
        <w:rPr>
          <w:lang w:val="cs-CZ"/>
        </w:rPr>
        <w:t xml:space="preserve">řídicí orgány obvykle nejprve posoudí povahu a velikost rizik, </w:t>
      </w:r>
      <w:r w:rsidR="008F77C1" w:rsidRPr="00ED3950">
        <w:rPr>
          <w:lang w:val="cs-CZ"/>
        </w:rPr>
        <w:t xml:space="preserve">že </w:t>
      </w:r>
      <w:r w:rsidR="008034FF" w:rsidRPr="00ED3950">
        <w:rPr>
          <w:lang w:val="cs-CZ"/>
        </w:rPr>
        <w:t xml:space="preserve">projekt </w:t>
      </w:r>
      <w:r w:rsidR="00E55DE6" w:rsidRPr="00ED3950">
        <w:rPr>
          <w:lang w:val="cs-CZ"/>
        </w:rPr>
        <w:t xml:space="preserve">ohrožuje zásadu DNSH. </w:t>
      </w:r>
      <w:r w:rsidR="00383FC4" w:rsidRPr="00ED3950">
        <w:rPr>
          <w:lang w:val="cs-CZ"/>
        </w:rPr>
        <w:t xml:space="preserve">Na základě tohoto posouzení </w:t>
      </w:r>
      <w:r w:rsidR="008034FF" w:rsidRPr="00ED3950">
        <w:rPr>
          <w:lang w:val="cs-CZ"/>
        </w:rPr>
        <w:t xml:space="preserve">lze zjistit potřebu </w:t>
      </w:r>
      <w:r w:rsidR="00D723B8" w:rsidRPr="00ED3950">
        <w:rPr>
          <w:lang w:val="cs-CZ"/>
        </w:rPr>
        <w:t xml:space="preserve">specifických kritérií </w:t>
      </w:r>
      <w:r w:rsidR="008034FF" w:rsidRPr="00ED3950">
        <w:rPr>
          <w:lang w:val="cs-CZ"/>
        </w:rPr>
        <w:t xml:space="preserve">a tato kritéria </w:t>
      </w:r>
      <w:r w:rsidR="00D723B8" w:rsidRPr="00ED3950">
        <w:rPr>
          <w:lang w:val="cs-CZ"/>
        </w:rPr>
        <w:t xml:space="preserve">vypracovat. </w:t>
      </w:r>
      <w:r w:rsidR="008034FF" w:rsidRPr="00ED3950">
        <w:rPr>
          <w:lang w:val="cs-CZ"/>
        </w:rPr>
        <w:t xml:space="preserve">Z toho vyplývá, že je nadále obtížné </w:t>
      </w:r>
      <w:r w:rsidR="00E35521" w:rsidRPr="00ED3950">
        <w:rPr>
          <w:lang w:val="cs-CZ"/>
        </w:rPr>
        <w:t xml:space="preserve">automaticky identifikovat rizikovější projekty </w:t>
      </w:r>
      <w:r w:rsidR="008F77C1" w:rsidRPr="00ED3950">
        <w:rPr>
          <w:lang w:val="cs-CZ"/>
        </w:rPr>
        <w:t xml:space="preserve">a </w:t>
      </w:r>
      <w:r w:rsidR="00E35521" w:rsidRPr="00ED3950">
        <w:rPr>
          <w:lang w:val="cs-CZ"/>
        </w:rPr>
        <w:t xml:space="preserve">projekty, které neodpovídají </w:t>
      </w:r>
      <w:r w:rsidR="00BD4E3C" w:rsidRPr="00ED3950">
        <w:rPr>
          <w:lang w:val="cs-CZ"/>
        </w:rPr>
        <w:t>obvyklým zjednodušeným a hloubkovým hodnocením</w:t>
      </w:r>
      <w:r w:rsidR="00E35521" w:rsidRPr="00ED3950">
        <w:rPr>
          <w:lang w:val="cs-CZ"/>
        </w:rPr>
        <w:t>;</w:t>
      </w:r>
    </w:p>
    <w:p w:rsidR="005840C5" w:rsidRPr="00ED3950" w:rsidRDefault="00ED3950">
      <w:pPr>
        <w:pStyle w:val="Bulletpoint"/>
        <w:ind w:left="851" w:hanging="284"/>
        <w:rPr>
          <w:lang w:val="cs-CZ"/>
        </w:rPr>
      </w:pPr>
      <w:r w:rsidRPr="00ED3950">
        <w:rPr>
          <w:b/>
          <w:i/>
          <w:lang w:val="cs-CZ"/>
        </w:rPr>
        <w:t xml:space="preserve">Ve fázi </w:t>
      </w:r>
      <w:r w:rsidR="0041085C" w:rsidRPr="00ED3950">
        <w:rPr>
          <w:b/>
          <w:i/>
          <w:lang w:val="cs-CZ"/>
        </w:rPr>
        <w:t xml:space="preserve">identifikace </w:t>
      </w:r>
      <w:r w:rsidRPr="00ED3950">
        <w:rPr>
          <w:b/>
          <w:i/>
          <w:lang w:val="cs-CZ"/>
        </w:rPr>
        <w:t xml:space="preserve">kritérií: </w:t>
      </w:r>
      <w:r w:rsidR="00E55DE6" w:rsidRPr="00ED3950">
        <w:rPr>
          <w:lang w:val="cs-CZ"/>
        </w:rPr>
        <w:t xml:space="preserve">řídicí orgány </w:t>
      </w:r>
      <w:r w:rsidR="000777F4" w:rsidRPr="00ED3950">
        <w:rPr>
          <w:lang w:val="cs-CZ"/>
        </w:rPr>
        <w:t xml:space="preserve">standardně </w:t>
      </w:r>
      <w:r w:rsidR="003500D6" w:rsidRPr="00ED3950">
        <w:rPr>
          <w:lang w:val="cs-CZ"/>
        </w:rPr>
        <w:t xml:space="preserve">využívají pro </w:t>
      </w:r>
      <w:r w:rsidR="00BD4E3C" w:rsidRPr="00ED3950">
        <w:rPr>
          <w:lang w:val="cs-CZ"/>
        </w:rPr>
        <w:t xml:space="preserve">hloubkové posouzení </w:t>
      </w:r>
      <w:r w:rsidR="000777F4" w:rsidRPr="00ED3950">
        <w:rPr>
          <w:lang w:val="cs-CZ"/>
        </w:rPr>
        <w:t xml:space="preserve">DNSH </w:t>
      </w:r>
      <w:r w:rsidR="003500D6" w:rsidRPr="00ED3950">
        <w:rPr>
          <w:lang w:val="cs-CZ"/>
        </w:rPr>
        <w:t xml:space="preserve">TSC </w:t>
      </w:r>
      <w:r w:rsidR="000777F4" w:rsidRPr="00ED3950">
        <w:rPr>
          <w:lang w:val="cs-CZ"/>
        </w:rPr>
        <w:t xml:space="preserve">z aktů EU v přenesené pravomoci v oblasti taxonomie. </w:t>
      </w:r>
      <w:r w:rsidR="002845F6" w:rsidRPr="00ED3950">
        <w:rPr>
          <w:lang w:val="cs-CZ"/>
        </w:rPr>
        <w:t xml:space="preserve">Postupy a metodiky pro </w:t>
      </w:r>
      <w:r w:rsidR="002C1E04" w:rsidRPr="00ED3950">
        <w:rPr>
          <w:lang w:val="cs-CZ"/>
        </w:rPr>
        <w:t xml:space="preserve">navrhování </w:t>
      </w:r>
      <w:r w:rsidR="002845F6" w:rsidRPr="00ED3950">
        <w:rPr>
          <w:lang w:val="cs-CZ"/>
        </w:rPr>
        <w:t xml:space="preserve">kritérií DNSH specifických pro jednotlivé projekty se zahajují pouze v případě, že </w:t>
      </w:r>
      <w:r w:rsidR="009C1FDC" w:rsidRPr="00ED3950">
        <w:rPr>
          <w:lang w:val="cs-CZ"/>
        </w:rPr>
        <w:t xml:space="preserve">jsou potřebná kritéria na úrovni projektu a že </w:t>
      </w:r>
      <w:r w:rsidR="002845F6" w:rsidRPr="00ED3950">
        <w:rPr>
          <w:lang w:val="cs-CZ"/>
        </w:rPr>
        <w:t>TSC DNSH neexistují</w:t>
      </w:r>
      <w:r w:rsidR="00D14BF2" w:rsidRPr="00ED3950">
        <w:rPr>
          <w:lang w:val="cs-CZ"/>
        </w:rPr>
        <w:t>;</w:t>
      </w:r>
    </w:p>
    <w:p w:rsidR="005840C5" w:rsidRPr="00ED3950" w:rsidRDefault="00ED3950">
      <w:pPr>
        <w:pStyle w:val="Bulletpoint"/>
        <w:ind w:left="851" w:hanging="284"/>
        <w:rPr>
          <w:lang w:val="cs-CZ"/>
        </w:rPr>
      </w:pPr>
      <w:r w:rsidRPr="00ED3950">
        <w:rPr>
          <w:b/>
          <w:i/>
          <w:lang w:val="cs-CZ"/>
        </w:rPr>
        <w:t>Ve fázi tvorby kritérií</w:t>
      </w:r>
      <w:r w:rsidRPr="00ED3950">
        <w:rPr>
          <w:i/>
          <w:iCs/>
          <w:lang w:val="cs-CZ"/>
        </w:rPr>
        <w:t xml:space="preserve">: </w:t>
      </w:r>
      <w:r w:rsidR="009035DF" w:rsidRPr="00ED3950">
        <w:rPr>
          <w:lang w:val="cs-CZ"/>
        </w:rPr>
        <w:t>zpětné účinky</w:t>
      </w:r>
      <w:r w:rsidR="00AE246C" w:rsidRPr="00ED3950">
        <w:rPr>
          <w:lang w:val="cs-CZ"/>
        </w:rPr>
        <w:t xml:space="preserve">, </w:t>
      </w:r>
      <w:r w:rsidR="009035DF" w:rsidRPr="00ED3950">
        <w:rPr>
          <w:lang w:val="cs-CZ"/>
        </w:rPr>
        <w:t xml:space="preserve">složitost </w:t>
      </w:r>
      <w:r w:rsidR="00AE246C" w:rsidRPr="00ED3950">
        <w:rPr>
          <w:lang w:val="cs-CZ"/>
        </w:rPr>
        <w:t xml:space="preserve">TSC DNSH a </w:t>
      </w:r>
      <w:r w:rsidR="009035DF" w:rsidRPr="00ED3950">
        <w:rPr>
          <w:lang w:val="cs-CZ"/>
        </w:rPr>
        <w:t xml:space="preserve">omezená kapacita </w:t>
      </w:r>
      <w:r w:rsidR="00AE246C" w:rsidRPr="00ED3950">
        <w:rPr>
          <w:lang w:val="cs-CZ"/>
        </w:rPr>
        <w:t xml:space="preserve">předkladatelů projektů </w:t>
      </w:r>
      <w:r w:rsidR="00202D2A" w:rsidRPr="00ED3950">
        <w:rPr>
          <w:lang w:val="cs-CZ"/>
        </w:rPr>
        <w:t xml:space="preserve">jsou hlavními omezeními pro řídicí orgány </w:t>
      </w:r>
      <w:r w:rsidR="00075BFE" w:rsidRPr="00ED3950">
        <w:rPr>
          <w:lang w:val="cs-CZ"/>
        </w:rPr>
        <w:t>při tvorbě kritérií DNSH</w:t>
      </w:r>
      <w:r w:rsidR="00DA3EB4" w:rsidRPr="00ED3950">
        <w:rPr>
          <w:lang w:val="cs-CZ"/>
        </w:rPr>
        <w:t xml:space="preserve">. Kromě toho </w:t>
      </w:r>
      <w:r w:rsidR="00714C67" w:rsidRPr="00ED3950">
        <w:rPr>
          <w:lang w:val="cs-CZ"/>
        </w:rPr>
        <w:t xml:space="preserve">napříč srovnatelnými </w:t>
      </w:r>
      <w:r w:rsidR="007206B6" w:rsidRPr="00ED3950">
        <w:rPr>
          <w:lang w:val="cs-CZ"/>
        </w:rPr>
        <w:t xml:space="preserve">členskými </w:t>
      </w:r>
      <w:r w:rsidR="00714C67" w:rsidRPr="00ED3950">
        <w:rPr>
          <w:lang w:val="cs-CZ"/>
        </w:rPr>
        <w:t xml:space="preserve">státy představuje </w:t>
      </w:r>
      <w:r w:rsidR="00B06779" w:rsidRPr="00ED3950">
        <w:rPr>
          <w:lang w:val="cs-CZ"/>
        </w:rPr>
        <w:t xml:space="preserve">cíl přechodu na </w:t>
      </w:r>
      <w:r w:rsidR="00E50105" w:rsidRPr="00ED3950">
        <w:rPr>
          <w:lang w:val="cs-CZ"/>
        </w:rPr>
        <w:t xml:space="preserve">oběhové hospodářství a </w:t>
      </w:r>
      <w:r w:rsidR="00714C67" w:rsidRPr="00ED3950">
        <w:rPr>
          <w:lang w:val="cs-CZ"/>
        </w:rPr>
        <w:t xml:space="preserve">projekty </w:t>
      </w:r>
      <w:r w:rsidR="00E50105" w:rsidRPr="00ED3950">
        <w:rPr>
          <w:lang w:val="cs-CZ"/>
        </w:rPr>
        <w:t xml:space="preserve">výzkumu a vývoje </w:t>
      </w:r>
      <w:r w:rsidR="00714C67" w:rsidRPr="00ED3950">
        <w:rPr>
          <w:lang w:val="cs-CZ"/>
        </w:rPr>
        <w:t xml:space="preserve">nejvíce problémů </w:t>
      </w:r>
      <w:r w:rsidR="00DA3EB4" w:rsidRPr="00ED3950">
        <w:rPr>
          <w:lang w:val="cs-CZ"/>
        </w:rPr>
        <w:t xml:space="preserve">při </w:t>
      </w:r>
      <w:r w:rsidR="00075BFE" w:rsidRPr="00ED3950">
        <w:rPr>
          <w:lang w:val="cs-CZ"/>
        </w:rPr>
        <w:t xml:space="preserve">vývoji </w:t>
      </w:r>
      <w:r w:rsidR="00714C67" w:rsidRPr="00ED3950">
        <w:rPr>
          <w:lang w:val="cs-CZ"/>
        </w:rPr>
        <w:t>kritérií na úrovni projektů.</w:t>
      </w:r>
    </w:p>
    <w:p w:rsidR="000B6847" w:rsidRPr="00ED3950" w:rsidRDefault="000B6847" w:rsidP="005F083F">
      <w:pPr>
        <w:rPr>
          <w:lang w:val="cs-CZ"/>
        </w:rPr>
      </w:pPr>
    </w:p>
    <w:p w:rsidR="005840C5" w:rsidRPr="00ED3950" w:rsidRDefault="00ED3950">
      <w:pPr>
        <w:pStyle w:val="Nadpis3"/>
        <w:tabs>
          <w:tab w:val="clear" w:pos="851"/>
          <w:tab w:val="left" w:pos="567"/>
        </w:tabs>
        <w:ind w:left="567" w:hanging="425"/>
        <w:rPr>
          <w:lang w:val="cs-CZ"/>
        </w:rPr>
      </w:pPr>
      <w:bookmarkStart w:id="51" w:name="_Toc131775853"/>
      <w:r w:rsidRPr="00ED3950">
        <w:rPr>
          <w:lang w:val="cs-CZ"/>
        </w:rPr>
        <w:t>Získané zkušenosti</w:t>
      </w:r>
      <w:bookmarkEnd w:id="51"/>
    </w:p>
    <w:p w:rsidR="005840C5" w:rsidRPr="00ED3950" w:rsidRDefault="00ED3950">
      <w:pPr>
        <w:rPr>
          <w:lang w:val="cs-CZ"/>
        </w:rPr>
      </w:pPr>
      <w:r w:rsidRPr="00ED3950">
        <w:rPr>
          <w:lang w:val="cs-CZ"/>
        </w:rPr>
        <w:t xml:space="preserve">Jak je uvedeno v </w:t>
      </w:r>
      <w:proofErr w:type="gramStart"/>
      <w:r w:rsidRPr="00ED3950">
        <w:rPr>
          <w:lang w:val="cs-CZ"/>
        </w:rPr>
        <w:t xml:space="preserve">oddíle </w:t>
      </w:r>
      <w:r w:rsidR="00C12C77" w:rsidRPr="00ED3950">
        <w:rPr>
          <w:lang w:val="cs-CZ"/>
        </w:rPr>
        <w:fldChar w:fldCharType="begin"/>
      </w:r>
      <w:r w:rsidR="00C12C77" w:rsidRPr="00ED3950">
        <w:rPr>
          <w:lang w:val="cs-CZ"/>
        </w:rPr>
        <w:instrText xml:space="preserve"> REF _Ref130907373 \r \h </w:instrText>
      </w:r>
      <w:r w:rsidR="00C12C77" w:rsidRPr="00ED3950">
        <w:rPr>
          <w:lang w:val="cs-CZ"/>
        </w:rPr>
      </w:r>
      <w:r w:rsidRPr="00ED3950">
        <w:rPr>
          <w:lang w:val="cs-CZ"/>
        </w:rPr>
        <w:instrText xml:space="preserve"> \* MERGEFORMAT </w:instrText>
      </w:r>
      <w:r w:rsidR="00C12C77" w:rsidRPr="00ED3950">
        <w:rPr>
          <w:lang w:val="cs-CZ"/>
        </w:rPr>
        <w:fldChar w:fldCharType="separate"/>
      </w:r>
      <w:r w:rsidR="00C12C77" w:rsidRPr="00ED3950">
        <w:rPr>
          <w:lang w:val="cs-CZ"/>
        </w:rPr>
        <w:t>4.3</w:t>
      </w:r>
      <w:r w:rsidR="00C12C77" w:rsidRPr="00ED3950">
        <w:rPr>
          <w:lang w:val="cs-CZ"/>
        </w:rPr>
        <w:fldChar w:fldCharType="end"/>
      </w:r>
      <w:r w:rsidR="00C12C77" w:rsidRPr="00ED3950">
        <w:rPr>
          <w:lang w:val="cs-CZ"/>
        </w:rPr>
        <w:t>, srovnatelné</w:t>
      </w:r>
      <w:proofErr w:type="gramEnd"/>
      <w:r w:rsidR="00C12C77" w:rsidRPr="00ED3950">
        <w:rPr>
          <w:lang w:val="cs-CZ"/>
        </w:rPr>
        <w:t xml:space="preserve"> </w:t>
      </w:r>
      <w:r w:rsidR="007206B6" w:rsidRPr="00ED3950">
        <w:rPr>
          <w:lang w:val="cs-CZ"/>
        </w:rPr>
        <w:t xml:space="preserve">členské </w:t>
      </w:r>
      <w:r w:rsidR="00A64763" w:rsidRPr="00ED3950">
        <w:rPr>
          <w:lang w:val="cs-CZ"/>
        </w:rPr>
        <w:t xml:space="preserve">státy </w:t>
      </w:r>
      <w:r w:rsidR="00C12C77" w:rsidRPr="00ED3950">
        <w:rPr>
          <w:lang w:val="cs-CZ"/>
        </w:rPr>
        <w:t xml:space="preserve">vypracovaly různé metodiky </w:t>
      </w:r>
      <w:r w:rsidR="00A64763" w:rsidRPr="00ED3950">
        <w:rPr>
          <w:lang w:val="cs-CZ"/>
        </w:rPr>
        <w:t xml:space="preserve">pro uplatňování </w:t>
      </w:r>
      <w:r w:rsidR="00C12C77" w:rsidRPr="00ED3950">
        <w:rPr>
          <w:lang w:val="cs-CZ"/>
        </w:rPr>
        <w:t>zásady DNSH na investice do inovativních zelených technologií. Přesto z nich vyplývají společné poznatky:</w:t>
      </w:r>
    </w:p>
    <w:p w:rsidR="005840C5" w:rsidRPr="00ED3950" w:rsidRDefault="00ED3950">
      <w:pPr>
        <w:pStyle w:val="Bulletpoint"/>
        <w:ind w:left="851" w:hanging="284"/>
        <w:rPr>
          <w:lang w:val="cs-CZ"/>
        </w:rPr>
      </w:pPr>
      <w:r w:rsidRPr="00ED3950">
        <w:rPr>
          <w:b/>
          <w:bCs/>
          <w:lang w:val="cs-CZ"/>
        </w:rPr>
        <w:t>Je užitečné sta</w:t>
      </w:r>
      <w:r w:rsidRPr="00ED3950">
        <w:rPr>
          <w:b/>
          <w:bCs/>
          <w:lang w:val="cs-CZ"/>
        </w:rPr>
        <w:t xml:space="preserve">ndardizovat </w:t>
      </w:r>
      <w:r w:rsidR="007573CC" w:rsidRPr="00ED3950">
        <w:rPr>
          <w:b/>
          <w:bCs/>
          <w:lang w:val="cs-CZ"/>
        </w:rPr>
        <w:t xml:space="preserve">proces identifikace projektů, které mohou vyžadovat </w:t>
      </w:r>
      <w:r w:rsidRPr="00ED3950">
        <w:rPr>
          <w:b/>
          <w:bCs/>
          <w:lang w:val="cs-CZ"/>
        </w:rPr>
        <w:t>kritéria na úrovni projektu</w:t>
      </w:r>
      <w:r w:rsidR="00305D72" w:rsidRPr="00ED3950">
        <w:rPr>
          <w:lang w:val="cs-CZ"/>
        </w:rPr>
        <w:t xml:space="preserve">. Toho lze dosáhnout vytvořením pravidel pro </w:t>
      </w:r>
      <w:r w:rsidR="00530DF5" w:rsidRPr="00ED3950">
        <w:rPr>
          <w:lang w:val="cs-CZ"/>
        </w:rPr>
        <w:t xml:space="preserve">seskupování </w:t>
      </w:r>
      <w:r w:rsidR="00305D72" w:rsidRPr="00ED3950">
        <w:rPr>
          <w:lang w:val="cs-CZ"/>
        </w:rPr>
        <w:t>projektů</w:t>
      </w:r>
      <w:r w:rsidR="00B5028F" w:rsidRPr="00ED3950">
        <w:rPr>
          <w:lang w:val="cs-CZ"/>
        </w:rPr>
        <w:t xml:space="preserve">. </w:t>
      </w:r>
      <w:r w:rsidR="00F55559" w:rsidRPr="00ED3950">
        <w:rPr>
          <w:lang w:val="cs-CZ"/>
        </w:rPr>
        <w:t xml:space="preserve">Standardizace pomáhá </w:t>
      </w:r>
      <w:r w:rsidR="00D8580A" w:rsidRPr="00ED3950">
        <w:rPr>
          <w:lang w:val="cs-CZ"/>
        </w:rPr>
        <w:t>identifikovat projekty vyžadující kritéria na úrovni projektu rychleji a dříve v procesu, a tím podporuje rozdělení práce mezi liniová ministerstva a specializované týmy DNSH;</w:t>
      </w:r>
    </w:p>
    <w:p w:rsidR="005840C5" w:rsidRPr="00ED3950" w:rsidRDefault="00ED3950">
      <w:pPr>
        <w:pStyle w:val="Odstavecseseznamem"/>
        <w:ind w:left="851" w:hanging="284"/>
        <w:rPr>
          <w:lang w:val="cs-CZ"/>
        </w:rPr>
      </w:pPr>
      <w:r w:rsidRPr="00ED3950">
        <w:rPr>
          <w:b/>
          <w:bCs/>
          <w:lang w:val="cs-CZ"/>
        </w:rPr>
        <w:t xml:space="preserve">Environmentální metodiky mohou být použity na podporu </w:t>
      </w:r>
      <w:r w:rsidR="003771D6" w:rsidRPr="00ED3950">
        <w:rPr>
          <w:b/>
          <w:bCs/>
          <w:lang w:val="cs-CZ"/>
        </w:rPr>
        <w:t xml:space="preserve">uplatňování zásady DNSH v komplexních a inovativních projektech, neboť </w:t>
      </w:r>
      <w:r w:rsidR="003771D6" w:rsidRPr="00ED3950">
        <w:rPr>
          <w:lang w:val="cs-CZ"/>
        </w:rPr>
        <w:t xml:space="preserve">nabízejí dodatečné a hlubší informace. </w:t>
      </w:r>
      <w:r w:rsidR="001C2440" w:rsidRPr="00ED3950">
        <w:rPr>
          <w:lang w:val="cs-CZ"/>
        </w:rPr>
        <w:t xml:space="preserve">V tomto ohledu jsou zvláště důležité </w:t>
      </w:r>
      <w:r w:rsidR="003771D6" w:rsidRPr="00ED3950">
        <w:rPr>
          <w:lang w:val="cs-CZ"/>
        </w:rPr>
        <w:t>ekologické rozpočtování</w:t>
      </w:r>
      <w:r w:rsidR="001C2440" w:rsidRPr="00ED3950">
        <w:rPr>
          <w:lang w:val="cs-CZ"/>
        </w:rPr>
        <w:t>, EIA a CP;</w:t>
      </w:r>
    </w:p>
    <w:p w:rsidR="005840C5" w:rsidRPr="00ED3950" w:rsidRDefault="00ED3950">
      <w:pPr>
        <w:pStyle w:val="Odstavecseseznamem"/>
        <w:ind w:left="851" w:hanging="284"/>
        <w:rPr>
          <w:lang w:val="cs-CZ"/>
        </w:rPr>
      </w:pPr>
      <w:r w:rsidRPr="00ED3950">
        <w:rPr>
          <w:b/>
          <w:bCs/>
          <w:lang w:val="cs-CZ"/>
        </w:rPr>
        <w:t>Procesy by měly umožnit přezkum a upřesnění kritérií DNSH v průběhu realizace projektů</w:t>
      </w:r>
      <w:r w:rsidRPr="00ED3950">
        <w:rPr>
          <w:lang w:val="cs-CZ"/>
        </w:rPr>
        <w:t xml:space="preserve">. Inovativní projekty </w:t>
      </w:r>
      <w:r w:rsidR="001D612E" w:rsidRPr="00ED3950">
        <w:rPr>
          <w:lang w:val="cs-CZ"/>
        </w:rPr>
        <w:t xml:space="preserve">z definice </w:t>
      </w:r>
      <w:r w:rsidRPr="00ED3950">
        <w:rPr>
          <w:lang w:val="cs-CZ"/>
        </w:rPr>
        <w:t>představují neznámá rizika</w:t>
      </w:r>
      <w:r w:rsidRPr="00ED3950">
        <w:rPr>
          <w:lang w:val="cs-CZ"/>
        </w:rPr>
        <w:t xml:space="preserve"> nebo rizika, která je obtížné posoudit</w:t>
      </w:r>
      <w:r w:rsidR="000119EE" w:rsidRPr="00ED3950">
        <w:rPr>
          <w:lang w:val="cs-CZ"/>
        </w:rPr>
        <w:t xml:space="preserve">. Iterativní </w:t>
      </w:r>
      <w:r w:rsidRPr="00ED3950">
        <w:rPr>
          <w:lang w:val="cs-CZ"/>
        </w:rPr>
        <w:t xml:space="preserve">procesy zajišťují, že jsou zohledněna všechna rizika, a to i v případě, že se objeví v pozdní fázi. Tato flexibilita také umožňuje řídicím orgánům </w:t>
      </w:r>
      <w:r w:rsidR="002F0E2B" w:rsidRPr="00ED3950">
        <w:rPr>
          <w:lang w:val="cs-CZ"/>
        </w:rPr>
        <w:t xml:space="preserve">plně využít </w:t>
      </w:r>
      <w:r w:rsidR="001F2DE8" w:rsidRPr="00ED3950">
        <w:rPr>
          <w:lang w:val="cs-CZ"/>
        </w:rPr>
        <w:t>výsledky EIA</w:t>
      </w:r>
      <w:r w:rsidR="002F0E2B" w:rsidRPr="00ED3950">
        <w:rPr>
          <w:lang w:val="cs-CZ"/>
        </w:rPr>
        <w:t>;</w:t>
      </w:r>
    </w:p>
    <w:p w:rsidR="005840C5" w:rsidRPr="00ED3950" w:rsidRDefault="00ED3950">
      <w:pPr>
        <w:pStyle w:val="Odstavecseseznamem"/>
        <w:ind w:left="851" w:hanging="284"/>
        <w:rPr>
          <w:lang w:val="cs-CZ"/>
        </w:rPr>
      </w:pPr>
      <w:r w:rsidRPr="00ED3950">
        <w:rPr>
          <w:b/>
          <w:bCs/>
          <w:lang w:val="cs-CZ"/>
        </w:rPr>
        <w:t>Řídicí orgány by měly mít možno</w:t>
      </w:r>
      <w:r w:rsidRPr="00ED3950">
        <w:rPr>
          <w:b/>
          <w:bCs/>
          <w:lang w:val="cs-CZ"/>
        </w:rPr>
        <w:t xml:space="preserve">st spolehnout se na </w:t>
      </w:r>
      <w:r w:rsidR="00EC26DC" w:rsidRPr="00ED3950">
        <w:rPr>
          <w:b/>
          <w:bCs/>
          <w:lang w:val="cs-CZ"/>
        </w:rPr>
        <w:t xml:space="preserve">externí </w:t>
      </w:r>
      <w:r w:rsidR="00CD009D" w:rsidRPr="00ED3950">
        <w:rPr>
          <w:b/>
          <w:bCs/>
          <w:lang w:val="cs-CZ"/>
        </w:rPr>
        <w:t xml:space="preserve">technické odborníky </w:t>
      </w:r>
      <w:r w:rsidR="00757BE5" w:rsidRPr="00ED3950">
        <w:rPr>
          <w:b/>
          <w:bCs/>
          <w:lang w:val="cs-CZ"/>
        </w:rPr>
        <w:t xml:space="preserve">nebo odborné výbory, </w:t>
      </w:r>
      <w:r w:rsidR="00CD009D" w:rsidRPr="00ED3950">
        <w:rPr>
          <w:lang w:val="cs-CZ"/>
        </w:rPr>
        <w:t xml:space="preserve">aby </w:t>
      </w:r>
      <w:r w:rsidR="002F0E2B" w:rsidRPr="00ED3950">
        <w:rPr>
          <w:lang w:val="cs-CZ"/>
        </w:rPr>
        <w:t>potvrdily a prohloubily předběžné posouzení DNSH (viz "krok klasifikace" a "krok identifikace kritérií")</w:t>
      </w:r>
      <w:r w:rsidR="00EC26DC" w:rsidRPr="00ED3950">
        <w:rPr>
          <w:lang w:val="cs-CZ"/>
        </w:rPr>
        <w:t xml:space="preserve">. Vzhledem k tomu, že inovativní </w:t>
      </w:r>
      <w:r w:rsidR="004778FF" w:rsidRPr="00ED3950">
        <w:rPr>
          <w:lang w:val="cs-CZ"/>
        </w:rPr>
        <w:t xml:space="preserve">projekty </w:t>
      </w:r>
      <w:r w:rsidR="00EC26DC" w:rsidRPr="00ED3950">
        <w:rPr>
          <w:lang w:val="cs-CZ"/>
        </w:rPr>
        <w:t xml:space="preserve">s sebou nesou neznámá rizika a </w:t>
      </w:r>
      <w:proofErr w:type="spellStart"/>
      <w:r w:rsidR="00E93496" w:rsidRPr="00ED3950">
        <w:rPr>
          <w:lang w:val="cs-CZ"/>
        </w:rPr>
        <w:t>nikové</w:t>
      </w:r>
      <w:proofErr w:type="spellEnd"/>
      <w:r w:rsidR="00E93496" w:rsidRPr="00ED3950">
        <w:rPr>
          <w:lang w:val="cs-CZ"/>
        </w:rPr>
        <w:t xml:space="preserve"> technologie nebo procesy, jsou k </w:t>
      </w:r>
      <w:r w:rsidR="004778FF" w:rsidRPr="00ED3950">
        <w:rPr>
          <w:lang w:val="cs-CZ"/>
        </w:rPr>
        <w:t xml:space="preserve">jejich </w:t>
      </w:r>
      <w:r w:rsidR="00DD4048" w:rsidRPr="00ED3950">
        <w:rPr>
          <w:lang w:val="cs-CZ"/>
        </w:rPr>
        <w:t xml:space="preserve">hodnocení a </w:t>
      </w:r>
      <w:r w:rsidR="00E43FF4" w:rsidRPr="00ED3950">
        <w:rPr>
          <w:lang w:val="cs-CZ"/>
        </w:rPr>
        <w:t xml:space="preserve">k </w:t>
      </w:r>
      <w:r w:rsidR="00DD4048" w:rsidRPr="00ED3950">
        <w:rPr>
          <w:lang w:val="cs-CZ"/>
        </w:rPr>
        <w:t xml:space="preserve">vypracování </w:t>
      </w:r>
      <w:r w:rsidR="004778FF" w:rsidRPr="00ED3950">
        <w:rPr>
          <w:lang w:val="cs-CZ"/>
        </w:rPr>
        <w:t xml:space="preserve">relevantních a ambiciózních </w:t>
      </w:r>
      <w:r w:rsidR="00DD4048" w:rsidRPr="00ED3950">
        <w:rPr>
          <w:lang w:val="cs-CZ"/>
        </w:rPr>
        <w:t xml:space="preserve">kritérií </w:t>
      </w:r>
      <w:r w:rsidR="00E93496" w:rsidRPr="00ED3950">
        <w:rPr>
          <w:lang w:val="cs-CZ"/>
        </w:rPr>
        <w:t>zapotřebí specifické odborné znalosti</w:t>
      </w:r>
      <w:r w:rsidR="007939DF" w:rsidRPr="00ED3950">
        <w:rPr>
          <w:lang w:val="cs-CZ"/>
        </w:rPr>
        <w:t>;</w:t>
      </w:r>
    </w:p>
    <w:p w:rsidR="005840C5" w:rsidRPr="00ED3950" w:rsidRDefault="00ED3950">
      <w:pPr>
        <w:pStyle w:val="Odstavecseseznamem"/>
        <w:ind w:left="851" w:hanging="284"/>
        <w:rPr>
          <w:lang w:val="cs-CZ"/>
        </w:rPr>
      </w:pPr>
      <w:r w:rsidRPr="00ED3950">
        <w:rPr>
          <w:lang w:val="cs-CZ"/>
        </w:rPr>
        <w:t xml:space="preserve">U </w:t>
      </w:r>
      <w:r w:rsidR="00393545" w:rsidRPr="00ED3950">
        <w:rPr>
          <w:lang w:val="cs-CZ"/>
        </w:rPr>
        <w:t xml:space="preserve">inovativních projektů, které </w:t>
      </w:r>
      <w:r w:rsidR="000A2AA7" w:rsidRPr="00ED3950">
        <w:rPr>
          <w:lang w:val="cs-CZ"/>
        </w:rPr>
        <w:t xml:space="preserve">se objevují v </w:t>
      </w:r>
      <w:r w:rsidR="007A4B6C" w:rsidRPr="00ED3950">
        <w:rPr>
          <w:lang w:val="cs-CZ"/>
        </w:rPr>
        <w:t xml:space="preserve">klastrech, tj. </w:t>
      </w:r>
      <w:r w:rsidR="00FC0D60" w:rsidRPr="00ED3950">
        <w:rPr>
          <w:lang w:val="cs-CZ"/>
        </w:rPr>
        <w:t xml:space="preserve">u projektů, </w:t>
      </w:r>
      <w:r w:rsidR="007A4B6C" w:rsidRPr="00ED3950">
        <w:rPr>
          <w:lang w:val="cs-CZ"/>
        </w:rPr>
        <w:t xml:space="preserve">které </w:t>
      </w:r>
      <w:r w:rsidR="004C00F9" w:rsidRPr="00ED3950">
        <w:rPr>
          <w:lang w:val="cs-CZ"/>
        </w:rPr>
        <w:t xml:space="preserve">vykazují podobnosti a jejichž počet má rychle růst (např. investice související s vodíkem), by řídicí orgány měly zvážit </w:t>
      </w:r>
      <w:r w:rsidR="00393545" w:rsidRPr="00ED3950">
        <w:rPr>
          <w:b/>
          <w:bCs/>
          <w:lang w:val="cs-CZ"/>
        </w:rPr>
        <w:lastRenderedPageBreak/>
        <w:t xml:space="preserve">vypracování referenčních hodnot, které by objasnily </w:t>
      </w:r>
      <w:r w:rsidR="0025355F" w:rsidRPr="00ED3950">
        <w:rPr>
          <w:b/>
          <w:bCs/>
          <w:lang w:val="cs-CZ"/>
        </w:rPr>
        <w:t>úrovně významné újmy a dostatečného posouzení</w:t>
      </w:r>
      <w:r w:rsidR="0025355F" w:rsidRPr="00ED3950">
        <w:rPr>
          <w:lang w:val="cs-CZ"/>
        </w:rPr>
        <w:t>;</w:t>
      </w:r>
    </w:p>
    <w:p w:rsidR="005840C5" w:rsidRPr="00ED3950" w:rsidRDefault="00FC14DC">
      <w:pPr>
        <w:pStyle w:val="Odstavecseseznamem"/>
        <w:ind w:left="851" w:hanging="284"/>
        <w:rPr>
          <w:lang w:val="cs-CZ"/>
        </w:rPr>
      </w:pPr>
      <w:r w:rsidRPr="00ED3950">
        <w:rPr>
          <w:lang w:val="cs-CZ"/>
        </w:rPr>
        <w:t xml:space="preserve">Nejefektivnější je </w:t>
      </w:r>
      <w:r w:rsidR="00AC6775" w:rsidRPr="00ED3950">
        <w:rPr>
          <w:b/>
          <w:bCs/>
          <w:lang w:val="cs-CZ"/>
        </w:rPr>
        <w:t xml:space="preserve">postupné </w:t>
      </w:r>
      <w:r w:rsidR="00774FAD" w:rsidRPr="00ED3950">
        <w:rPr>
          <w:b/>
          <w:bCs/>
          <w:lang w:val="cs-CZ"/>
        </w:rPr>
        <w:t xml:space="preserve">budování stávajících </w:t>
      </w:r>
      <w:r w:rsidR="00A64763" w:rsidRPr="00ED3950">
        <w:rPr>
          <w:b/>
          <w:bCs/>
          <w:lang w:val="cs-CZ"/>
        </w:rPr>
        <w:t xml:space="preserve">řešení </w:t>
      </w:r>
      <w:r w:rsidR="0090303C" w:rsidRPr="00ED3950">
        <w:rPr>
          <w:lang w:val="cs-CZ"/>
        </w:rPr>
        <w:t xml:space="preserve">namísto vývoje </w:t>
      </w:r>
      <w:r w:rsidRPr="00ED3950">
        <w:rPr>
          <w:lang w:val="cs-CZ"/>
        </w:rPr>
        <w:t xml:space="preserve">několika řešení najednou. Umožňuje řídicím orgánům </w:t>
      </w:r>
      <w:r w:rsidR="002335C3" w:rsidRPr="00ED3950">
        <w:rPr>
          <w:lang w:val="cs-CZ"/>
        </w:rPr>
        <w:t xml:space="preserve">iterovat a efektivně </w:t>
      </w:r>
      <w:r w:rsidR="003F7173" w:rsidRPr="00ED3950">
        <w:rPr>
          <w:lang w:val="cs-CZ"/>
        </w:rPr>
        <w:t>implementovat své procesy a metodiky</w:t>
      </w:r>
      <w:r w:rsidR="002335C3" w:rsidRPr="00ED3950">
        <w:rPr>
          <w:lang w:val="cs-CZ"/>
        </w:rPr>
        <w:t>.</w:t>
      </w:r>
      <w:bookmarkStart w:id="52" w:name="_Toc338338699"/>
      <w:bookmarkStart w:id="53" w:name="_Toc338338772"/>
    </w:p>
    <w:p w:rsidR="003C69D4" w:rsidRPr="00ED3950" w:rsidRDefault="003C69D4" w:rsidP="003C69D4">
      <w:pPr>
        <w:rPr>
          <w:lang w:val="cs-CZ"/>
        </w:rPr>
      </w:pPr>
      <w:r w:rsidRPr="00ED3950">
        <w:rPr>
          <w:lang w:val="cs-CZ"/>
        </w:rPr>
        <w:br w:type="page"/>
      </w:r>
    </w:p>
    <w:p w:rsidR="005840C5" w:rsidRPr="00ED3950" w:rsidRDefault="00ED3950">
      <w:pPr>
        <w:pStyle w:val="Nadpis1"/>
        <w:numPr>
          <w:ilvl w:val="0"/>
          <w:numId w:val="0"/>
        </w:numPr>
        <w:ind w:left="567"/>
        <w:rPr>
          <w:lang w:val="cs-CZ"/>
        </w:rPr>
      </w:pPr>
      <w:bookmarkStart w:id="54" w:name="_Toc131775854"/>
      <w:r w:rsidRPr="00ED3950">
        <w:rPr>
          <w:lang w:val="cs-CZ"/>
        </w:rPr>
        <w:lastRenderedPageBreak/>
        <w:t>Příloha A - Logistika a získané zkušenosti</w:t>
      </w:r>
      <w:bookmarkEnd w:id="54"/>
    </w:p>
    <w:p w:rsidR="005840C5" w:rsidRPr="00ED3950" w:rsidRDefault="00ED3950">
      <w:pPr>
        <w:rPr>
          <w:lang w:val="cs-CZ"/>
        </w:rPr>
      </w:pPr>
      <w:r w:rsidRPr="00ED3950">
        <w:rPr>
          <w:lang w:val="cs-CZ"/>
        </w:rPr>
        <w:t xml:space="preserve">Tato kapitola obsahuje informace o třech výměnných </w:t>
      </w:r>
      <w:proofErr w:type="spellStart"/>
      <w:r w:rsidRPr="00ED3950">
        <w:rPr>
          <w:lang w:val="cs-CZ"/>
        </w:rPr>
        <w:t>webinářích</w:t>
      </w:r>
      <w:proofErr w:type="spellEnd"/>
      <w:r w:rsidRPr="00ED3950">
        <w:rPr>
          <w:lang w:val="cs-CZ"/>
        </w:rPr>
        <w:t xml:space="preserve"> </w:t>
      </w:r>
      <w:r w:rsidRPr="00ED3950">
        <w:rPr>
          <w:lang w:val="cs-CZ"/>
        </w:rPr>
        <w:t>pořá</w:t>
      </w:r>
      <w:r w:rsidRPr="00ED3950">
        <w:rPr>
          <w:lang w:val="cs-CZ"/>
        </w:rPr>
        <w:t xml:space="preserve">daných v rámci DLV3. Popisuje logistické procesy, které stály za organizací všech </w:t>
      </w:r>
      <w:proofErr w:type="spellStart"/>
      <w:r w:rsidRPr="00ED3950">
        <w:rPr>
          <w:lang w:val="cs-CZ"/>
        </w:rPr>
        <w:t>webinářů</w:t>
      </w:r>
      <w:proofErr w:type="spellEnd"/>
      <w:r w:rsidRPr="00ED3950">
        <w:rPr>
          <w:lang w:val="cs-CZ"/>
        </w:rPr>
        <w:t xml:space="preserve">, a také poskytuje úvahy o procesu organizace </w:t>
      </w:r>
      <w:proofErr w:type="spellStart"/>
      <w:r w:rsidRPr="00ED3950">
        <w:rPr>
          <w:lang w:val="cs-CZ"/>
        </w:rPr>
        <w:t>webinářů</w:t>
      </w:r>
      <w:proofErr w:type="spellEnd"/>
      <w:r w:rsidRPr="00ED3950">
        <w:rPr>
          <w:lang w:val="cs-CZ"/>
        </w:rPr>
        <w:t xml:space="preserve"> a hodnotí výsledky a způsob, jakým </w:t>
      </w:r>
      <w:proofErr w:type="spellStart"/>
      <w:r w:rsidRPr="00ED3950">
        <w:rPr>
          <w:lang w:val="cs-CZ"/>
        </w:rPr>
        <w:t>webináře</w:t>
      </w:r>
      <w:proofErr w:type="spellEnd"/>
      <w:r w:rsidRPr="00ED3950">
        <w:rPr>
          <w:lang w:val="cs-CZ"/>
        </w:rPr>
        <w:t xml:space="preserve"> vzájemného učení mohou/budou informovat o dalších fázích projektu. </w:t>
      </w:r>
    </w:p>
    <w:p w:rsidR="008A055F" w:rsidRPr="00ED3950" w:rsidRDefault="008A055F" w:rsidP="008A055F">
      <w:pPr>
        <w:rPr>
          <w:lang w:val="cs-CZ"/>
        </w:rPr>
      </w:pPr>
    </w:p>
    <w:p w:rsidR="005840C5" w:rsidRPr="00ED3950" w:rsidRDefault="00ED3950">
      <w:pPr>
        <w:pStyle w:val="Nadpis2"/>
        <w:numPr>
          <w:ilvl w:val="0"/>
          <w:numId w:val="0"/>
        </w:numPr>
        <w:ind w:left="567"/>
        <w:rPr>
          <w:lang w:val="cs-CZ"/>
        </w:rPr>
      </w:pPr>
      <w:bookmarkStart w:id="55" w:name="_Toc131757462"/>
      <w:bookmarkStart w:id="56" w:name="_Toc131775855"/>
      <w:proofErr w:type="gramStart"/>
      <w:r w:rsidRPr="00ED3950">
        <w:rPr>
          <w:lang w:val="cs-CZ"/>
        </w:rPr>
        <w:t>A.1</w:t>
      </w:r>
      <w:r w:rsidRPr="00ED3950">
        <w:rPr>
          <w:lang w:val="cs-CZ"/>
        </w:rPr>
        <w:tab/>
      </w:r>
      <w:r w:rsidR="008A055F" w:rsidRPr="00ED3950">
        <w:rPr>
          <w:lang w:val="cs-CZ"/>
        </w:rPr>
        <w:t>Organizace</w:t>
      </w:r>
      <w:proofErr w:type="gramEnd"/>
      <w:r w:rsidR="008A055F" w:rsidRPr="00ED3950">
        <w:rPr>
          <w:lang w:val="cs-CZ"/>
        </w:rPr>
        <w:t xml:space="preserve"> a logistika</w:t>
      </w:r>
      <w:bookmarkEnd w:id="55"/>
      <w:bookmarkEnd w:id="56"/>
    </w:p>
    <w:p w:rsidR="005840C5" w:rsidRPr="00ED3950" w:rsidRDefault="00ED3950">
      <w:pPr>
        <w:rPr>
          <w:lang w:val="cs-CZ"/>
        </w:rPr>
      </w:pPr>
      <w:r w:rsidRPr="00ED3950">
        <w:rPr>
          <w:lang w:val="cs-CZ"/>
        </w:rPr>
        <w:t>Za účelem vzájemné výměny zkušeností mezi vybranými členskými státy byly uspořádány celkem tři webové semináře. Ty se konaly 26. ledna, 2. února a 16. února</w:t>
      </w:r>
      <w:r w:rsidRPr="00ED3950">
        <w:rPr>
          <w:rStyle w:val="Znakapoznpodarou"/>
          <w:lang w:val="cs-CZ"/>
        </w:rPr>
        <w:footnoteReference w:id="7"/>
      </w:r>
      <w:r w:rsidRPr="00ED3950">
        <w:rPr>
          <w:lang w:val="cs-CZ"/>
        </w:rPr>
        <w:t xml:space="preserve"> 2023. Všechny tři </w:t>
      </w:r>
      <w:proofErr w:type="spellStart"/>
      <w:r w:rsidRPr="00ED3950">
        <w:rPr>
          <w:lang w:val="cs-CZ"/>
        </w:rPr>
        <w:t>webináře</w:t>
      </w:r>
      <w:proofErr w:type="spellEnd"/>
      <w:r w:rsidRPr="00ED3950">
        <w:rPr>
          <w:lang w:val="cs-CZ"/>
        </w:rPr>
        <w:t xml:space="preserve"> se konaly online s využitím webové platfor</w:t>
      </w:r>
      <w:r w:rsidRPr="00ED3950">
        <w:rPr>
          <w:lang w:val="cs-CZ"/>
        </w:rPr>
        <w:t xml:space="preserve">my </w:t>
      </w:r>
      <w:proofErr w:type="spellStart"/>
      <w:r w:rsidRPr="00ED3950">
        <w:rPr>
          <w:lang w:val="cs-CZ"/>
        </w:rPr>
        <w:t>Teams</w:t>
      </w:r>
      <w:proofErr w:type="spellEnd"/>
      <w:r w:rsidRPr="00ED3950">
        <w:rPr>
          <w:lang w:val="cs-CZ"/>
        </w:rPr>
        <w:t xml:space="preserve">. Účast na všech </w:t>
      </w:r>
      <w:proofErr w:type="spellStart"/>
      <w:r w:rsidRPr="00ED3950">
        <w:rPr>
          <w:lang w:val="cs-CZ"/>
        </w:rPr>
        <w:t>webinářích</w:t>
      </w:r>
      <w:proofErr w:type="spellEnd"/>
      <w:r w:rsidRPr="00ED3950">
        <w:rPr>
          <w:lang w:val="cs-CZ"/>
        </w:rPr>
        <w:t xml:space="preserve"> byla více než uspokojivá: </w:t>
      </w:r>
    </w:p>
    <w:p w:rsidR="005840C5" w:rsidRPr="00ED3950" w:rsidRDefault="00ED3950">
      <w:pPr>
        <w:pStyle w:val="Odstavecseseznamem"/>
        <w:ind w:left="851" w:hanging="284"/>
        <w:rPr>
          <w:lang w:val="cs-CZ"/>
        </w:rPr>
      </w:pPr>
      <w:proofErr w:type="spellStart"/>
      <w:r w:rsidRPr="00ED3950">
        <w:rPr>
          <w:lang w:val="cs-CZ"/>
        </w:rPr>
        <w:t>Webinář</w:t>
      </w:r>
      <w:proofErr w:type="spellEnd"/>
      <w:r w:rsidRPr="00ED3950">
        <w:rPr>
          <w:lang w:val="cs-CZ"/>
        </w:rPr>
        <w:t xml:space="preserve"> 1 </w:t>
      </w:r>
      <w:proofErr w:type="gramStart"/>
      <w:r w:rsidRPr="00ED3950">
        <w:rPr>
          <w:lang w:val="cs-CZ"/>
        </w:rPr>
        <w:t>zaznamenal</w:t>
      </w:r>
      <w:proofErr w:type="gramEnd"/>
      <w:r w:rsidRPr="00ED3950">
        <w:rPr>
          <w:lang w:val="cs-CZ"/>
        </w:rPr>
        <w:t xml:space="preserve"> 132 registrovaných účastníků</w:t>
      </w:r>
      <w:r w:rsidRPr="00ED3950">
        <w:rPr>
          <w:rStyle w:val="Znakapoznpodarou"/>
          <w:lang w:val="cs-CZ"/>
        </w:rPr>
        <w:footnoteReference w:id="8"/>
      </w:r>
      <w:r w:rsidRPr="00ED3950">
        <w:rPr>
          <w:lang w:val="cs-CZ"/>
        </w:rPr>
        <w:t xml:space="preserve"> </w:t>
      </w:r>
      <w:r w:rsidRPr="00ED3950">
        <w:rPr>
          <w:lang w:val="cs-CZ"/>
        </w:rPr>
        <w:t xml:space="preserve">. Nejvíce jich </w:t>
      </w:r>
      <w:proofErr w:type="gramStart"/>
      <w:r w:rsidRPr="00ED3950">
        <w:rPr>
          <w:lang w:val="cs-CZ"/>
        </w:rPr>
        <w:t>bylo</w:t>
      </w:r>
      <w:proofErr w:type="gramEnd"/>
      <w:r w:rsidRPr="00ED3950">
        <w:rPr>
          <w:lang w:val="cs-CZ"/>
        </w:rPr>
        <w:t xml:space="preserve"> z České republiky (94), dále pak zástupci Evropské komise (11), Španělska (10), Slovenska (7), Belgie (6), Rakouska (3) a </w:t>
      </w:r>
      <w:r w:rsidRPr="00ED3950">
        <w:rPr>
          <w:lang w:val="cs-CZ"/>
        </w:rPr>
        <w:t>Finska (1).</w:t>
      </w:r>
    </w:p>
    <w:p w:rsidR="005840C5" w:rsidRPr="00ED3950" w:rsidRDefault="00ED3950">
      <w:pPr>
        <w:pStyle w:val="Odstavecseseznamem"/>
        <w:ind w:left="851" w:hanging="284"/>
        <w:rPr>
          <w:lang w:val="cs-CZ"/>
        </w:rPr>
      </w:pPr>
      <w:proofErr w:type="spellStart"/>
      <w:r w:rsidRPr="00ED3950">
        <w:rPr>
          <w:lang w:val="cs-CZ"/>
        </w:rPr>
        <w:t>Webináře</w:t>
      </w:r>
      <w:proofErr w:type="spellEnd"/>
      <w:r w:rsidRPr="00ED3950">
        <w:rPr>
          <w:lang w:val="cs-CZ"/>
        </w:rPr>
        <w:t xml:space="preserve"> 2 se zúčastnilo 102 účastníků. Většina z nich byla z České republiky (63), dále z Belgie (7), Slovenska a Španělska (po 6 účastnících), Finska a EU (po 5), Rakouska (3) a členů projektového týmu (7). Z toho většina účastníků sledovala </w:t>
      </w:r>
      <w:proofErr w:type="spellStart"/>
      <w:r w:rsidRPr="00ED3950">
        <w:rPr>
          <w:lang w:val="cs-CZ"/>
        </w:rPr>
        <w:t>webinář</w:t>
      </w:r>
      <w:proofErr w:type="spellEnd"/>
      <w:r w:rsidRPr="00ED3950">
        <w:rPr>
          <w:lang w:val="cs-CZ"/>
        </w:rPr>
        <w:t xml:space="preserve"> (83), přičemž 5 přednášejících, 5 zástupců Evropské komise, 2 zástupci a 7 členů projektového týmu.  </w:t>
      </w:r>
    </w:p>
    <w:p w:rsidR="005840C5" w:rsidRPr="00ED3950" w:rsidRDefault="00ED3950">
      <w:pPr>
        <w:pStyle w:val="Odstavecseseznamem"/>
        <w:ind w:left="851" w:hanging="284"/>
        <w:rPr>
          <w:lang w:val="cs-CZ"/>
        </w:rPr>
      </w:pPr>
      <w:proofErr w:type="spellStart"/>
      <w:r w:rsidRPr="00ED3950">
        <w:rPr>
          <w:lang w:val="cs-CZ"/>
        </w:rPr>
        <w:t>Webináře</w:t>
      </w:r>
      <w:proofErr w:type="spellEnd"/>
      <w:r w:rsidRPr="00ED3950">
        <w:rPr>
          <w:lang w:val="cs-CZ"/>
        </w:rPr>
        <w:t xml:space="preserve"> 3 </w:t>
      </w:r>
      <w:r w:rsidRPr="00ED3950">
        <w:rPr>
          <w:lang w:val="cs-CZ"/>
        </w:rPr>
        <w:t xml:space="preserve">se </w:t>
      </w:r>
      <w:r w:rsidRPr="00ED3950">
        <w:rPr>
          <w:lang w:val="cs-CZ"/>
        </w:rPr>
        <w:t>zúčastnilo 79 účastníků</w:t>
      </w:r>
      <w:r w:rsidRPr="00ED3950">
        <w:rPr>
          <w:lang w:val="cs-CZ"/>
        </w:rPr>
        <w:t xml:space="preserve">. </w:t>
      </w:r>
      <w:r w:rsidRPr="00ED3950">
        <w:rPr>
          <w:lang w:val="cs-CZ"/>
        </w:rPr>
        <w:t xml:space="preserve">Většina z nich byla z České republiky (44), dále z EU (8), Španělska (6), Belgie (5), Finska (5), Rakouska </w:t>
      </w:r>
      <w:r w:rsidRPr="00ED3950">
        <w:rPr>
          <w:lang w:val="cs-CZ"/>
        </w:rPr>
        <w:t>(3) a Slovenska (1). Zúčastnilo se jí také 5 členů projektového týmu a 2 zúčastněné strany, které neuvedly své údaje. Z nich se většina zúčastnila jako pozorovatelé (59), přičemž 5 řečníků, 5 zástupců Evropské komise, 3 zástupci Úřadu vlády ČR a 7 členů pr</w:t>
      </w:r>
      <w:r w:rsidRPr="00ED3950">
        <w:rPr>
          <w:lang w:val="cs-CZ"/>
        </w:rPr>
        <w:t xml:space="preserve">ojektového týmu. </w:t>
      </w:r>
    </w:p>
    <w:p w:rsidR="008A055F" w:rsidRPr="00ED3950" w:rsidRDefault="008A055F" w:rsidP="008A055F">
      <w:pPr>
        <w:rPr>
          <w:lang w:val="cs-CZ"/>
        </w:rPr>
      </w:pPr>
    </w:p>
    <w:p w:rsidR="005840C5" w:rsidRPr="00ED3950" w:rsidRDefault="00ED3950">
      <w:pPr>
        <w:rPr>
          <w:lang w:val="cs-CZ"/>
        </w:rPr>
      </w:pPr>
      <w:r w:rsidRPr="00ED3950">
        <w:rPr>
          <w:lang w:val="cs-CZ"/>
        </w:rPr>
        <w:t xml:space="preserve">Každý </w:t>
      </w:r>
      <w:proofErr w:type="spellStart"/>
      <w:r w:rsidRPr="00ED3950">
        <w:rPr>
          <w:lang w:val="cs-CZ"/>
        </w:rPr>
        <w:t>webinář</w:t>
      </w:r>
      <w:proofErr w:type="spellEnd"/>
      <w:r w:rsidRPr="00ED3950">
        <w:rPr>
          <w:lang w:val="cs-CZ"/>
        </w:rPr>
        <w:t xml:space="preserve"> byl naplánován samostatně, se samostatnými pozvánkami, registračními formuláři a podpůrnými dokumenty. Organizace každého </w:t>
      </w:r>
      <w:proofErr w:type="spellStart"/>
      <w:r w:rsidRPr="00ED3950">
        <w:rPr>
          <w:lang w:val="cs-CZ"/>
        </w:rPr>
        <w:t>webináře</w:t>
      </w:r>
      <w:proofErr w:type="spellEnd"/>
      <w:r w:rsidRPr="00ED3950">
        <w:rPr>
          <w:lang w:val="cs-CZ"/>
        </w:rPr>
        <w:t xml:space="preserve"> začala výběrem data, které vyhovovalo projektovému týmu, GŘ REFROM a příjemci. Jakmile bylo </w:t>
      </w:r>
      <w:r w:rsidRPr="00ED3950">
        <w:rPr>
          <w:lang w:val="cs-CZ"/>
        </w:rPr>
        <w:t>datum stanoveno, byla vybraným zúčastněným stranám rozeslána první sada pozvánek s upozorněním na termín a stručným vysvětlením účelu akce. Seznam pozvaných obsahoval pouze zástupce veřejných orgánů vybraných členských států, Česka a zástupce Evropské komi</w:t>
      </w:r>
      <w:r w:rsidRPr="00ED3950">
        <w:rPr>
          <w:lang w:val="cs-CZ"/>
        </w:rPr>
        <w:t xml:space="preserve">se. Po obdržení pozvánky byly zúčastněné strany požádány, aby se na akci zaregistrovaly. To umožnilo projektovému týmu i) sledovat počet a povahu očekávaných účastníků a </w:t>
      </w:r>
      <w:proofErr w:type="spellStart"/>
      <w:r w:rsidRPr="00ED3950">
        <w:rPr>
          <w:lang w:val="cs-CZ"/>
        </w:rPr>
        <w:t>ii</w:t>
      </w:r>
      <w:proofErr w:type="spellEnd"/>
      <w:r w:rsidRPr="00ED3950">
        <w:rPr>
          <w:lang w:val="cs-CZ"/>
        </w:rPr>
        <w:t>) požádat účastníky o souhlas se záznamem akce a sdílet a použít jejich kontaktní úd</w:t>
      </w:r>
      <w:r w:rsidRPr="00ED3950">
        <w:rPr>
          <w:lang w:val="cs-CZ"/>
        </w:rPr>
        <w:t xml:space="preserve">aje v případě dalších vzdělávacích akcí souvisejících s DNSH. </w:t>
      </w:r>
    </w:p>
    <w:p w:rsidR="008A055F" w:rsidRPr="00ED3950" w:rsidRDefault="008A055F" w:rsidP="008A055F">
      <w:pPr>
        <w:rPr>
          <w:lang w:val="cs-CZ"/>
        </w:rPr>
      </w:pPr>
    </w:p>
    <w:p w:rsidR="005840C5" w:rsidRPr="00ED3950" w:rsidRDefault="00ED3950">
      <w:pPr>
        <w:rPr>
          <w:lang w:val="cs-CZ"/>
        </w:rPr>
      </w:pPr>
      <w:r w:rsidRPr="00ED3950">
        <w:rPr>
          <w:lang w:val="cs-CZ"/>
        </w:rPr>
        <w:t xml:space="preserve">Týden předem obdrželi účastníci také další e-mail s podrobnostmi o obsahu každého konkrétního semináře a s příslušnými podpůrnými dokumenty, konkrétně s programem a koncepční zprávou. </w:t>
      </w:r>
    </w:p>
    <w:p w:rsidR="008A055F" w:rsidRPr="00ED3950" w:rsidRDefault="008A055F" w:rsidP="008A055F">
      <w:pPr>
        <w:rPr>
          <w:lang w:val="cs-CZ"/>
        </w:rPr>
      </w:pPr>
    </w:p>
    <w:p w:rsidR="005840C5" w:rsidRPr="00ED3950" w:rsidRDefault="00ED3950">
      <w:pPr>
        <w:rPr>
          <w:lang w:val="cs-CZ"/>
        </w:rPr>
      </w:pPr>
      <w:r w:rsidRPr="00ED3950">
        <w:rPr>
          <w:lang w:val="cs-CZ"/>
        </w:rPr>
        <w:t xml:space="preserve">Program každého </w:t>
      </w:r>
      <w:proofErr w:type="spellStart"/>
      <w:r w:rsidRPr="00ED3950">
        <w:rPr>
          <w:lang w:val="cs-CZ"/>
        </w:rPr>
        <w:t>webináře</w:t>
      </w:r>
      <w:proofErr w:type="spellEnd"/>
      <w:r w:rsidRPr="00ED3950">
        <w:rPr>
          <w:lang w:val="cs-CZ"/>
        </w:rPr>
        <w:t xml:space="preserve"> měl stejnou strukturu jako online akce v délce 2,5 hodiny. První polovina </w:t>
      </w:r>
      <w:proofErr w:type="spellStart"/>
      <w:r w:rsidRPr="00ED3950">
        <w:rPr>
          <w:lang w:val="cs-CZ"/>
        </w:rPr>
        <w:t>webináře</w:t>
      </w:r>
      <w:proofErr w:type="spellEnd"/>
      <w:r w:rsidRPr="00ED3950">
        <w:rPr>
          <w:lang w:val="cs-CZ"/>
        </w:rPr>
        <w:t xml:space="preserve"> byla věnována prezentacím řečníků. Každý </w:t>
      </w:r>
      <w:proofErr w:type="spellStart"/>
      <w:r w:rsidRPr="00ED3950">
        <w:rPr>
          <w:lang w:val="cs-CZ"/>
        </w:rPr>
        <w:t>webinář</w:t>
      </w:r>
      <w:proofErr w:type="spellEnd"/>
      <w:r w:rsidRPr="00ED3950">
        <w:rPr>
          <w:lang w:val="cs-CZ"/>
        </w:rPr>
        <w:t xml:space="preserve"> začínal krátkým představením jeho účelu, uvítacími slovy Úřadu vlády ČR nebo GŘ REFORM. První preze</w:t>
      </w:r>
      <w:r w:rsidRPr="00ED3950">
        <w:rPr>
          <w:lang w:val="cs-CZ"/>
        </w:rPr>
        <w:t xml:space="preserve">ntace akce byla vždy věnována "uvedení na scénu", kde byl představen český kontext ve vztahu k tématu každého </w:t>
      </w:r>
      <w:proofErr w:type="spellStart"/>
      <w:r w:rsidRPr="00ED3950">
        <w:rPr>
          <w:lang w:val="cs-CZ"/>
        </w:rPr>
        <w:t>webináře</w:t>
      </w:r>
      <w:proofErr w:type="spellEnd"/>
      <w:r w:rsidRPr="00ED3950">
        <w:rPr>
          <w:lang w:val="cs-CZ"/>
        </w:rPr>
        <w:t xml:space="preserve">, jak byl v průběhu studie sledován. Následovaly prezentace pozvaných řečníků; jeden řečník představil český přístup k DNSH a možné výzvy </w:t>
      </w:r>
      <w:r w:rsidRPr="00ED3950">
        <w:rPr>
          <w:lang w:val="cs-CZ"/>
        </w:rPr>
        <w:t xml:space="preserve">a dva řečníci z pozvaných členských států. Druhá polovina akce byla vyhrazena </w:t>
      </w:r>
      <w:r w:rsidRPr="00ED3950">
        <w:rPr>
          <w:lang w:val="cs-CZ"/>
        </w:rPr>
        <w:lastRenderedPageBreak/>
        <w:t xml:space="preserve">panelové diskusi. Každého panelu se zúčastnili řečníci, kteří prezentovali v první části </w:t>
      </w:r>
      <w:proofErr w:type="spellStart"/>
      <w:r w:rsidRPr="00ED3950">
        <w:rPr>
          <w:lang w:val="cs-CZ"/>
        </w:rPr>
        <w:t>webináře</w:t>
      </w:r>
      <w:proofErr w:type="spellEnd"/>
      <w:r w:rsidRPr="00ED3950">
        <w:rPr>
          <w:lang w:val="cs-CZ"/>
        </w:rPr>
        <w:t>, a (v některých případech) někteří další řečníci z pozvaných členských států. Pa</w:t>
      </w:r>
      <w:r w:rsidRPr="00ED3950">
        <w:rPr>
          <w:lang w:val="cs-CZ"/>
        </w:rPr>
        <w:t xml:space="preserve">nel moderoval člen projektového týmu. Diskuze byla formulována na základě několika hlavních otázek, které byly řečníkům a účastníkům předány před </w:t>
      </w:r>
      <w:proofErr w:type="spellStart"/>
      <w:r w:rsidRPr="00ED3950">
        <w:rPr>
          <w:lang w:val="cs-CZ"/>
        </w:rPr>
        <w:t>webinářem</w:t>
      </w:r>
      <w:proofErr w:type="spellEnd"/>
      <w:r w:rsidRPr="00ED3950">
        <w:rPr>
          <w:lang w:val="cs-CZ"/>
        </w:rPr>
        <w:t xml:space="preserve"> jako součást podkladových materiálů. Kromě toho měli účastníci také možnost vznést další otázky, kte</w:t>
      </w:r>
      <w:r w:rsidRPr="00ED3950">
        <w:rPr>
          <w:lang w:val="cs-CZ"/>
        </w:rPr>
        <w:t xml:space="preserve">ré si přáli, aby jim </w:t>
      </w:r>
      <w:proofErr w:type="spellStart"/>
      <w:r w:rsidRPr="00ED3950">
        <w:rPr>
          <w:lang w:val="cs-CZ"/>
        </w:rPr>
        <w:t>panelisté</w:t>
      </w:r>
      <w:proofErr w:type="spellEnd"/>
      <w:r w:rsidRPr="00ED3950">
        <w:rPr>
          <w:lang w:val="cs-CZ"/>
        </w:rPr>
        <w:t xml:space="preserve"> zodpověděli. Setkání bylo zakončeno stručným shrnutím jeho obsahu moderátorem a závěrečnými poznámkami Úřadu vlády nebo GŘ REFORM. </w:t>
      </w:r>
    </w:p>
    <w:p w:rsidR="008A055F" w:rsidRPr="00ED3950" w:rsidRDefault="008A055F" w:rsidP="003C69D4">
      <w:pPr>
        <w:rPr>
          <w:lang w:val="cs-CZ"/>
        </w:rPr>
      </w:pPr>
    </w:p>
    <w:p w:rsidR="005840C5" w:rsidRPr="00ED3950" w:rsidRDefault="00ED3950">
      <w:pPr>
        <w:pStyle w:val="Nadpis2"/>
        <w:numPr>
          <w:ilvl w:val="0"/>
          <w:numId w:val="0"/>
        </w:numPr>
        <w:ind w:left="567"/>
        <w:rPr>
          <w:lang w:val="cs-CZ"/>
        </w:rPr>
      </w:pPr>
      <w:bookmarkStart w:id="57" w:name="_Toc131757463"/>
      <w:bookmarkStart w:id="58" w:name="_Toc131775856"/>
      <w:proofErr w:type="gramStart"/>
      <w:r w:rsidRPr="00ED3950">
        <w:rPr>
          <w:lang w:val="cs-CZ"/>
        </w:rPr>
        <w:t>A.2</w:t>
      </w:r>
      <w:r w:rsidRPr="00ED3950">
        <w:rPr>
          <w:lang w:val="cs-CZ"/>
        </w:rPr>
        <w:tab/>
      </w:r>
      <w:r w:rsidR="008A055F" w:rsidRPr="00ED3950">
        <w:rPr>
          <w:lang w:val="cs-CZ"/>
        </w:rPr>
        <w:t>Reflexe</w:t>
      </w:r>
      <w:proofErr w:type="gramEnd"/>
      <w:r w:rsidR="008A055F" w:rsidRPr="00ED3950">
        <w:rPr>
          <w:lang w:val="cs-CZ"/>
        </w:rPr>
        <w:t xml:space="preserve"> a hodnocení procesu</w:t>
      </w:r>
      <w:bookmarkEnd w:id="57"/>
      <w:bookmarkEnd w:id="58"/>
    </w:p>
    <w:p w:rsidR="005840C5" w:rsidRPr="00ED3950" w:rsidRDefault="00ED3950">
      <w:pPr>
        <w:rPr>
          <w:lang w:val="cs-CZ"/>
        </w:rPr>
      </w:pPr>
      <w:proofErr w:type="spellStart"/>
      <w:r w:rsidRPr="00ED3950">
        <w:rPr>
          <w:lang w:val="cs-CZ"/>
        </w:rPr>
        <w:t>Webináře</w:t>
      </w:r>
      <w:proofErr w:type="spellEnd"/>
      <w:r w:rsidRPr="00ED3950">
        <w:rPr>
          <w:lang w:val="cs-CZ"/>
        </w:rPr>
        <w:t xml:space="preserve"> byly obecně považovány za úspěšné, s vysokou účastí (která také trvala po celou dobu trvání každé akce) a s dobře připravenými a znalými řečníky. Několik účastníků také ocenilo dobře provedenou a profesionální akci.</w:t>
      </w:r>
    </w:p>
    <w:p w:rsidR="008A055F" w:rsidRPr="00ED3950" w:rsidRDefault="008A055F" w:rsidP="008A055F">
      <w:pPr>
        <w:rPr>
          <w:lang w:val="cs-CZ"/>
        </w:rPr>
      </w:pPr>
    </w:p>
    <w:p w:rsidR="005840C5" w:rsidRPr="00ED3950" w:rsidRDefault="00ED3950">
      <w:pPr>
        <w:rPr>
          <w:lang w:val="cs-CZ"/>
        </w:rPr>
      </w:pPr>
      <w:r w:rsidRPr="00ED3950">
        <w:rPr>
          <w:lang w:val="cs-CZ"/>
        </w:rPr>
        <w:t xml:space="preserve">Během pořádání </w:t>
      </w:r>
      <w:proofErr w:type="spellStart"/>
      <w:r w:rsidRPr="00ED3950">
        <w:rPr>
          <w:lang w:val="cs-CZ"/>
        </w:rPr>
        <w:t>webinářů</w:t>
      </w:r>
      <w:proofErr w:type="spellEnd"/>
      <w:r w:rsidRPr="00ED3950">
        <w:rPr>
          <w:lang w:val="cs-CZ"/>
        </w:rPr>
        <w:t xml:space="preserve"> a po j</w:t>
      </w:r>
      <w:r w:rsidRPr="00ED3950">
        <w:rPr>
          <w:lang w:val="cs-CZ"/>
        </w:rPr>
        <w:t xml:space="preserve">ejich skončení se projektový tým pravidelně zamýšlel nad jejich organizací. Již v průběhu pořádání </w:t>
      </w:r>
      <w:proofErr w:type="spellStart"/>
      <w:r w:rsidRPr="00ED3950">
        <w:rPr>
          <w:lang w:val="cs-CZ"/>
        </w:rPr>
        <w:t>webinářů</w:t>
      </w:r>
      <w:proofErr w:type="spellEnd"/>
      <w:r w:rsidRPr="00ED3950">
        <w:rPr>
          <w:lang w:val="cs-CZ"/>
        </w:rPr>
        <w:t xml:space="preserve"> byly identifikovány některé poznatky, které se přímo promítly do organizace následujících </w:t>
      </w:r>
      <w:proofErr w:type="spellStart"/>
      <w:r w:rsidRPr="00ED3950">
        <w:rPr>
          <w:lang w:val="cs-CZ"/>
        </w:rPr>
        <w:t>webinářů</w:t>
      </w:r>
      <w:proofErr w:type="spellEnd"/>
      <w:r w:rsidRPr="00ED3950">
        <w:rPr>
          <w:lang w:val="cs-CZ"/>
        </w:rPr>
        <w:t xml:space="preserve">, </w:t>
      </w:r>
      <w:proofErr w:type="spellStart"/>
      <w:r w:rsidRPr="00ED3950">
        <w:rPr>
          <w:lang w:val="cs-CZ"/>
        </w:rPr>
        <w:t>např</w:t>
      </w:r>
      <w:proofErr w:type="spellEnd"/>
      <w:r w:rsidRPr="00ED3950">
        <w:rPr>
          <w:lang w:val="cs-CZ"/>
        </w:rPr>
        <w:t>:</w:t>
      </w:r>
    </w:p>
    <w:p w:rsidR="005840C5" w:rsidRPr="00ED3950" w:rsidRDefault="00ED3950">
      <w:pPr>
        <w:pStyle w:val="Odstavecseseznamem"/>
        <w:ind w:left="851" w:hanging="284"/>
        <w:rPr>
          <w:lang w:val="cs-CZ"/>
        </w:rPr>
      </w:pPr>
      <w:r w:rsidRPr="00ED3950">
        <w:rPr>
          <w:b/>
          <w:bCs/>
          <w:lang w:val="cs-CZ"/>
        </w:rPr>
        <w:t xml:space="preserve">Flexibilita </w:t>
      </w:r>
      <w:r w:rsidRPr="00ED3950">
        <w:rPr>
          <w:lang w:val="cs-CZ"/>
        </w:rPr>
        <w:t>při přizpůsobování délky preze</w:t>
      </w:r>
      <w:r w:rsidRPr="00ED3950">
        <w:rPr>
          <w:lang w:val="cs-CZ"/>
        </w:rPr>
        <w:t>ntací a/nebo panelové diskuse konkrétním řečníkům a/nebo účastníkům diskuse;</w:t>
      </w:r>
    </w:p>
    <w:p w:rsidR="005840C5" w:rsidRPr="00ED3950" w:rsidRDefault="00ED3950">
      <w:pPr>
        <w:pStyle w:val="Odstavecseseznamem"/>
        <w:ind w:left="851" w:hanging="284"/>
        <w:rPr>
          <w:lang w:val="cs-CZ"/>
        </w:rPr>
      </w:pPr>
      <w:r w:rsidRPr="00ED3950">
        <w:rPr>
          <w:lang w:val="cs-CZ"/>
        </w:rPr>
        <w:t xml:space="preserve">vypracování seznamu </w:t>
      </w:r>
      <w:r w:rsidRPr="00ED3950">
        <w:rPr>
          <w:b/>
          <w:bCs/>
          <w:lang w:val="cs-CZ"/>
        </w:rPr>
        <w:t xml:space="preserve">dalších (stínových) otázek, které budou v </w:t>
      </w:r>
      <w:r w:rsidRPr="00ED3950">
        <w:rPr>
          <w:lang w:val="cs-CZ"/>
        </w:rPr>
        <w:t>případě potřeby položeny během panelových diskusí, nebo</w:t>
      </w:r>
    </w:p>
    <w:p w:rsidR="005840C5" w:rsidRPr="00ED3950" w:rsidRDefault="00ED3950">
      <w:pPr>
        <w:pStyle w:val="Odstavecseseznamem"/>
        <w:ind w:left="851" w:hanging="284"/>
        <w:rPr>
          <w:lang w:val="cs-CZ"/>
        </w:rPr>
      </w:pPr>
      <w:r w:rsidRPr="00ED3950">
        <w:rPr>
          <w:lang w:val="cs-CZ"/>
        </w:rPr>
        <w:t>Členové projektového týmu v pohotovosti během samotné panelov</w:t>
      </w:r>
      <w:r w:rsidRPr="00ED3950">
        <w:rPr>
          <w:lang w:val="cs-CZ"/>
        </w:rPr>
        <w:t xml:space="preserve">é diskuse, aby mohli připravit </w:t>
      </w:r>
      <w:r w:rsidRPr="00ED3950">
        <w:rPr>
          <w:b/>
          <w:bCs/>
          <w:lang w:val="cs-CZ"/>
        </w:rPr>
        <w:t xml:space="preserve">ad hoc doplňující otázky na </w:t>
      </w:r>
      <w:r w:rsidRPr="00ED3950">
        <w:rPr>
          <w:lang w:val="cs-CZ"/>
        </w:rPr>
        <w:t xml:space="preserve">základě odpovědí účastníků diskuse. </w:t>
      </w:r>
    </w:p>
    <w:p w:rsidR="008A055F" w:rsidRPr="00ED3950" w:rsidRDefault="008A055F" w:rsidP="008A055F">
      <w:pPr>
        <w:rPr>
          <w:lang w:val="cs-CZ"/>
        </w:rPr>
      </w:pPr>
    </w:p>
    <w:p w:rsidR="005840C5" w:rsidRPr="00ED3950" w:rsidRDefault="00ED3950">
      <w:pPr>
        <w:rPr>
          <w:lang w:val="cs-CZ"/>
        </w:rPr>
      </w:pPr>
      <w:r w:rsidRPr="00ED3950">
        <w:rPr>
          <w:lang w:val="cs-CZ"/>
        </w:rPr>
        <w:t xml:space="preserve">Po skončení </w:t>
      </w:r>
      <w:proofErr w:type="spellStart"/>
      <w:r w:rsidRPr="00ED3950">
        <w:rPr>
          <w:lang w:val="cs-CZ"/>
        </w:rPr>
        <w:t>webinářů</w:t>
      </w:r>
      <w:proofErr w:type="spellEnd"/>
      <w:r w:rsidRPr="00ED3950">
        <w:rPr>
          <w:lang w:val="cs-CZ"/>
        </w:rPr>
        <w:t xml:space="preserve"> byla zjištěna řada poznatků, které lze rozdělit do dvou hlavních skupin: i) poznatky, které lze uplatnit při plánování budoucích akcí v so</w:t>
      </w:r>
      <w:r w:rsidRPr="00ED3950">
        <w:rPr>
          <w:lang w:val="cs-CZ"/>
        </w:rPr>
        <w:t xml:space="preserve">uvislosti s DNSH, a </w:t>
      </w:r>
      <w:proofErr w:type="spellStart"/>
      <w:r w:rsidRPr="00ED3950">
        <w:rPr>
          <w:lang w:val="cs-CZ"/>
        </w:rPr>
        <w:t>ii</w:t>
      </w:r>
      <w:proofErr w:type="spellEnd"/>
      <w:r w:rsidRPr="00ED3950">
        <w:rPr>
          <w:lang w:val="cs-CZ"/>
        </w:rPr>
        <w:t xml:space="preserve">) praktické poznatky, které lze uplatnit při </w:t>
      </w:r>
      <w:r w:rsidRPr="00ED3950">
        <w:rPr>
          <w:lang w:val="cs-CZ"/>
        </w:rPr>
        <w:t xml:space="preserve">organizaci </w:t>
      </w:r>
      <w:r w:rsidRPr="00ED3950">
        <w:rPr>
          <w:lang w:val="cs-CZ"/>
        </w:rPr>
        <w:t xml:space="preserve">jakékoli online akce. </w:t>
      </w:r>
    </w:p>
    <w:p w:rsidR="008A055F" w:rsidRPr="00ED3950" w:rsidRDefault="008A055F" w:rsidP="008A055F">
      <w:pPr>
        <w:rPr>
          <w:lang w:val="cs-CZ"/>
        </w:rPr>
      </w:pPr>
    </w:p>
    <w:p w:rsidR="005840C5" w:rsidRPr="00ED3950" w:rsidRDefault="00ED3950">
      <w:pPr>
        <w:rPr>
          <w:lang w:val="cs-CZ"/>
        </w:rPr>
      </w:pPr>
      <w:r w:rsidRPr="00ED3950">
        <w:rPr>
          <w:lang w:val="cs-CZ"/>
        </w:rPr>
        <w:t xml:space="preserve">V souvislosti s </w:t>
      </w:r>
      <w:r w:rsidRPr="00ED3950">
        <w:rPr>
          <w:b/>
          <w:bCs/>
          <w:u w:val="single"/>
          <w:lang w:val="cs-CZ"/>
        </w:rPr>
        <w:t xml:space="preserve">potenciálními budoucími akcemi DNSH </w:t>
      </w:r>
      <w:r w:rsidRPr="00ED3950">
        <w:rPr>
          <w:lang w:val="cs-CZ"/>
        </w:rPr>
        <w:t xml:space="preserve">bylo hlavním poznatkem stanovit </w:t>
      </w:r>
      <w:r w:rsidRPr="00ED3950">
        <w:rPr>
          <w:b/>
          <w:bCs/>
          <w:lang w:val="cs-CZ"/>
        </w:rPr>
        <w:t xml:space="preserve">cíl, záměr a požadovaný dopad akce </w:t>
      </w:r>
      <w:r w:rsidRPr="00ED3950">
        <w:rPr>
          <w:lang w:val="cs-CZ"/>
        </w:rPr>
        <w:t xml:space="preserve">a </w:t>
      </w:r>
      <w:r w:rsidRPr="00ED3950">
        <w:rPr>
          <w:b/>
          <w:bCs/>
          <w:lang w:val="cs-CZ"/>
        </w:rPr>
        <w:t>jasně jej sdělit publiku a řečník</w:t>
      </w:r>
      <w:r w:rsidRPr="00ED3950">
        <w:rPr>
          <w:b/>
          <w:bCs/>
          <w:lang w:val="cs-CZ"/>
        </w:rPr>
        <w:t>ům</w:t>
      </w:r>
      <w:r w:rsidRPr="00ED3950">
        <w:rPr>
          <w:lang w:val="cs-CZ"/>
        </w:rPr>
        <w:t>. To může být pro akci přínosné v několika směrech:</w:t>
      </w:r>
    </w:p>
    <w:p w:rsidR="005840C5" w:rsidRPr="00ED3950" w:rsidRDefault="00ED3950">
      <w:pPr>
        <w:pStyle w:val="Odstavecseseznamem"/>
        <w:ind w:left="851" w:hanging="284"/>
        <w:rPr>
          <w:lang w:val="cs-CZ"/>
        </w:rPr>
      </w:pPr>
      <w:r w:rsidRPr="00ED3950">
        <w:rPr>
          <w:lang w:val="cs-CZ"/>
        </w:rPr>
        <w:t xml:space="preserve">Zaprvé to umožní pozvat nejvhodnější řečníky pro daný cíl a požadovaný dopad. </w:t>
      </w:r>
    </w:p>
    <w:p w:rsidR="005840C5" w:rsidRPr="00ED3950" w:rsidRDefault="00ED3950">
      <w:pPr>
        <w:pStyle w:val="Odstavecseseznamem"/>
        <w:ind w:left="851" w:hanging="284"/>
        <w:rPr>
          <w:lang w:val="cs-CZ"/>
        </w:rPr>
      </w:pPr>
      <w:r w:rsidRPr="00ED3950">
        <w:rPr>
          <w:lang w:val="cs-CZ"/>
        </w:rPr>
        <w:t xml:space="preserve">Za druhé, jakmile je stanoven cíl a požadovaný dopad akce, lze rozhodnout o její struktuře. Ze zkušeností vyplývá, že </w:t>
      </w:r>
      <w:proofErr w:type="spellStart"/>
      <w:r w:rsidRPr="00ED3950">
        <w:rPr>
          <w:lang w:val="cs-CZ"/>
        </w:rPr>
        <w:t>webin</w:t>
      </w:r>
      <w:r w:rsidRPr="00ED3950">
        <w:rPr>
          <w:lang w:val="cs-CZ"/>
        </w:rPr>
        <w:t>áře</w:t>
      </w:r>
      <w:proofErr w:type="spellEnd"/>
      <w:r w:rsidRPr="00ED3950">
        <w:rPr>
          <w:lang w:val="cs-CZ"/>
        </w:rPr>
        <w:t xml:space="preserve"> a/nebo online akce s větším počtem posluchačů jsou vhodným prostředkem pro prezentace a výměnu zkušeností, jako tomu bylo v případě </w:t>
      </w:r>
      <w:proofErr w:type="spellStart"/>
      <w:r w:rsidRPr="00ED3950">
        <w:rPr>
          <w:lang w:val="cs-CZ"/>
        </w:rPr>
        <w:t>webinářů</w:t>
      </w:r>
      <w:proofErr w:type="spellEnd"/>
      <w:r w:rsidRPr="00ED3950">
        <w:rPr>
          <w:lang w:val="cs-CZ"/>
        </w:rPr>
        <w:t xml:space="preserve"> DLV3. Může však být také užitečné naplánovat navazující akce menšího rozsahu mezi členskými státy, které sdílej</w:t>
      </w:r>
      <w:r w:rsidRPr="00ED3950">
        <w:rPr>
          <w:lang w:val="cs-CZ"/>
        </w:rPr>
        <w:t>í podobné problémy, kde lze v menším prostředí diskutovat o konkrétnějších otázkách. Menší prostředí také může účastníkům umožnit větší otevřenost a upřímnost než za přítomnosti velkého publika.</w:t>
      </w:r>
    </w:p>
    <w:p w:rsidR="005840C5" w:rsidRPr="00ED3950" w:rsidRDefault="00ED3950">
      <w:pPr>
        <w:pStyle w:val="Odstavecseseznamem"/>
        <w:ind w:left="851" w:hanging="284"/>
        <w:rPr>
          <w:lang w:val="cs-CZ"/>
        </w:rPr>
      </w:pPr>
      <w:r w:rsidRPr="00ED3950">
        <w:rPr>
          <w:lang w:val="cs-CZ"/>
        </w:rPr>
        <w:t>Zatřetí bude pro účastníky užitečné při dalším šíření pozvánk</w:t>
      </w:r>
      <w:r w:rsidRPr="00ED3950">
        <w:rPr>
          <w:lang w:val="cs-CZ"/>
        </w:rPr>
        <w:t xml:space="preserve">y co nejlépe identifikovat další účastníky, kteří by mohli mít z akce prospěch. </w:t>
      </w:r>
    </w:p>
    <w:p w:rsidR="008A055F" w:rsidRPr="00ED3950" w:rsidRDefault="008A055F" w:rsidP="008A055F">
      <w:pPr>
        <w:rPr>
          <w:lang w:val="cs-CZ"/>
        </w:rPr>
      </w:pPr>
    </w:p>
    <w:p w:rsidR="005840C5" w:rsidRPr="00ED3950" w:rsidRDefault="00ED3950">
      <w:pPr>
        <w:rPr>
          <w:lang w:val="cs-CZ"/>
        </w:rPr>
      </w:pPr>
      <w:r w:rsidRPr="00ED3950">
        <w:rPr>
          <w:lang w:val="cs-CZ"/>
        </w:rPr>
        <w:t xml:space="preserve">Za druhé, byla také identifikována řada </w:t>
      </w:r>
      <w:r w:rsidRPr="00ED3950">
        <w:rPr>
          <w:b/>
          <w:bCs/>
          <w:u w:val="single"/>
          <w:lang w:val="cs-CZ"/>
        </w:rPr>
        <w:t xml:space="preserve">praktických poznatků pro </w:t>
      </w:r>
      <w:r w:rsidRPr="00ED3950">
        <w:rPr>
          <w:b/>
          <w:u w:val="single"/>
          <w:lang w:val="cs-CZ"/>
        </w:rPr>
        <w:t xml:space="preserve">organizaci </w:t>
      </w:r>
      <w:proofErr w:type="spellStart"/>
      <w:r w:rsidRPr="00ED3950">
        <w:rPr>
          <w:b/>
          <w:bCs/>
          <w:u w:val="single"/>
          <w:lang w:val="cs-CZ"/>
        </w:rPr>
        <w:t>webinářů</w:t>
      </w:r>
      <w:proofErr w:type="spellEnd"/>
      <w:r w:rsidRPr="00ED3950">
        <w:rPr>
          <w:b/>
          <w:bCs/>
          <w:u w:val="single"/>
          <w:lang w:val="cs-CZ"/>
        </w:rPr>
        <w:t xml:space="preserve">, které lze aplikovat na jakékoli online akce: </w:t>
      </w:r>
    </w:p>
    <w:p w:rsidR="005840C5" w:rsidRPr="00ED3950" w:rsidRDefault="00ED3950">
      <w:pPr>
        <w:pStyle w:val="Odstavecseseznamem"/>
        <w:ind w:left="851" w:hanging="284"/>
        <w:rPr>
          <w:lang w:val="cs-CZ"/>
        </w:rPr>
      </w:pPr>
      <w:r w:rsidRPr="00ED3950">
        <w:rPr>
          <w:lang w:val="cs-CZ"/>
        </w:rPr>
        <w:t>Nejzásadnějším poznatkem je, že je třeba s</w:t>
      </w:r>
      <w:r w:rsidRPr="00ED3950">
        <w:rPr>
          <w:lang w:val="cs-CZ"/>
        </w:rPr>
        <w:t xml:space="preserve">i na naplánování a přípravu akce vyhradit dostatek času. </w:t>
      </w:r>
    </w:p>
    <w:p w:rsidR="005840C5" w:rsidRPr="00ED3950" w:rsidRDefault="00ED3950">
      <w:pPr>
        <w:pStyle w:val="Odstavecseseznamem"/>
        <w:ind w:left="851" w:hanging="284"/>
        <w:rPr>
          <w:lang w:val="cs-CZ"/>
        </w:rPr>
      </w:pPr>
      <w:r w:rsidRPr="00ED3950">
        <w:rPr>
          <w:lang w:val="cs-CZ"/>
        </w:rPr>
        <w:lastRenderedPageBreak/>
        <w:t>Vypracování interního protokolu nebo plánu organizace akce s přidělenými rolemi a časovým plánem pomáhá zajistit, aby byly všechny kroky provedeny včas a na nic se nezapomnělo.</w:t>
      </w:r>
    </w:p>
    <w:p w:rsidR="005840C5" w:rsidRPr="00ED3950" w:rsidRDefault="00ED3950">
      <w:pPr>
        <w:pStyle w:val="Odstavecseseznamem"/>
        <w:ind w:left="851" w:hanging="284"/>
        <w:rPr>
          <w:lang w:val="cs-CZ"/>
        </w:rPr>
      </w:pPr>
      <w:r w:rsidRPr="00ED3950">
        <w:rPr>
          <w:lang w:val="cs-CZ"/>
        </w:rPr>
        <w:t>Výběr data konání akc</w:t>
      </w:r>
      <w:r w:rsidRPr="00ED3950">
        <w:rPr>
          <w:lang w:val="cs-CZ"/>
        </w:rPr>
        <w:t>e a řečníků by měl probíhat souběžně, aby se předešlo tomu, že klíčoví řečníci nebudou ve zvoleném termínu k dispozici.</w:t>
      </w:r>
    </w:p>
    <w:p w:rsidR="005840C5" w:rsidRPr="00ED3950" w:rsidRDefault="00ED3950">
      <w:pPr>
        <w:pStyle w:val="Odstavecseseznamem"/>
        <w:ind w:left="851" w:hanging="284"/>
        <w:rPr>
          <w:lang w:val="cs-CZ"/>
        </w:rPr>
      </w:pPr>
      <w:r w:rsidRPr="00ED3950">
        <w:rPr>
          <w:lang w:val="cs-CZ"/>
        </w:rPr>
        <w:t xml:space="preserve">Po potvrzení řečníků a přípravě (návrhu) programu je vhodné naplánovat přípravnou schůzku s řečníky (a/nebo </w:t>
      </w:r>
      <w:proofErr w:type="spellStart"/>
      <w:r w:rsidRPr="00ED3950">
        <w:rPr>
          <w:lang w:val="cs-CZ"/>
        </w:rPr>
        <w:t>panelisty</w:t>
      </w:r>
      <w:proofErr w:type="spellEnd"/>
      <w:r w:rsidRPr="00ED3950">
        <w:rPr>
          <w:lang w:val="cs-CZ"/>
        </w:rPr>
        <w:t>). To jim umožní ne</w:t>
      </w:r>
      <w:r w:rsidRPr="00ED3950">
        <w:rPr>
          <w:lang w:val="cs-CZ"/>
        </w:rPr>
        <w:t xml:space="preserve">jen seznámit se s online platformou a otestovat její funkčnost, ale také poskytne řečníkům a moderátorovi příležitost setkat se před setkáním, což může být přínosné zejména během diskusí. </w:t>
      </w:r>
    </w:p>
    <w:p w:rsidR="005840C5" w:rsidRPr="00ED3950" w:rsidRDefault="00ED3950">
      <w:pPr>
        <w:pStyle w:val="Odstavecseseznamem"/>
        <w:ind w:left="851" w:hanging="284"/>
        <w:rPr>
          <w:lang w:val="cs-CZ"/>
        </w:rPr>
      </w:pPr>
      <w:r w:rsidRPr="00ED3950">
        <w:rPr>
          <w:lang w:val="cs-CZ"/>
        </w:rPr>
        <w:t>Pokud řečníci prezentují své vlastní prezentace, je užitečné požáda</w:t>
      </w:r>
      <w:r w:rsidRPr="00ED3950">
        <w:rPr>
          <w:lang w:val="cs-CZ"/>
        </w:rPr>
        <w:t>t o jejich zaslání předem, což umožní kontrolu kvality a případné následné kroky. Pokud je to možné, může být užitečné řečníkům také poskytnout jasné instrukce ohledně osnovy prezentace a její požadované délky, například vypracováním stručné šablony, která</w:t>
      </w:r>
      <w:r w:rsidRPr="00ED3950">
        <w:rPr>
          <w:lang w:val="cs-CZ"/>
        </w:rPr>
        <w:t xml:space="preserve"> je následně sdílena s řečníky. </w:t>
      </w:r>
    </w:p>
    <w:p w:rsidR="005840C5" w:rsidRPr="00ED3950" w:rsidRDefault="00ED3950">
      <w:pPr>
        <w:pStyle w:val="Odstavecseseznamem"/>
        <w:ind w:left="851" w:hanging="284"/>
        <w:rPr>
          <w:lang w:val="cs-CZ"/>
        </w:rPr>
      </w:pPr>
      <w:r w:rsidRPr="00ED3950">
        <w:rPr>
          <w:lang w:val="cs-CZ"/>
        </w:rPr>
        <w:t>Užitečné bylo také více než jedno oslovení zúčastněných stran během přípravné fáze, protože může sloužit jako přirozená připomínka události. Jako pravidlo se osvědčily tři e-maily na jednu akci (1) uložení data a úvod k akc</w:t>
      </w:r>
      <w:r w:rsidRPr="00ED3950">
        <w:rPr>
          <w:lang w:val="cs-CZ"/>
        </w:rPr>
        <w:t xml:space="preserve">i, 2) konkrétnější informace s programem a podklady a 3) poděkování a následné informace s dalšími dokumenty, např. s prezentacemi). </w:t>
      </w:r>
    </w:p>
    <w:p w:rsidR="005840C5" w:rsidRPr="00ED3950" w:rsidRDefault="00ED3950">
      <w:pPr>
        <w:pStyle w:val="Odstavecseseznamem"/>
        <w:ind w:left="851" w:hanging="284"/>
        <w:rPr>
          <w:lang w:val="cs-CZ"/>
        </w:rPr>
      </w:pPr>
      <w:r w:rsidRPr="00ED3950">
        <w:rPr>
          <w:lang w:val="cs-CZ"/>
        </w:rPr>
        <w:t>Ukázalo se také, že je užitečné vytvořit pro událost vyhrazenou schránku, protože umožňuje centralizovanou výměnu informac</w:t>
      </w:r>
      <w:r w:rsidRPr="00ED3950">
        <w:rPr>
          <w:lang w:val="cs-CZ"/>
        </w:rPr>
        <w:t xml:space="preserve">í s řečníky a účastníky, kterou může spravovat několik lidí najednou, aby byla zajištěna včasná komunikace. </w:t>
      </w:r>
    </w:p>
    <w:p w:rsidR="005840C5" w:rsidRPr="00ED3950" w:rsidRDefault="00ED3950">
      <w:pPr>
        <w:pStyle w:val="Odstavecseseznamem"/>
        <w:ind w:left="851" w:hanging="284"/>
        <w:rPr>
          <w:lang w:val="cs-CZ"/>
        </w:rPr>
      </w:pPr>
      <w:r w:rsidRPr="00ED3950">
        <w:rPr>
          <w:lang w:val="cs-CZ"/>
        </w:rPr>
        <w:t xml:space="preserve">Struktura materiálů poskytnutých účastníkům pomáhá profesionalizovat akci a nastavit očekávání. </w:t>
      </w:r>
    </w:p>
    <w:p w:rsidR="008A055F" w:rsidRPr="00ED3950" w:rsidRDefault="008A055F" w:rsidP="008A055F">
      <w:pPr>
        <w:rPr>
          <w:lang w:val="cs-CZ"/>
        </w:rPr>
      </w:pPr>
    </w:p>
    <w:p w:rsidR="005840C5" w:rsidRPr="00ED3950" w:rsidRDefault="00ED3950">
      <w:pPr>
        <w:pStyle w:val="Nadpis4"/>
        <w:rPr>
          <w:lang w:val="cs-CZ"/>
        </w:rPr>
      </w:pPr>
      <w:r w:rsidRPr="00ED3950">
        <w:rPr>
          <w:lang w:val="cs-CZ"/>
        </w:rPr>
        <w:t>Potenciální návaznost na webové semináře</w:t>
      </w:r>
    </w:p>
    <w:p w:rsidR="005840C5" w:rsidRPr="00ED3950" w:rsidRDefault="00ED3950">
      <w:pPr>
        <w:rPr>
          <w:lang w:val="cs-CZ"/>
        </w:rPr>
      </w:pPr>
      <w:r w:rsidRPr="00ED3950">
        <w:rPr>
          <w:lang w:val="cs-CZ"/>
        </w:rPr>
        <w:t>Jak bylo uvedeno výše, během registrační fáze byly shromážděny kontaktní údaje zúčastněných stran, které mají zájem o potenciální budoucí výměny. V tuto chvíli nebyly naplánovány žádné další výměny mezi příslušnými orgány členských států, nicméně pokud o t</w:t>
      </w:r>
      <w:r w:rsidRPr="00ED3950">
        <w:rPr>
          <w:lang w:val="cs-CZ"/>
        </w:rPr>
        <w:t xml:space="preserve">o zúčastněné strany projeví zájem, může projektový tým sloužit jako prostředník pro první kontakty. </w:t>
      </w:r>
    </w:p>
    <w:p w:rsidR="008A055F" w:rsidRPr="00ED3950" w:rsidRDefault="008A055F" w:rsidP="008A055F">
      <w:pPr>
        <w:rPr>
          <w:lang w:val="cs-CZ"/>
        </w:rPr>
      </w:pPr>
    </w:p>
    <w:p w:rsidR="00FA18EE" w:rsidRPr="00ED3950" w:rsidRDefault="003C69D4" w:rsidP="00FA18EE">
      <w:pPr>
        <w:rPr>
          <w:lang w:val="cs-CZ"/>
        </w:rPr>
      </w:pPr>
      <w:r w:rsidRPr="00ED3950">
        <w:rPr>
          <w:lang w:val="cs-CZ"/>
        </w:rPr>
        <w:br w:type="page"/>
      </w:r>
    </w:p>
    <w:p w:rsidR="005840C5" w:rsidRPr="00ED3950" w:rsidRDefault="00ED3950">
      <w:pPr>
        <w:pStyle w:val="Nadpis1"/>
        <w:numPr>
          <w:ilvl w:val="0"/>
          <w:numId w:val="0"/>
        </w:numPr>
        <w:ind w:left="567" w:hanging="567"/>
        <w:rPr>
          <w:lang w:val="cs-CZ"/>
        </w:rPr>
      </w:pPr>
      <w:bookmarkStart w:id="59" w:name="_Toc131775857"/>
      <w:r w:rsidRPr="00ED3950">
        <w:rPr>
          <w:lang w:val="cs-CZ"/>
        </w:rPr>
        <w:lastRenderedPageBreak/>
        <w:t xml:space="preserve">Příloha </w:t>
      </w:r>
      <w:r w:rsidR="00FA18EE" w:rsidRPr="00ED3950">
        <w:rPr>
          <w:lang w:val="cs-CZ"/>
        </w:rPr>
        <w:t xml:space="preserve">B </w:t>
      </w:r>
      <w:r w:rsidRPr="00ED3950">
        <w:rPr>
          <w:lang w:val="cs-CZ"/>
        </w:rPr>
        <w:t xml:space="preserve">- Koncepční poznámky </w:t>
      </w:r>
      <w:r w:rsidR="004F4FB8" w:rsidRPr="00ED3950">
        <w:rPr>
          <w:lang w:val="cs-CZ"/>
        </w:rPr>
        <w:t xml:space="preserve">k </w:t>
      </w:r>
      <w:proofErr w:type="spellStart"/>
      <w:r w:rsidRPr="00ED3950">
        <w:rPr>
          <w:lang w:val="cs-CZ"/>
        </w:rPr>
        <w:t>webinářům</w:t>
      </w:r>
      <w:bookmarkEnd w:id="59"/>
      <w:proofErr w:type="spellEnd"/>
    </w:p>
    <w:p w:rsidR="005840C5" w:rsidRPr="00ED3950" w:rsidRDefault="00ED3950">
      <w:pPr>
        <w:pStyle w:val="Nadpis3"/>
        <w:rPr>
          <w:lang w:val="cs-CZ"/>
        </w:rPr>
      </w:pPr>
      <w:bookmarkStart w:id="60" w:name="_Toc128382406"/>
      <w:bookmarkStart w:id="61" w:name="_Toc131757465"/>
      <w:bookmarkStart w:id="62" w:name="_Toc131775858"/>
      <w:r w:rsidRPr="00ED3950">
        <w:rPr>
          <w:lang w:val="cs-CZ"/>
        </w:rPr>
        <w:t>Webový seminář 1</w:t>
      </w:r>
      <w:bookmarkEnd w:id="60"/>
      <w:bookmarkEnd w:id="61"/>
      <w:bookmarkEnd w:id="62"/>
    </w:p>
    <w:p w:rsidR="005840C5" w:rsidRPr="00ED3950" w:rsidRDefault="00ED3950">
      <w:pPr>
        <w:pStyle w:val="Nadpis1"/>
        <w:numPr>
          <w:ilvl w:val="0"/>
          <w:numId w:val="0"/>
        </w:numPr>
        <w:spacing w:after="0" w:line="240" w:lineRule="auto"/>
        <w:ind w:left="567" w:hanging="567"/>
        <w:jc w:val="center"/>
        <w:rPr>
          <w:lang w:val="cs-CZ"/>
        </w:rPr>
      </w:pPr>
      <w:bookmarkStart w:id="63" w:name="_Toc128382407"/>
      <w:bookmarkStart w:id="64" w:name="_Toc131757466"/>
      <w:bookmarkStart w:id="65" w:name="_Toc131775859"/>
      <w:r w:rsidRPr="00ED3950">
        <w:rPr>
          <w:lang w:val="cs-CZ"/>
        </w:rPr>
        <w:t>Vzájemná výměna poznatků o stávajících postupech při uplatňování zásady DNSH (</w:t>
      </w:r>
      <w:r w:rsidR="00A732E1" w:rsidRPr="00ED3950">
        <w:rPr>
          <w:lang w:val="cs-CZ"/>
        </w:rPr>
        <w:t>I)</w:t>
      </w:r>
      <w:bookmarkEnd w:id="63"/>
      <w:bookmarkEnd w:id="64"/>
      <w:bookmarkEnd w:id="65"/>
    </w:p>
    <w:p w:rsidR="00C31024" w:rsidRPr="00ED3950" w:rsidRDefault="00C31024" w:rsidP="00C31024">
      <w:pPr>
        <w:spacing w:line="240" w:lineRule="auto"/>
        <w:rPr>
          <w:b/>
          <w:bCs/>
          <w:color w:val="005962" w:themeColor="accent1"/>
          <w:sz w:val="20"/>
          <w:szCs w:val="20"/>
          <w:lang w:val="cs-CZ"/>
        </w:rPr>
      </w:pPr>
    </w:p>
    <w:p w:rsidR="005840C5" w:rsidRPr="00ED3950" w:rsidRDefault="00ED3950">
      <w:pPr>
        <w:spacing w:line="240" w:lineRule="auto"/>
        <w:rPr>
          <w:b/>
          <w:bCs/>
          <w:color w:val="005962" w:themeColor="accent1"/>
          <w:sz w:val="20"/>
          <w:szCs w:val="20"/>
          <w:lang w:val="cs-CZ"/>
        </w:rPr>
      </w:pPr>
      <w:proofErr w:type="spellStart"/>
      <w:r w:rsidRPr="00ED3950">
        <w:rPr>
          <w:b/>
          <w:bCs/>
          <w:color w:val="005962" w:themeColor="accent1"/>
          <w:sz w:val="20"/>
          <w:szCs w:val="20"/>
          <w:lang w:val="cs-CZ"/>
        </w:rPr>
        <w:t>Webinář</w:t>
      </w:r>
      <w:proofErr w:type="spellEnd"/>
      <w:r w:rsidRPr="00ED3950">
        <w:rPr>
          <w:b/>
          <w:bCs/>
          <w:color w:val="005962" w:themeColor="accent1"/>
          <w:sz w:val="20"/>
          <w:szCs w:val="20"/>
          <w:lang w:val="cs-CZ"/>
        </w:rPr>
        <w:t xml:space="preserve"> (MS </w:t>
      </w:r>
      <w:proofErr w:type="spellStart"/>
      <w:r w:rsidRPr="00ED3950">
        <w:rPr>
          <w:b/>
          <w:bCs/>
          <w:color w:val="005962" w:themeColor="accent1"/>
          <w:sz w:val="20"/>
          <w:szCs w:val="20"/>
          <w:lang w:val="cs-CZ"/>
        </w:rPr>
        <w:t>Teams</w:t>
      </w:r>
      <w:proofErr w:type="spellEnd"/>
      <w:r w:rsidRPr="00ED3950">
        <w:rPr>
          <w:b/>
          <w:bCs/>
          <w:color w:val="005962" w:themeColor="accent1"/>
          <w:sz w:val="20"/>
          <w:szCs w:val="20"/>
          <w:lang w:val="cs-CZ"/>
        </w:rPr>
        <w:t>)</w:t>
      </w:r>
      <w:r w:rsidRPr="00ED3950">
        <w:rPr>
          <w:b/>
          <w:bCs/>
          <w:color w:val="005962" w:themeColor="accent1"/>
          <w:sz w:val="20"/>
          <w:szCs w:val="20"/>
          <w:lang w:val="cs-CZ"/>
        </w:rPr>
        <w:t xml:space="preserve">: </w:t>
      </w:r>
      <w:bookmarkStart w:id="66" w:name="_Hlk130803206"/>
      <w:r w:rsidRPr="00ED3950">
        <w:rPr>
          <w:b/>
          <w:bCs/>
          <w:color w:val="005962" w:themeColor="accent1"/>
          <w:sz w:val="20"/>
          <w:szCs w:val="20"/>
          <w:lang w:val="cs-CZ"/>
        </w:rPr>
        <w:t>Procesy řízení pro uplatňování principu DNSH</w:t>
      </w:r>
      <w:bookmarkEnd w:id="66"/>
    </w:p>
    <w:p w:rsidR="00C31024" w:rsidRPr="00ED3950" w:rsidRDefault="00C31024" w:rsidP="00C31024">
      <w:pPr>
        <w:spacing w:line="240" w:lineRule="auto"/>
        <w:rPr>
          <w:color w:val="005962" w:themeColor="accent1"/>
          <w:sz w:val="20"/>
          <w:szCs w:val="20"/>
          <w:lang w:val="cs-CZ"/>
        </w:rPr>
      </w:pPr>
    </w:p>
    <w:tbl>
      <w:tblPr>
        <w:tblStyle w:val="Mkatabulky"/>
        <w:tblW w:w="0" w:type="auto"/>
        <w:tblLook w:val="04A0" w:firstRow="1" w:lastRow="0" w:firstColumn="1" w:lastColumn="0" w:noHBand="0" w:noVBand="1"/>
      </w:tblPr>
      <w:tblGrid>
        <w:gridCol w:w="1696"/>
        <w:gridCol w:w="2410"/>
        <w:gridCol w:w="4672"/>
      </w:tblGrid>
      <w:tr w:rsidR="00C31024" w:rsidRPr="00ED3950" w:rsidTr="00963084">
        <w:trPr>
          <w:trHeight w:val="255"/>
        </w:trPr>
        <w:tc>
          <w:tcPr>
            <w:tcW w:w="1696" w:type="dxa"/>
            <w:vAlign w:val="center"/>
          </w:tcPr>
          <w:p w:rsidR="005840C5" w:rsidRPr="00ED3950" w:rsidRDefault="00ED3950">
            <w:pPr>
              <w:spacing w:line="240" w:lineRule="auto"/>
              <w:ind w:left="0"/>
              <w:rPr>
                <w:color w:val="005962" w:themeColor="accent1"/>
                <w:lang w:val="cs-CZ"/>
              </w:rPr>
            </w:pPr>
            <w:r w:rsidRPr="00ED3950">
              <w:rPr>
                <w:b/>
                <w:bCs/>
                <w:color w:val="005962" w:themeColor="accent1"/>
                <w:lang w:val="cs-CZ"/>
              </w:rPr>
              <w:t xml:space="preserve">Datum: </w:t>
            </w:r>
            <w:r w:rsidRPr="00ED3950">
              <w:rPr>
                <w:color w:val="005962" w:themeColor="accent1"/>
                <w:lang w:val="cs-CZ"/>
              </w:rPr>
              <w:t>26/01/2023</w:t>
            </w:r>
          </w:p>
        </w:tc>
        <w:tc>
          <w:tcPr>
            <w:tcW w:w="2410" w:type="dxa"/>
            <w:vAlign w:val="center"/>
          </w:tcPr>
          <w:p w:rsidR="005840C5" w:rsidRPr="00ED3950" w:rsidRDefault="00ED3950">
            <w:pPr>
              <w:spacing w:line="240" w:lineRule="auto"/>
              <w:ind w:left="0"/>
              <w:rPr>
                <w:color w:val="005962" w:themeColor="accent1"/>
                <w:lang w:val="cs-CZ"/>
              </w:rPr>
            </w:pPr>
            <w:r w:rsidRPr="00ED3950">
              <w:rPr>
                <w:b/>
                <w:bCs/>
                <w:color w:val="005962" w:themeColor="accent1"/>
                <w:lang w:val="cs-CZ"/>
              </w:rPr>
              <w:t xml:space="preserve">Čas: </w:t>
            </w:r>
            <w:r w:rsidRPr="00ED3950">
              <w:rPr>
                <w:color w:val="005962" w:themeColor="accent1"/>
                <w:lang w:val="cs-CZ"/>
              </w:rPr>
              <w:t xml:space="preserve">10.00 - 12.30h </w:t>
            </w:r>
            <w:r w:rsidRPr="00ED3950">
              <w:rPr>
                <w:color w:val="005962" w:themeColor="accent1"/>
                <w:lang w:val="cs-CZ"/>
              </w:rPr>
              <w:t>CET</w:t>
            </w:r>
          </w:p>
        </w:tc>
        <w:tc>
          <w:tcPr>
            <w:tcW w:w="4672" w:type="dxa"/>
            <w:vAlign w:val="center"/>
          </w:tcPr>
          <w:p w:rsidR="005840C5" w:rsidRPr="00ED3950" w:rsidRDefault="00ED3950">
            <w:pPr>
              <w:spacing w:line="240" w:lineRule="auto"/>
              <w:ind w:left="0"/>
              <w:rPr>
                <w:color w:val="005962" w:themeColor="accent1"/>
                <w:lang w:val="cs-CZ"/>
              </w:rPr>
            </w:pPr>
            <w:r w:rsidRPr="00ED3950">
              <w:rPr>
                <w:b/>
                <w:bCs/>
                <w:color w:val="005962" w:themeColor="accent1"/>
                <w:lang w:val="cs-CZ"/>
              </w:rPr>
              <w:t>Umístění</w:t>
            </w:r>
            <w:r w:rsidRPr="00ED3950">
              <w:rPr>
                <w:color w:val="005962" w:themeColor="accent1"/>
                <w:lang w:val="cs-CZ"/>
              </w:rPr>
              <w:t xml:space="preserve">: MS Týmy. Odkaz pro připojení se upraví automaticky poté, co se </w:t>
            </w:r>
            <w:hyperlink r:id="rId22" w:history="1">
              <w:r w:rsidRPr="00ED3950">
                <w:rPr>
                  <w:rStyle w:val="Hypertextovodkaz"/>
                  <w:lang w:val="cs-CZ"/>
                </w:rPr>
                <w:t>zde</w:t>
              </w:r>
            </w:hyperlink>
            <w:r w:rsidRPr="00ED3950">
              <w:rPr>
                <w:color w:val="005962" w:themeColor="accent1"/>
                <w:lang w:val="cs-CZ"/>
              </w:rPr>
              <w:t xml:space="preserve"> účastník zaregistruje.</w:t>
            </w:r>
          </w:p>
        </w:tc>
      </w:tr>
    </w:tbl>
    <w:p w:rsidR="00C31024" w:rsidRPr="00ED3950" w:rsidRDefault="00C31024" w:rsidP="00C31024">
      <w:pPr>
        <w:jc w:val="both"/>
        <w:rPr>
          <w:lang w:val="cs-CZ"/>
        </w:rPr>
      </w:pPr>
    </w:p>
    <w:p w:rsidR="005840C5" w:rsidRPr="00ED3950" w:rsidRDefault="00ED3950">
      <w:pPr>
        <w:pStyle w:val="Nadpis2"/>
        <w:numPr>
          <w:ilvl w:val="0"/>
          <w:numId w:val="0"/>
        </w:numPr>
        <w:rPr>
          <w:lang w:val="cs-CZ"/>
        </w:rPr>
      </w:pPr>
      <w:bookmarkStart w:id="67" w:name="_Toc128382408"/>
      <w:bookmarkStart w:id="68" w:name="_Toc131757467"/>
      <w:bookmarkStart w:id="69" w:name="_Toc131775860"/>
      <w:r w:rsidRPr="00ED3950">
        <w:rPr>
          <w:lang w:val="cs-CZ"/>
        </w:rPr>
        <w:t xml:space="preserve">O </w:t>
      </w:r>
      <w:r w:rsidRPr="00ED3950">
        <w:rPr>
          <w:lang w:val="cs-CZ"/>
        </w:rPr>
        <w:t>vzájemné výměně zkušeností</w:t>
      </w:r>
      <w:bookmarkEnd w:id="67"/>
      <w:bookmarkEnd w:id="68"/>
      <w:bookmarkEnd w:id="69"/>
    </w:p>
    <w:p w:rsidR="005840C5" w:rsidRPr="00ED3950" w:rsidRDefault="00ED3950">
      <w:pPr>
        <w:spacing w:line="240" w:lineRule="auto"/>
        <w:ind w:left="0"/>
        <w:rPr>
          <w:b/>
          <w:bCs/>
          <w:color w:val="F04E30" w:themeColor="accent2"/>
          <w:lang w:val="cs-CZ"/>
        </w:rPr>
      </w:pPr>
      <w:r w:rsidRPr="00ED3950">
        <w:rPr>
          <w:b/>
          <w:bCs/>
          <w:color w:val="F04E30" w:themeColor="accent2"/>
          <w:lang w:val="cs-CZ"/>
        </w:rPr>
        <w:t>Kontext</w:t>
      </w:r>
    </w:p>
    <w:p w:rsidR="005840C5" w:rsidRPr="00ED3950" w:rsidRDefault="00ED3950">
      <w:pPr>
        <w:ind w:left="0"/>
        <w:jc w:val="both"/>
        <w:rPr>
          <w:rFonts w:eastAsia="Trebuchet MS" w:cs="Trebuchet MS"/>
          <w:color w:val="000000" w:themeColor="text1"/>
          <w:lang w:val="cs-CZ"/>
        </w:rPr>
      </w:pPr>
      <w:r w:rsidRPr="00ED3950">
        <w:rPr>
          <w:lang w:val="cs-CZ"/>
        </w:rPr>
        <w:t xml:space="preserve">Důsledné </w:t>
      </w:r>
      <w:r w:rsidRPr="00ED3950">
        <w:rPr>
          <w:lang w:val="cs-CZ"/>
        </w:rPr>
        <w:t xml:space="preserve">uplatňování zásady DNSH ze </w:t>
      </w:r>
      <w:r w:rsidRPr="00ED3950">
        <w:rPr>
          <w:lang w:val="cs-CZ"/>
        </w:rPr>
        <w:t xml:space="preserve">strany orgánů veřejné správy ve všech veřejných fondech </w:t>
      </w:r>
      <w:r w:rsidRPr="00ED3950">
        <w:rPr>
          <w:lang w:val="cs-CZ"/>
        </w:rPr>
        <w:t xml:space="preserve">má zásadní význam pro </w:t>
      </w:r>
      <w:r w:rsidRPr="00ED3950">
        <w:rPr>
          <w:lang w:val="cs-CZ"/>
        </w:rPr>
        <w:t xml:space="preserve">zajištění toho, </w:t>
      </w:r>
      <w:r w:rsidRPr="00ED3950">
        <w:rPr>
          <w:lang w:val="cs-CZ"/>
        </w:rPr>
        <w:t xml:space="preserve">aby veřejné výdaje </w:t>
      </w:r>
      <w:r w:rsidRPr="00ED3950">
        <w:rPr>
          <w:lang w:val="cs-CZ"/>
        </w:rPr>
        <w:t xml:space="preserve">a investice </w:t>
      </w:r>
      <w:r w:rsidRPr="00ED3950">
        <w:rPr>
          <w:lang w:val="cs-CZ"/>
        </w:rPr>
        <w:t xml:space="preserve">členských </w:t>
      </w:r>
      <w:r w:rsidRPr="00ED3950">
        <w:rPr>
          <w:lang w:val="cs-CZ"/>
        </w:rPr>
        <w:t xml:space="preserve">států </w:t>
      </w:r>
      <w:r w:rsidRPr="00ED3950">
        <w:rPr>
          <w:lang w:val="cs-CZ"/>
        </w:rPr>
        <w:t xml:space="preserve">neměly </w:t>
      </w:r>
      <w:r w:rsidRPr="00ED3950">
        <w:rPr>
          <w:lang w:val="cs-CZ"/>
        </w:rPr>
        <w:t xml:space="preserve">výrazně škodlivý(é) </w:t>
      </w:r>
      <w:proofErr w:type="gramStart"/>
      <w:r w:rsidRPr="00ED3950">
        <w:rPr>
          <w:lang w:val="cs-CZ"/>
        </w:rPr>
        <w:t>dopad(y) na</w:t>
      </w:r>
      <w:proofErr w:type="gramEnd"/>
      <w:r w:rsidRPr="00ED3950">
        <w:rPr>
          <w:lang w:val="cs-CZ"/>
        </w:rPr>
        <w:t xml:space="preserve"> životní prostředí</w:t>
      </w:r>
      <w:r w:rsidRPr="00ED3950">
        <w:rPr>
          <w:lang w:val="cs-CZ"/>
        </w:rPr>
        <w:t xml:space="preserve">. </w:t>
      </w:r>
      <w:r w:rsidRPr="00ED3950">
        <w:rPr>
          <w:rFonts w:eastAsia="Trebuchet MS" w:cs="Trebuchet MS"/>
          <w:color w:val="000000" w:themeColor="text1"/>
          <w:lang w:val="cs-CZ"/>
        </w:rPr>
        <w:t>Složitost uplatňování zásady D</w:t>
      </w:r>
      <w:r w:rsidRPr="00ED3950">
        <w:rPr>
          <w:rFonts w:eastAsia="Trebuchet MS" w:cs="Trebuchet MS"/>
          <w:color w:val="000000" w:themeColor="text1"/>
          <w:lang w:val="cs-CZ"/>
        </w:rPr>
        <w:t>NSH a její relativní novost pro většinu zúčastněných stran vyžaduje výrazné zlepšení kapacit a know-how členských států. Klíčové je posílit klíčové dovednosti zaměstnanců a zároveň vypracovat a zefektivnit interní metodiky a ucelené postupy pro uplatňování</w:t>
      </w:r>
      <w:r w:rsidRPr="00ED3950">
        <w:rPr>
          <w:rFonts w:eastAsia="Trebuchet MS" w:cs="Trebuchet MS"/>
          <w:color w:val="000000" w:themeColor="text1"/>
          <w:lang w:val="cs-CZ"/>
        </w:rPr>
        <w:t xml:space="preserve"> zásady DNSH.</w:t>
      </w:r>
    </w:p>
    <w:p w:rsidR="00846659" w:rsidRPr="00ED3950" w:rsidRDefault="00846659" w:rsidP="00846659">
      <w:pPr>
        <w:ind w:left="0"/>
        <w:jc w:val="both"/>
        <w:rPr>
          <w:lang w:val="cs-CZ"/>
        </w:rPr>
      </w:pPr>
    </w:p>
    <w:p w:rsidR="005840C5" w:rsidRPr="00ED3950" w:rsidRDefault="00ED3950">
      <w:pPr>
        <w:ind w:left="0"/>
        <w:jc w:val="both"/>
        <w:rPr>
          <w:lang w:val="cs-CZ"/>
        </w:rPr>
      </w:pPr>
      <w:r w:rsidRPr="00ED3950">
        <w:rPr>
          <w:lang w:val="cs-CZ"/>
        </w:rPr>
        <w:t xml:space="preserve">V této souvislosti Generální ředitelství Evropské komise pro podporu strukturálních reforem (DG REFORM) zadalo společnosti </w:t>
      </w:r>
      <w:proofErr w:type="spellStart"/>
      <w:r w:rsidRPr="00ED3950">
        <w:rPr>
          <w:lang w:val="cs-CZ"/>
        </w:rPr>
        <w:t>Trinomics</w:t>
      </w:r>
      <w:proofErr w:type="spellEnd"/>
      <w:r w:rsidRPr="00ED3950">
        <w:rPr>
          <w:lang w:val="cs-CZ"/>
        </w:rPr>
        <w:t xml:space="preserve"> a Mezinárodnímu centru pro udržitelné financování (ISFC) zakázku na poskytnutí technické podpory v rámci nás</w:t>
      </w:r>
      <w:r w:rsidRPr="00ED3950">
        <w:rPr>
          <w:lang w:val="cs-CZ"/>
        </w:rPr>
        <w:t xml:space="preserve">troje technické podpory (TSI) České republice při </w:t>
      </w:r>
      <w:r w:rsidRPr="00ED3950">
        <w:rPr>
          <w:b/>
          <w:bCs/>
          <w:lang w:val="cs-CZ"/>
        </w:rPr>
        <w:t xml:space="preserve">vývoji metodiky pro uplatňování zásady "Do No </w:t>
      </w:r>
      <w:proofErr w:type="spellStart"/>
      <w:r w:rsidRPr="00ED3950">
        <w:rPr>
          <w:b/>
          <w:bCs/>
          <w:lang w:val="cs-CZ"/>
        </w:rPr>
        <w:t>Significant</w:t>
      </w:r>
      <w:proofErr w:type="spellEnd"/>
      <w:r w:rsidRPr="00ED3950">
        <w:rPr>
          <w:b/>
          <w:bCs/>
          <w:lang w:val="cs-CZ"/>
        </w:rPr>
        <w:t xml:space="preserve"> </w:t>
      </w:r>
      <w:proofErr w:type="spellStart"/>
      <w:r w:rsidRPr="00ED3950">
        <w:rPr>
          <w:b/>
          <w:bCs/>
          <w:lang w:val="cs-CZ"/>
        </w:rPr>
        <w:t>Harm</w:t>
      </w:r>
      <w:proofErr w:type="spellEnd"/>
      <w:r w:rsidRPr="00ED3950">
        <w:rPr>
          <w:b/>
          <w:bCs/>
          <w:lang w:val="cs-CZ"/>
        </w:rPr>
        <w:t>" (DNSH) na národní úrovni v České republice</w:t>
      </w:r>
      <w:r w:rsidRPr="00ED3950">
        <w:rPr>
          <w:lang w:val="cs-CZ"/>
        </w:rPr>
        <w:t>.</w:t>
      </w:r>
    </w:p>
    <w:p w:rsidR="00846659" w:rsidRPr="00ED3950" w:rsidRDefault="00846659" w:rsidP="00846659">
      <w:pPr>
        <w:ind w:left="0"/>
        <w:rPr>
          <w:b/>
          <w:bCs/>
          <w:color w:val="F04E30" w:themeColor="accent2"/>
          <w:lang w:val="cs-CZ"/>
        </w:rPr>
      </w:pPr>
    </w:p>
    <w:p w:rsidR="005840C5" w:rsidRPr="00ED3950" w:rsidRDefault="00ED3950">
      <w:pPr>
        <w:ind w:left="0"/>
        <w:rPr>
          <w:b/>
          <w:bCs/>
          <w:color w:val="F04E30" w:themeColor="accent2"/>
          <w:lang w:val="cs-CZ"/>
        </w:rPr>
      </w:pPr>
      <w:r w:rsidRPr="00ED3950">
        <w:rPr>
          <w:b/>
          <w:bCs/>
          <w:color w:val="F04E30" w:themeColor="accent2"/>
          <w:lang w:val="cs-CZ"/>
        </w:rPr>
        <w:t>Účel</w:t>
      </w:r>
    </w:p>
    <w:p w:rsidR="005840C5" w:rsidRPr="00ED3950" w:rsidRDefault="00ED3950">
      <w:pPr>
        <w:ind w:left="0"/>
        <w:jc w:val="both"/>
        <w:rPr>
          <w:lang w:val="cs-CZ"/>
        </w:rPr>
      </w:pPr>
      <w:r w:rsidRPr="00ED3950">
        <w:rPr>
          <w:lang w:val="cs-CZ"/>
        </w:rPr>
        <w:t xml:space="preserve">V rámci smlouvy s Evropskou komisí </w:t>
      </w:r>
      <w:r w:rsidRPr="00ED3950">
        <w:rPr>
          <w:lang w:val="cs-CZ"/>
        </w:rPr>
        <w:t xml:space="preserve">byly společnosti </w:t>
      </w:r>
      <w:proofErr w:type="spellStart"/>
      <w:r w:rsidRPr="00ED3950">
        <w:rPr>
          <w:lang w:val="cs-CZ"/>
        </w:rPr>
        <w:t>Trinomics</w:t>
      </w:r>
      <w:proofErr w:type="spellEnd"/>
      <w:r w:rsidRPr="00ED3950">
        <w:rPr>
          <w:lang w:val="cs-CZ"/>
        </w:rPr>
        <w:t xml:space="preserve"> </w:t>
      </w:r>
      <w:r w:rsidRPr="00ED3950">
        <w:rPr>
          <w:lang w:val="cs-CZ"/>
        </w:rPr>
        <w:t xml:space="preserve">a ISFC </w:t>
      </w:r>
      <w:r w:rsidRPr="00ED3950">
        <w:rPr>
          <w:lang w:val="cs-CZ"/>
        </w:rPr>
        <w:t>požádány, aby připravil</w:t>
      </w:r>
      <w:r w:rsidRPr="00ED3950">
        <w:rPr>
          <w:lang w:val="cs-CZ"/>
        </w:rPr>
        <w:t>y</w:t>
      </w:r>
      <w:r w:rsidRPr="00ED3950">
        <w:rPr>
          <w:lang w:val="cs-CZ"/>
        </w:rPr>
        <w:t xml:space="preserve">, </w:t>
      </w:r>
      <w:r w:rsidRPr="00ED3950">
        <w:rPr>
          <w:lang w:val="cs-CZ"/>
        </w:rPr>
        <w:t xml:space="preserve">zorganizovaly </w:t>
      </w:r>
      <w:r w:rsidRPr="00ED3950">
        <w:rPr>
          <w:lang w:val="cs-CZ"/>
        </w:rPr>
        <w:t xml:space="preserve">a uspořádaly tři (3) online </w:t>
      </w:r>
      <w:proofErr w:type="spellStart"/>
      <w:r w:rsidRPr="00ED3950">
        <w:rPr>
          <w:lang w:val="cs-CZ"/>
        </w:rPr>
        <w:t>webináře</w:t>
      </w:r>
      <w:proofErr w:type="spellEnd"/>
      <w:r w:rsidRPr="00ED3950">
        <w:rPr>
          <w:lang w:val="cs-CZ"/>
        </w:rPr>
        <w:t xml:space="preserve"> o </w:t>
      </w:r>
      <w:r w:rsidRPr="00ED3950">
        <w:rPr>
          <w:lang w:val="cs-CZ"/>
        </w:rPr>
        <w:t xml:space="preserve">vzájemném učení </w:t>
      </w:r>
      <w:r w:rsidRPr="00ED3950">
        <w:rPr>
          <w:lang w:val="cs-CZ"/>
        </w:rPr>
        <w:t xml:space="preserve">a </w:t>
      </w:r>
      <w:r w:rsidRPr="00ED3950">
        <w:rPr>
          <w:lang w:val="cs-CZ"/>
        </w:rPr>
        <w:t xml:space="preserve">výměně zkušeností </w:t>
      </w:r>
      <w:r w:rsidRPr="00ED3950">
        <w:rPr>
          <w:lang w:val="cs-CZ"/>
        </w:rPr>
        <w:t xml:space="preserve">mezi </w:t>
      </w:r>
      <w:r w:rsidRPr="00ED3950">
        <w:rPr>
          <w:lang w:val="cs-CZ"/>
        </w:rPr>
        <w:t xml:space="preserve">členskými státy EU. </w:t>
      </w:r>
      <w:r w:rsidRPr="00ED3950">
        <w:rPr>
          <w:lang w:val="cs-CZ"/>
        </w:rPr>
        <w:t xml:space="preserve">Vzájemné učení </w:t>
      </w:r>
      <w:r w:rsidRPr="00ED3950">
        <w:rPr>
          <w:lang w:val="cs-CZ"/>
        </w:rPr>
        <w:t xml:space="preserve">a </w:t>
      </w:r>
      <w:r w:rsidRPr="00ED3950">
        <w:rPr>
          <w:lang w:val="cs-CZ"/>
        </w:rPr>
        <w:t xml:space="preserve">výměna </w:t>
      </w:r>
      <w:r w:rsidRPr="00ED3950">
        <w:rPr>
          <w:lang w:val="cs-CZ"/>
        </w:rPr>
        <w:t xml:space="preserve">znalostí </w:t>
      </w:r>
      <w:r w:rsidRPr="00ED3950">
        <w:rPr>
          <w:lang w:val="cs-CZ"/>
        </w:rPr>
        <w:t xml:space="preserve">poskytne platformu pro diskusi a budování </w:t>
      </w:r>
      <w:r w:rsidRPr="00ED3950">
        <w:rPr>
          <w:lang w:val="cs-CZ"/>
        </w:rPr>
        <w:t xml:space="preserve">kapacit, přičemž </w:t>
      </w:r>
      <w:r w:rsidRPr="00ED3950">
        <w:rPr>
          <w:lang w:val="cs-CZ"/>
        </w:rPr>
        <w:t xml:space="preserve">zúčastněné členské státy EU budou sdílet a </w:t>
      </w:r>
      <w:r w:rsidRPr="00ED3950">
        <w:rPr>
          <w:b/>
          <w:bCs/>
          <w:lang w:val="cs-CZ"/>
        </w:rPr>
        <w:t>disk</w:t>
      </w:r>
      <w:r w:rsidRPr="00ED3950">
        <w:rPr>
          <w:b/>
          <w:bCs/>
          <w:lang w:val="cs-CZ"/>
        </w:rPr>
        <w:t xml:space="preserve">utovat o příkladech, postupech a zkušenostech získaných </w:t>
      </w:r>
      <w:r w:rsidRPr="00ED3950">
        <w:rPr>
          <w:b/>
          <w:bCs/>
          <w:lang w:val="cs-CZ"/>
        </w:rPr>
        <w:t xml:space="preserve">při dosavadním </w:t>
      </w:r>
      <w:r w:rsidRPr="00ED3950">
        <w:rPr>
          <w:b/>
          <w:bCs/>
          <w:lang w:val="cs-CZ"/>
        </w:rPr>
        <w:t>provádění zásady DNSH</w:t>
      </w:r>
      <w:r w:rsidRPr="00ED3950">
        <w:rPr>
          <w:lang w:val="cs-CZ"/>
        </w:rPr>
        <w:t xml:space="preserve">. </w:t>
      </w:r>
    </w:p>
    <w:p w:rsidR="00846659" w:rsidRPr="00ED3950" w:rsidRDefault="00846659" w:rsidP="00846659">
      <w:pPr>
        <w:ind w:left="0"/>
        <w:jc w:val="both"/>
        <w:rPr>
          <w:lang w:val="cs-CZ"/>
        </w:rPr>
      </w:pPr>
    </w:p>
    <w:p w:rsidR="005840C5" w:rsidRPr="00ED3950" w:rsidRDefault="00ED3950">
      <w:pPr>
        <w:ind w:left="0"/>
        <w:jc w:val="both"/>
        <w:rPr>
          <w:lang w:val="cs-CZ"/>
        </w:rPr>
      </w:pPr>
      <w:r w:rsidRPr="00ED3950">
        <w:rPr>
          <w:lang w:val="cs-CZ"/>
        </w:rPr>
        <w:t xml:space="preserve">Diskuse se zaměří především na výzvy spojené s uplatňováním zásady DNSH, kterým čelí české orgány. Stejné (nebo podobné) výzvy se objevily i v jiných členských </w:t>
      </w:r>
      <w:r w:rsidRPr="00ED3950">
        <w:rPr>
          <w:lang w:val="cs-CZ"/>
        </w:rPr>
        <w:t>státech, přičemž prezentace a konkrétní případy se budou týkat především zkušeností a příkladů z uplatňování zásady DNSH v rámci nástroje pro obnovu a zvýšení odolnosti (RRF</w:t>
      </w:r>
      <w:r w:rsidRPr="00ED3950" w:rsidDel="00486DD3">
        <w:rPr>
          <w:lang w:val="cs-CZ"/>
        </w:rPr>
        <w:t>)</w:t>
      </w:r>
      <w:r w:rsidRPr="00ED3950">
        <w:rPr>
          <w:lang w:val="cs-CZ"/>
        </w:rPr>
        <w:t>.</w:t>
      </w:r>
    </w:p>
    <w:p w:rsidR="00846659" w:rsidRPr="00ED3950" w:rsidRDefault="00846659" w:rsidP="00846659">
      <w:pPr>
        <w:ind w:left="0"/>
        <w:jc w:val="both"/>
        <w:rPr>
          <w:b/>
          <w:bCs/>
          <w:lang w:val="cs-CZ"/>
        </w:rPr>
      </w:pPr>
    </w:p>
    <w:p w:rsidR="005840C5" w:rsidRPr="00ED3950" w:rsidRDefault="00ED3950">
      <w:pPr>
        <w:ind w:left="0"/>
        <w:jc w:val="both"/>
        <w:rPr>
          <w:b/>
          <w:lang w:val="cs-CZ"/>
        </w:rPr>
      </w:pPr>
      <w:r w:rsidRPr="00ED3950">
        <w:rPr>
          <w:b/>
          <w:bCs/>
          <w:lang w:val="cs-CZ"/>
        </w:rPr>
        <w:t xml:space="preserve">Cílem </w:t>
      </w:r>
      <w:r w:rsidRPr="00ED3950">
        <w:rPr>
          <w:b/>
          <w:bCs/>
          <w:lang w:val="cs-CZ"/>
        </w:rPr>
        <w:t>vzájemného</w:t>
      </w:r>
      <w:r w:rsidRPr="00ED3950">
        <w:rPr>
          <w:b/>
          <w:bCs/>
          <w:lang w:val="cs-CZ"/>
        </w:rPr>
        <w:t xml:space="preserve"> učení je přinést prospěch všem zúčastněným členským státům</w:t>
      </w:r>
      <w:r w:rsidRPr="00ED3950">
        <w:rPr>
          <w:b/>
          <w:bCs/>
          <w:lang w:val="cs-CZ"/>
        </w:rPr>
        <w:t xml:space="preserve">. </w:t>
      </w:r>
      <w:r w:rsidRPr="00ED3950">
        <w:rPr>
          <w:b/>
          <w:bCs/>
          <w:lang w:val="cs-CZ"/>
        </w:rPr>
        <w:t xml:space="preserve">Vytvoříme </w:t>
      </w:r>
      <w:r w:rsidRPr="00ED3950">
        <w:rPr>
          <w:b/>
          <w:lang w:val="cs-CZ"/>
        </w:rPr>
        <w:t>výstup se získanými zkušenostmi a osvědčenými postupy, který bude možné sdílet se všemi členskými státy</w:t>
      </w:r>
      <w:r w:rsidRPr="00ED3950">
        <w:rPr>
          <w:rStyle w:val="Znakapoznpodarou"/>
          <w:b/>
          <w:lang w:val="cs-CZ"/>
        </w:rPr>
        <w:footnoteReference w:id="9"/>
      </w:r>
      <w:r w:rsidRPr="00ED3950">
        <w:rPr>
          <w:b/>
          <w:bCs/>
          <w:lang w:val="cs-CZ"/>
        </w:rPr>
        <w:t xml:space="preserve"> . </w:t>
      </w:r>
      <w:proofErr w:type="spellStart"/>
      <w:r w:rsidRPr="00ED3950">
        <w:rPr>
          <w:b/>
          <w:bCs/>
          <w:lang w:val="cs-CZ"/>
        </w:rPr>
        <w:t>Webináře</w:t>
      </w:r>
      <w:proofErr w:type="spellEnd"/>
      <w:r w:rsidRPr="00ED3950">
        <w:rPr>
          <w:b/>
          <w:bCs/>
          <w:lang w:val="cs-CZ"/>
        </w:rPr>
        <w:t xml:space="preserve"> </w:t>
      </w:r>
      <w:r w:rsidRPr="00ED3950">
        <w:rPr>
          <w:b/>
          <w:lang w:val="cs-CZ"/>
        </w:rPr>
        <w:t xml:space="preserve">přispějí v širším měřítku k pokroku a </w:t>
      </w:r>
      <w:r w:rsidRPr="00ED3950">
        <w:rPr>
          <w:b/>
          <w:bCs/>
          <w:lang w:val="cs-CZ"/>
        </w:rPr>
        <w:t xml:space="preserve">rozšíření </w:t>
      </w:r>
      <w:r w:rsidRPr="00ED3950">
        <w:rPr>
          <w:b/>
          <w:lang w:val="cs-CZ"/>
        </w:rPr>
        <w:t>ekologického přechodu v EU a jejích členských státech.</w:t>
      </w:r>
    </w:p>
    <w:p w:rsidR="00846659" w:rsidRPr="00ED3950" w:rsidRDefault="00846659" w:rsidP="00846659">
      <w:pPr>
        <w:ind w:left="0"/>
        <w:rPr>
          <w:b/>
          <w:bCs/>
          <w:color w:val="F04E30" w:themeColor="accent2"/>
          <w:lang w:val="cs-CZ"/>
        </w:rPr>
      </w:pPr>
    </w:p>
    <w:p w:rsidR="005840C5" w:rsidRPr="00ED3950" w:rsidRDefault="00ED3950">
      <w:pPr>
        <w:ind w:left="0"/>
        <w:rPr>
          <w:b/>
          <w:bCs/>
          <w:color w:val="F04E30" w:themeColor="accent2"/>
          <w:lang w:val="cs-CZ"/>
        </w:rPr>
      </w:pPr>
      <w:r w:rsidRPr="00ED3950">
        <w:rPr>
          <w:b/>
          <w:bCs/>
          <w:color w:val="F04E30" w:themeColor="accent2"/>
          <w:lang w:val="cs-CZ"/>
        </w:rPr>
        <w:t>O webových seminářích</w:t>
      </w:r>
    </w:p>
    <w:p w:rsidR="005840C5" w:rsidRPr="00ED3950" w:rsidRDefault="00ED3950">
      <w:pPr>
        <w:ind w:left="0"/>
        <w:jc w:val="both"/>
        <w:rPr>
          <w:lang w:val="cs-CZ"/>
        </w:rPr>
      </w:pPr>
      <w:r w:rsidRPr="00ED3950">
        <w:rPr>
          <w:lang w:val="cs-CZ"/>
        </w:rPr>
        <w:lastRenderedPageBreak/>
        <w:t>Vzáj</w:t>
      </w:r>
      <w:r w:rsidRPr="00ED3950">
        <w:rPr>
          <w:lang w:val="cs-CZ"/>
        </w:rPr>
        <w:t xml:space="preserve">emné učení se bude skládat </w:t>
      </w:r>
      <w:proofErr w:type="gramStart"/>
      <w:r w:rsidRPr="00ED3950">
        <w:rPr>
          <w:lang w:val="cs-CZ"/>
        </w:rPr>
        <w:t>ze</w:t>
      </w:r>
      <w:proofErr w:type="gramEnd"/>
      <w:r w:rsidRPr="00ED3950">
        <w:rPr>
          <w:lang w:val="cs-CZ"/>
        </w:rPr>
        <w:t xml:space="preserve"> 3 </w:t>
      </w:r>
      <w:proofErr w:type="spellStart"/>
      <w:r w:rsidRPr="00ED3950">
        <w:rPr>
          <w:lang w:val="cs-CZ"/>
        </w:rPr>
        <w:t>webinářů</w:t>
      </w:r>
      <w:proofErr w:type="spellEnd"/>
      <w:r w:rsidRPr="00ED3950">
        <w:rPr>
          <w:lang w:val="cs-CZ"/>
        </w:rPr>
        <w:t>, z nichž každý se zaměří na určitou výzvu.</w:t>
      </w:r>
    </w:p>
    <w:p w:rsidR="005840C5" w:rsidRPr="00ED3950" w:rsidRDefault="00ED3950">
      <w:pPr>
        <w:pStyle w:val="Odstavecseseznamem"/>
        <w:numPr>
          <w:ilvl w:val="0"/>
          <w:numId w:val="15"/>
        </w:numPr>
        <w:spacing w:before="120" w:after="120" w:line="280" w:lineRule="exact"/>
        <w:jc w:val="both"/>
        <w:rPr>
          <w:lang w:val="cs-CZ"/>
        </w:rPr>
      </w:pPr>
      <w:proofErr w:type="spellStart"/>
      <w:r w:rsidRPr="00ED3950">
        <w:rPr>
          <w:lang w:val="cs-CZ"/>
        </w:rPr>
        <w:t>Webinář</w:t>
      </w:r>
      <w:proofErr w:type="spellEnd"/>
      <w:r w:rsidRPr="00ED3950">
        <w:rPr>
          <w:lang w:val="cs-CZ"/>
        </w:rPr>
        <w:t xml:space="preserve"> 1</w:t>
      </w:r>
      <w:r w:rsidRPr="00ED3950">
        <w:rPr>
          <w:lang w:val="cs-CZ"/>
        </w:rPr>
        <w:t xml:space="preserve">: </w:t>
      </w:r>
      <w:r w:rsidRPr="00ED3950">
        <w:rPr>
          <w:lang w:val="cs-CZ"/>
        </w:rPr>
        <w:t>Řídicí procesy pro uplatňování zásady DNSH</w:t>
      </w:r>
    </w:p>
    <w:p w:rsidR="005840C5" w:rsidRPr="00ED3950" w:rsidRDefault="00ED3950">
      <w:pPr>
        <w:pStyle w:val="Odstavecseseznamem"/>
        <w:numPr>
          <w:ilvl w:val="0"/>
          <w:numId w:val="15"/>
        </w:numPr>
        <w:spacing w:before="120" w:after="120" w:line="280" w:lineRule="exact"/>
        <w:jc w:val="both"/>
        <w:rPr>
          <w:lang w:val="cs-CZ"/>
        </w:rPr>
      </w:pPr>
      <w:proofErr w:type="spellStart"/>
      <w:r w:rsidRPr="00ED3950">
        <w:rPr>
          <w:lang w:val="cs-CZ"/>
        </w:rPr>
        <w:t>Webinář</w:t>
      </w:r>
      <w:proofErr w:type="spellEnd"/>
      <w:r w:rsidRPr="00ED3950">
        <w:rPr>
          <w:lang w:val="cs-CZ"/>
        </w:rPr>
        <w:t xml:space="preserve"> 2: </w:t>
      </w:r>
      <w:r w:rsidRPr="00ED3950">
        <w:rPr>
          <w:lang w:val="cs-CZ"/>
        </w:rPr>
        <w:t xml:space="preserve">Provádění zjednodušeného a </w:t>
      </w:r>
      <w:r w:rsidRPr="00ED3950">
        <w:rPr>
          <w:lang w:val="cs-CZ"/>
        </w:rPr>
        <w:t xml:space="preserve">podrobného </w:t>
      </w:r>
      <w:r w:rsidRPr="00ED3950">
        <w:rPr>
          <w:lang w:val="cs-CZ"/>
        </w:rPr>
        <w:t>hodnocení DNSH</w:t>
      </w:r>
    </w:p>
    <w:p w:rsidR="005840C5" w:rsidRPr="00ED3950" w:rsidRDefault="00ED3950">
      <w:pPr>
        <w:pStyle w:val="Odstavecseseznamem"/>
        <w:numPr>
          <w:ilvl w:val="0"/>
          <w:numId w:val="15"/>
        </w:numPr>
        <w:spacing w:line="280" w:lineRule="exact"/>
        <w:jc w:val="both"/>
        <w:rPr>
          <w:lang w:val="cs-CZ"/>
        </w:rPr>
      </w:pPr>
      <w:proofErr w:type="spellStart"/>
      <w:r w:rsidRPr="00ED3950">
        <w:rPr>
          <w:lang w:val="cs-CZ"/>
        </w:rPr>
        <w:t>Webinář</w:t>
      </w:r>
      <w:proofErr w:type="spellEnd"/>
      <w:r w:rsidRPr="00ED3950">
        <w:rPr>
          <w:lang w:val="cs-CZ"/>
        </w:rPr>
        <w:t xml:space="preserve"> 3: </w:t>
      </w:r>
      <w:r w:rsidRPr="00ED3950">
        <w:rPr>
          <w:lang w:val="cs-CZ"/>
        </w:rPr>
        <w:t xml:space="preserve">Uplatnění principu DNSH v </w:t>
      </w:r>
      <w:r w:rsidRPr="00ED3950">
        <w:rPr>
          <w:lang w:val="cs-CZ"/>
        </w:rPr>
        <w:t>projektech výzkum</w:t>
      </w:r>
      <w:r w:rsidRPr="00ED3950">
        <w:rPr>
          <w:lang w:val="cs-CZ"/>
        </w:rPr>
        <w:t>u a vývoje a ekologických inovací</w:t>
      </w:r>
    </w:p>
    <w:p w:rsidR="00846659" w:rsidRPr="00ED3950" w:rsidRDefault="00846659" w:rsidP="00846659">
      <w:pPr>
        <w:ind w:left="0"/>
        <w:jc w:val="both"/>
        <w:rPr>
          <w:lang w:val="cs-CZ"/>
        </w:rPr>
      </w:pPr>
    </w:p>
    <w:p w:rsidR="005840C5" w:rsidRPr="00ED3950" w:rsidRDefault="00ED3950">
      <w:pPr>
        <w:ind w:left="0"/>
        <w:jc w:val="both"/>
        <w:rPr>
          <w:lang w:val="cs-CZ"/>
        </w:rPr>
      </w:pPr>
      <w:r w:rsidRPr="00ED3950">
        <w:rPr>
          <w:lang w:val="cs-CZ"/>
        </w:rPr>
        <w:t xml:space="preserve">Před </w:t>
      </w:r>
      <w:r w:rsidRPr="00ED3950">
        <w:rPr>
          <w:lang w:val="cs-CZ"/>
        </w:rPr>
        <w:t xml:space="preserve">přípravou webových seminářů provedla </w:t>
      </w:r>
      <w:r w:rsidRPr="00ED3950">
        <w:rPr>
          <w:lang w:val="cs-CZ"/>
        </w:rPr>
        <w:t xml:space="preserve">společnost </w:t>
      </w:r>
      <w:proofErr w:type="spellStart"/>
      <w:r w:rsidRPr="00ED3950">
        <w:rPr>
          <w:lang w:val="cs-CZ"/>
        </w:rPr>
        <w:t>Trinomics</w:t>
      </w:r>
      <w:proofErr w:type="spellEnd"/>
      <w:r w:rsidRPr="00ED3950">
        <w:rPr>
          <w:lang w:val="cs-CZ"/>
        </w:rPr>
        <w:t xml:space="preserve"> </w:t>
      </w:r>
      <w:proofErr w:type="spellStart"/>
      <w:r w:rsidRPr="00ED3950">
        <w:rPr>
          <w:lang w:val="cs-CZ"/>
        </w:rPr>
        <w:t>desk</w:t>
      </w:r>
      <w:proofErr w:type="spellEnd"/>
      <w:r w:rsidRPr="00ED3950">
        <w:rPr>
          <w:lang w:val="cs-CZ"/>
        </w:rPr>
        <w:t xml:space="preserve"> </w:t>
      </w:r>
      <w:proofErr w:type="spellStart"/>
      <w:r w:rsidRPr="00ED3950">
        <w:rPr>
          <w:lang w:val="cs-CZ"/>
        </w:rPr>
        <w:t>research</w:t>
      </w:r>
      <w:proofErr w:type="spellEnd"/>
      <w:r w:rsidRPr="00ED3950">
        <w:rPr>
          <w:lang w:val="cs-CZ"/>
        </w:rPr>
        <w:t xml:space="preserve"> a </w:t>
      </w:r>
      <w:r w:rsidRPr="00ED3950">
        <w:rPr>
          <w:lang w:val="cs-CZ"/>
        </w:rPr>
        <w:t xml:space="preserve">vedla rozhovory s </w:t>
      </w:r>
      <w:r w:rsidRPr="00ED3950">
        <w:rPr>
          <w:lang w:val="cs-CZ"/>
        </w:rPr>
        <w:t xml:space="preserve">vybranou skupinou </w:t>
      </w:r>
      <w:r w:rsidRPr="00ED3950">
        <w:rPr>
          <w:lang w:val="cs-CZ"/>
        </w:rPr>
        <w:t xml:space="preserve">členských států, které </w:t>
      </w:r>
      <w:r w:rsidRPr="00ED3950">
        <w:rPr>
          <w:lang w:val="cs-CZ"/>
        </w:rPr>
        <w:t xml:space="preserve">byly </w:t>
      </w:r>
      <w:r w:rsidRPr="00ED3950">
        <w:rPr>
          <w:lang w:val="cs-CZ"/>
        </w:rPr>
        <w:t xml:space="preserve">identifikovány jako státy s </w:t>
      </w:r>
      <w:r w:rsidRPr="00ED3950">
        <w:rPr>
          <w:lang w:val="cs-CZ"/>
        </w:rPr>
        <w:t xml:space="preserve">podobným nastavením správy nebo s </w:t>
      </w:r>
      <w:r w:rsidRPr="00ED3950">
        <w:rPr>
          <w:lang w:val="cs-CZ"/>
        </w:rPr>
        <w:t xml:space="preserve">osvědčenými postupy pro </w:t>
      </w:r>
      <w:r w:rsidRPr="00ED3950">
        <w:rPr>
          <w:lang w:val="cs-CZ"/>
        </w:rPr>
        <w:t>uplatňování zásady DNSH</w:t>
      </w:r>
      <w:r w:rsidRPr="00ED3950">
        <w:rPr>
          <w:lang w:val="cs-CZ"/>
        </w:rPr>
        <w:t xml:space="preserve">. </w:t>
      </w:r>
      <w:r w:rsidRPr="00ED3950">
        <w:rPr>
          <w:lang w:val="cs-CZ"/>
        </w:rPr>
        <w:t xml:space="preserve">Tyto výměny byly užitečné pro </w:t>
      </w:r>
      <w:r w:rsidRPr="00ED3950">
        <w:rPr>
          <w:lang w:val="cs-CZ"/>
        </w:rPr>
        <w:t xml:space="preserve">lepší </w:t>
      </w:r>
      <w:r w:rsidRPr="00ED3950">
        <w:rPr>
          <w:lang w:val="cs-CZ"/>
        </w:rPr>
        <w:t xml:space="preserve">pochopení současného stavu uplatňování </w:t>
      </w:r>
      <w:r w:rsidRPr="00ED3950">
        <w:rPr>
          <w:lang w:val="cs-CZ"/>
        </w:rPr>
        <w:t xml:space="preserve">zásady DNSH </w:t>
      </w:r>
      <w:r w:rsidRPr="00ED3950">
        <w:rPr>
          <w:lang w:val="cs-CZ"/>
        </w:rPr>
        <w:t xml:space="preserve">v Evropě a pro získání informací o různých přístupech k podobným problémům při </w:t>
      </w:r>
      <w:r w:rsidRPr="00ED3950">
        <w:rPr>
          <w:lang w:val="cs-CZ"/>
        </w:rPr>
        <w:t xml:space="preserve">uplatňování </w:t>
      </w:r>
      <w:r w:rsidRPr="00ED3950">
        <w:rPr>
          <w:lang w:val="cs-CZ"/>
        </w:rPr>
        <w:t xml:space="preserve">DNSH. </w:t>
      </w:r>
      <w:r w:rsidRPr="00ED3950">
        <w:rPr>
          <w:lang w:val="cs-CZ"/>
        </w:rPr>
        <w:t xml:space="preserve">Výsledkem bylo, že </w:t>
      </w:r>
      <w:r w:rsidRPr="00ED3950">
        <w:rPr>
          <w:b/>
          <w:lang w:val="cs-CZ"/>
        </w:rPr>
        <w:t>Rako</w:t>
      </w:r>
      <w:r w:rsidRPr="00ED3950">
        <w:rPr>
          <w:b/>
          <w:lang w:val="cs-CZ"/>
        </w:rPr>
        <w:t xml:space="preserve">usko, Belgie, Finsko, Slovensko </w:t>
      </w:r>
      <w:r w:rsidRPr="00ED3950">
        <w:rPr>
          <w:lang w:val="cs-CZ"/>
        </w:rPr>
        <w:t xml:space="preserve">a </w:t>
      </w:r>
      <w:r w:rsidRPr="00ED3950">
        <w:rPr>
          <w:b/>
          <w:lang w:val="cs-CZ"/>
        </w:rPr>
        <w:t xml:space="preserve">Španělsko </w:t>
      </w:r>
      <w:r w:rsidRPr="00ED3950">
        <w:rPr>
          <w:lang w:val="cs-CZ"/>
        </w:rPr>
        <w:t xml:space="preserve">byly vyzvány, aby představily </w:t>
      </w:r>
      <w:r w:rsidRPr="00ED3950">
        <w:rPr>
          <w:lang w:val="cs-CZ"/>
        </w:rPr>
        <w:t xml:space="preserve">své </w:t>
      </w:r>
      <w:r w:rsidRPr="00ED3950">
        <w:rPr>
          <w:lang w:val="cs-CZ"/>
        </w:rPr>
        <w:t xml:space="preserve">osvědčené postupy </w:t>
      </w:r>
      <w:r w:rsidRPr="00ED3950">
        <w:rPr>
          <w:lang w:val="cs-CZ"/>
        </w:rPr>
        <w:t xml:space="preserve">a příklady řešení </w:t>
      </w:r>
      <w:r w:rsidRPr="00ED3950">
        <w:rPr>
          <w:lang w:val="cs-CZ"/>
        </w:rPr>
        <w:t xml:space="preserve">různých výzev v oblasti DNSH, </w:t>
      </w:r>
      <w:r w:rsidRPr="00ED3950">
        <w:rPr>
          <w:lang w:val="cs-CZ"/>
        </w:rPr>
        <w:t xml:space="preserve">a vedle toho své zkušenosti představilo i </w:t>
      </w:r>
      <w:r w:rsidRPr="00ED3950">
        <w:rPr>
          <w:b/>
          <w:lang w:val="cs-CZ"/>
        </w:rPr>
        <w:t>Česko</w:t>
      </w:r>
      <w:r w:rsidRPr="00ED3950">
        <w:rPr>
          <w:lang w:val="cs-CZ"/>
        </w:rPr>
        <w:t>.</w:t>
      </w:r>
    </w:p>
    <w:p w:rsidR="00C31024" w:rsidRPr="00ED3950" w:rsidRDefault="00C31024" w:rsidP="00C31024">
      <w:pPr>
        <w:jc w:val="both"/>
        <w:rPr>
          <w:lang w:val="cs-CZ"/>
        </w:rPr>
      </w:pPr>
    </w:p>
    <w:p w:rsidR="005840C5" w:rsidRPr="00ED3950" w:rsidRDefault="00ED3950">
      <w:pPr>
        <w:pStyle w:val="Nadpis2"/>
        <w:numPr>
          <w:ilvl w:val="0"/>
          <w:numId w:val="0"/>
        </w:numPr>
        <w:rPr>
          <w:lang w:val="cs-CZ"/>
        </w:rPr>
      </w:pPr>
      <w:bookmarkStart w:id="71" w:name="_Toc128382409"/>
      <w:bookmarkStart w:id="72" w:name="_Toc131757468"/>
      <w:bookmarkStart w:id="73" w:name="_Toc131775861"/>
      <w:proofErr w:type="spellStart"/>
      <w:r w:rsidRPr="00ED3950">
        <w:rPr>
          <w:lang w:val="cs-CZ"/>
        </w:rPr>
        <w:t>Webinář</w:t>
      </w:r>
      <w:proofErr w:type="spellEnd"/>
      <w:r w:rsidRPr="00ED3950">
        <w:rPr>
          <w:lang w:val="cs-CZ"/>
        </w:rPr>
        <w:t xml:space="preserve"> 1: Řídicí procesy pro uplatňování zásady DNSH</w:t>
      </w:r>
      <w:bookmarkEnd w:id="71"/>
      <w:bookmarkEnd w:id="72"/>
      <w:bookmarkEnd w:id="73"/>
    </w:p>
    <w:p w:rsidR="005840C5" w:rsidRPr="00ED3950" w:rsidRDefault="00ED3950">
      <w:pPr>
        <w:ind w:left="0"/>
        <w:rPr>
          <w:b/>
          <w:bCs/>
          <w:color w:val="F04E30" w:themeColor="accent2"/>
          <w:lang w:val="cs-CZ"/>
        </w:rPr>
      </w:pPr>
      <w:r w:rsidRPr="00ED3950">
        <w:rPr>
          <w:b/>
          <w:bCs/>
          <w:color w:val="F04E30" w:themeColor="accent2"/>
          <w:lang w:val="cs-CZ"/>
        </w:rPr>
        <w:t xml:space="preserve">O výzvě </w:t>
      </w:r>
    </w:p>
    <w:p w:rsidR="005840C5" w:rsidRPr="00ED3950" w:rsidRDefault="00ED3950">
      <w:pPr>
        <w:ind w:left="0"/>
        <w:jc w:val="both"/>
        <w:rPr>
          <w:lang w:val="cs-CZ"/>
        </w:rPr>
      </w:pPr>
      <w:r w:rsidRPr="00ED3950">
        <w:rPr>
          <w:lang w:val="cs-CZ"/>
        </w:rPr>
        <w:t xml:space="preserve">Na základě technických konzultací se zúčastněnými stranami v Česku a dalších členských státech </w:t>
      </w:r>
      <w:r w:rsidRPr="00ED3950">
        <w:rPr>
          <w:lang w:val="cs-CZ"/>
        </w:rPr>
        <w:t xml:space="preserve">EU </w:t>
      </w:r>
      <w:r w:rsidRPr="00ED3950">
        <w:rPr>
          <w:lang w:val="cs-CZ"/>
        </w:rPr>
        <w:t xml:space="preserve">se tento </w:t>
      </w:r>
      <w:r w:rsidRPr="00ED3950">
        <w:rPr>
          <w:b/>
          <w:lang w:val="cs-CZ"/>
        </w:rPr>
        <w:t xml:space="preserve">první </w:t>
      </w:r>
      <w:proofErr w:type="spellStart"/>
      <w:r w:rsidRPr="00ED3950">
        <w:rPr>
          <w:b/>
          <w:lang w:val="cs-CZ"/>
        </w:rPr>
        <w:t>webinář</w:t>
      </w:r>
      <w:proofErr w:type="spellEnd"/>
      <w:r w:rsidRPr="00ED3950">
        <w:rPr>
          <w:b/>
          <w:lang w:val="cs-CZ"/>
        </w:rPr>
        <w:t xml:space="preserve"> </w:t>
      </w:r>
      <w:r w:rsidRPr="00ED3950">
        <w:rPr>
          <w:lang w:val="cs-CZ"/>
        </w:rPr>
        <w:t xml:space="preserve">zaměří na zkušenosti a postupy vybraných členských států při </w:t>
      </w:r>
      <w:r w:rsidRPr="00ED3950">
        <w:rPr>
          <w:lang w:val="cs-CZ"/>
        </w:rPr>
        <w:t xml:space="preserve">zajišťování </w:t>
      </w:r>
      <w:r w:rsidRPr="00ED3950">
        <w:rPr>
          <w:b/>
          <w:lang w:val="cs-CZ"/>
        </w:rPr>
        <w:t>řádné správy procesů podávání žádostí o DNSH</w:t>
      </w:r>
      <w:r w:rsidRPr="00ED3950">
        <w:rPr>
          <w:lang w:val="cs-CZ"/>
        </w:rPr>
        <w:t>. Bude se zabývat</w:t>
      </w:r>
      <w:r w:rsidRPr="00ED3950">
        <w:rPr>
          <w:lang w:val="cs-CZ"/>
        </w:rPr>
        <w:t xml:space="preserve"> </w:t>
      </w:r>
      <w:r w:rsidRPr="00ED3950">
        <w:rPr>
          <w:lang w:val="cs-CZ"/>
        </w:rPr>
        <w:t xml:space="preserve">výzvami při zavádění účinného </w:t>
      </w:r>
      <w:r w:rsidRPr="00ED3950">
        <w:rPr>
          <w:lang w:val="cs-CZ"/>
        </w:rPr>
        <w:t xml:space="preserve">systému řízení </w:t>
      </w:r>
      <w:r w:rsidRPr="00ED3950">
        <w:rPr>
          <w:lang w:val="cs-CZ"/>
        </w:rPr>
        <w:t>a procesů pro provádění pokynů DNSH, včetně</w:t>
      </w:r>
      <w:r w:rsidRPr="00ED3950">
        <w:rPr>
          <w:lang w:val="cs-CZ"/>
        </w:rPr>
        <w:t xml:space="preserve">: </w:t>
      </w:r>
    </w:p>
    <w:p w:rsidR="005840C5" w:rsidRPr="00ED3950" w:rsidRDefault="00ED3950">
      <w:pPr>
        <w:pStyle w:val="Odstavecseseznamem"/>
        <w:rPr>
          <w:lang w:val="cs-CZ"/>
        </w:rPr>
      </w:pPr>
      <w:r w:rsidRPr="00ED3950">
        <w:rPr>
          <w:lang w:val="cs-CZ"/>
        </w:rPr>
        <w:t xml:space="preserve">Změny ve způsobu hodnocení, posuzování a monitorování veřejných výdajů; </w:t>
      </w:r>
    </w:p>
    <w:p w:rsidR="005840C5" w:rsidRPr="00ED3950" w:rsidRDefault="00ED3950">
      <w:pPr>
        <w:pStyle w:val="Odstavecseseznamem"/>
        <w:rPr>
          <w:lang w:val="cs-CZ"/>
        </w:rPr>
      </w:pPr>
      <w:r w:rsidRPr="00ED3950">
        <w:rPr>
          <w:lang w:val="cs-CZ"/>
        </w:rPr>
        <w:t>hodnocení a rozdělování veřejných prostředků na programové a projektové žádosti a</w:t>
      </w:r>
    </w:p>
    <w:p w:rsidR="005840C5" w:rsidRPr="00ED3950" w:rsidRDefault="00ED3950">
      <w:pPr>
        <w:pStyle w:val="Odstavecseseznamem"/>
        <w:rPr>
          <w:lang w:val="cs-CZ"/>
        </w:rPr>
      </w:pPr>
      <w:r w:rsidRPr="00ED3950">
        <w:rPr>
          <w:lang w:val="cs-CZ"/>
        </w:rPr>
        <w:t>Minimaliz</w:t>
      </w:r>
      <w:r w:rsidRPr="00ED3950">
        <w:rPr>
          <w:lang w:val="cs-CZ"/>
        </w:rPr>
        <w:t xml:space="preserve">ace byrokracie a nesrovnalostí mezi různými vládními agenturami. </w:t>
      </w:r>
    </w:p>
    <w:p w:rsidR="00963084" w:rsidRPr="00ED3950" w:rsidRDefault="00963084" w:rsidP="00C31024">
      <w:pPr>
        <w:jc w:val="both"/>
        <w:rPr>
          <w:lang w:val="cs-CZ"/>
        </w:rPr>
      </w:pPr>
    </w:p>
    <w:p w:rsidR="005840C5" w:rsidRPr="00ED3950" w:rsidRDefault="00ED3950">
      <w:pPr>
        <w:ind w:left="0"/>
        <w:jc w:val="both"/>
        <w:rPr>
          <w:lang w:val="cs-CZ"/>
        </w:rPr>
      </w:pPr>
      <w:r w:rsidRPr="00ED3950">
        <w:rPr>
          <w:lang w:val="cs-CZ"/>
        </w:rPr>
        <w:t xml:space="preserve">Kromě toho se </w:t>
      </w:r>
      <w:proofErr w:type="spellStart"/>
      <w:r w:rsidRPr="00ED3950">
        <w:rPr>
          <w:lang w:val="cs-CZ"/>
        </w:rPr>
        <w:t>webinář</w:t>
      </w:r>
      <w:proofErr w:type="spellEnd"/>
      <w:r w:rsidRPr="00ED3950">
        <w:rPr>
          <w:lang w:val="cs-CZ"/>
        </w:rPr>
        <w:t xml:space="preserve"> </w:t>
      </w:r>
      <w:r w:rsidRPr="00ED3950">
        <w:rPr>
          <w:lang w:val="cs-CZ"/>
        </w:rPr>
        <w:t xml:space="preserve">bude zabývat významem </w:t>
      </w:r>
      <w:r w:rsidRPr="00ED3950">
        <w:rPr>
          <w:b/>
          <w:lang w:val="cs-CZ"/>
        </w:rPr>
        <w:t xml:space="preserve">budování kapacit </w:t>
      </w:r>
      <w:r w:rsidRPr="00ED3950">
        <w:rPr>
          <w:b/>
          <w:bCs/>
          <w:lang w:val="cs-CZ"/>
        </w:rPr>
        <w:t xml:space="preserve">pro zlepšení </w:t>
      </w:r>
      <w:r w:rsidRPr="00ED3950">
        <w:rPr>
          <w:b/>
          <w:lang w:val="cs-CZ"/>
        </w:rPr>
        <w:t>znalostí a procesů souvisejících s DNSH</w:t>
      </w:r>
      <w:r w:rsidRPr="00ED3950">
        <w:rPr>
          <w:b/>
          <w:bCs/>
          <w:lang w:val="cs-CZ"/>
        </w:rPr>
        <w:t xml:space="preserve">. </w:t>
      </w:r>
      <w:r w:rsidRPr="00ED3950">
        <w:rPr>
          <w:lang w:val="cs-CZ"/>
        </w:rPr>
        <w:t xml:space="preserve">Ty by měly </w:t>
      </w:r>
      <w:r w:rsidRPr="00ED3950">
        <w:rPr>
          <w:lang w:val="cs-CZ"/>
        </w:rPr>
        <w:t xml:space="preserve">zajistit, aby odpovědné </w:t>
      </w:r>
      <w:r w:rsidRPr="00ED3950">
        <w:rPr>
          <w:lang w:val="cs-CZ"/>
        </w:rPr>
        <w:t xml:space="preserve">řídicí </w:t>
      </w:r>
      <w:r w:rsidRPr="00ED3950">
        <w:rPr>
          <w:lang w:val="cs-CZ"/>
        </w:rPr>
        <w:t xml:space="preserve">orgány a žadatelé o </w:t>
      </w:r>
      <w:r w:rsidRPr="00ED3950">
        <w:rPr>
          <w:lang w:val="cs-CZ"/>
        </w:rPr>
        <w:t xml:space="preserve">financování </w:t>
      </w:r>
      <w:r w:rsidRPr="00ED3950">
        <w:rPr>
          <w:lang w:val="cs-CZ"/>
        </w:rPr>
        <w:t xml:space="preserve">mohli účinně identifikovat, posuzovat a zmírňovat potenciální rizika a dopady projektů na udržitelnost. </w:t>
      </w:r>
      <w:proofErr w:type="spellStart"/>
      <w:r w:rsidRPr="00ED3950">
        <w:rPr>
          <w:lang w:val="cs-CZ"/>
        </w:rPr>
        <w:t>Webinář</w:t>
      </w:r>
      <w:proofErr w:type="spellEnd"/>
      <w:r w:rsidRPr="00ED3950">
        <w:rPr>
          <w:lang w:val="cs-CZ"/>
        </w:rPr>
        <w:t xml:space="preserve"> </w:t>
      </w:r>
      <w:r w:rsidRPr="00ED3950">
        <w:rPr>
          <w:lang w:val="cs-CZ"/>
        </w:rPr>
        <w:t xml:space="preserve">se bude zabývat také </w:t>
      </w:r>
      <w:r w:rsidRPr="00ED3950">
        <w:rPr>
          <w:lang w:val="cs-CZ"/>
        </w:rPr>
        <w:t xml:space="preserve">správou údajů potřebných k provádění hodnocení </w:t>
      </w:r>
      <w:r w:rsidRPr="00ED3950">
        <w:rPr>
          <w:lang w:val="cs-CZ"/>
        </w:rPr>
        <w:t>DNSH.</w:t>
      </w:r>
    </w:p>
    <w:p w:rsidR="00963084" w:rsidRPr="00ED3950" w:rsidRDefault="00963084" w:rsidP="00C31024">
      <w:pPr>
        <w:jc w:val="both"/>
        <w:rPr>
          <w:lang w:val="cs-CZ"/>
        </w:rPr>
      </w:pPr>
    </w:p>
    <w:p w:rsidR="005840C5" w:rsidRPr="00ED3950" w:rsidRDefault="00ED3950">
      <w:pPr>
        <w:pStyle w:val="Nadpis4"/>
        <w:ind w:firstLine="0"/>
        <w:rPr>
          <w:lang w:val="cs-CZ"/>
        </w:rPr>
      </w:pPr>
      <w:r w:rsidRPr="00ED3950">
        <w:rPr>
          <w:lang w:val="cs-CZ"/>
        </w:rPr>
        <w:t>Přístup použitý pro webové semináře</w:t>
      </w:r>
    </w:p>
    <w:p w:rsidR="005840C5" w:rsidRPr="00ED3950" w:rsidRDefault="00ED3950">
      <w:pPr>
        <w:ind w:left="0"/>
        <w:jc w:val="both"/>
        <w:rPr>
          <w:b/>
          <w:bCs/>
          <w:color w:val="005962" w:themeColor="accent1"/>
          <w:lang w:val="cs-CZ"/>
        </w:rPr>
      </w:pPr>
      <w:r w:rsidRPr="00ED3950">
        <w:rPr>
          <w:b/>
          <w:bCs/>
          <w:color w:val="005962" w:themeColor="accent1"/>
          <w:lang w:val="cs-CZ"/>
        </w:rPr>
        <w:t>Část I: Úvod a příprava scény</w:t>
      </w:r>
    </w:p>
    <w:p w:rsidR="005840C5" w:rsidRPr="00ED3950" w:rsidRDefault="00ED3950">
      <w:pPr>
        <w:ind w:left="0"/>
        <w:jc w:val="both"/>
        <w:rPr>
          <w:lang w:val="cs-CZ"/>
        </w:rPr>
      </w:pPr>
      <w:proofErr w:type="spellStart"/>
      <w:r w:rsidRPr="00ED3950">
        <w:rPr>
          <w:lang w:val="cs-CZ"/>
        </w:rPr>
        <w:t>Web</w:t>
      </w:r>
      <w:r w:rsidRPr="00ED3950">
        <w:rPr>
          <w:lang w:val="cs-CZ"/>
        </w:rPr>
        <w:t>inář</w:t>
      </w:r>
      <w:proofErr w:type="spellEnd"/>
      <w:r w:rsidRPr="00ED3950">
        <w:rPr>
          <w:lang w:val="cs-CZ"/>
        </w:rPr>
        <w:t xml:space="preserve"> </w:t>
      </w:r>
      <w:r w:rsidRPr="00ED3950">
        <w:rPr>
          <w:lang w:val="cs-CZ"/>
        </w:rPr>
        <w:t xml:space="preserve">bude zahájen krátkým </w:t>
      </w:r>
      <w:r w:rsidRPr="00ED3950">
        <w:rPr>
          <w:lang w:val="cs-CZ"/>
        </w:rPr>
        <w:t xml:space="preserve">úvodem </w:t>
      </w:r>
      <w:r w:rsidRPr="00ED3950">
        <w:rPr>
          <w:lang w:val="cs-CZ"/>
        </w:rPr>
        <w:t xml:space="preserve">o </w:t>
      </w:r>
      <w:r w:rsidRPr="00ED3950">
        <w:rPr>
          <w:b/>
          <w:lang w:val="cs-CZ"/>
        </w:rPr>
        <w:t xml:space="preserve">programu a cílech </w:t>
      </w:r>
      <w:proofErr w:type="spellStart"/>
      <w:r w:rsidRPr="00ED3950">
        <w:rPr>
          <w:b/>
          <w:lang w:val="cs-CZ"/>
        </w:rPr>
        <w:t>webináře</w:t>
      </w:r>
      <w:proofErr w:type="spellEnd"/>
      <w:r w:rsidRPr="00ED3950">
        <w:rPr>
          <w:b/>
          <w:lang w:val="cs-CZ"/>
        </w:rPr>
        <w:t xml:space="preserve"> </w:t>
      </w:r>
      <w:r w:rsidRPr="00ED3950">
        <w:rPr>
          <w:lang w:val="cs-CZ"/>
        </w:rPr>
        <w:t xml:space="preserve">a poté budou následovat prezentace </w:t>
      </w:r>
      <w:r w:rsidRPr="00ED3950">
        <w:rPr>
          <w:lang w:val="cs-CZ"/>
        </w:rPr>
        <w:t xml:space="preserve">projektového týmu a zástupců Česka, Španělska a Belgie o </w:t>
      </w:r>
      <w:r w:rsidRPr="00ED3950">
        <w:rPr>
          <w:lang w:val="cs-CZ"/>
        </w:rPr>
        <w:t xml:space="preserve">jejich </w:t>
      </w:r>
      <w:r w:rsidRPr="00ED3950">
        <w:rPr>
          <w:lang w:val="cs-CZ"/>
        </w:rPr>
        <w:t>konkrétní praxi ("</w:t>
      </w:r>
      <w:proofErr w:type="spellStart"/>
      <w:r w:rsidRPr="00ED3950">
        <w:rPr>
          <w:lang w:val="cs-CZ"/>
        </w:rPr>
        <w:t>focus</w:t>
      </w:r>
      <w:proofErr w:type="spellEnd"/>
      <w:r w:rsidRPr="00ED3950">
        <w:rPr>
          <w:lang w:val="cs-CZ"/>
        </w:rPr>
        <w:t xml:space="preserve"> case") ve vztahu k výzvě </w:t>
      </w:r>
      <w:proofErr w:type="spellStart"/>
      <w:r w:rsidRPr="00ED3950">
        <w:rPr>
          <w:lang w:val="cs-CZ"/>
        </w:rPr>
        <w:t>webináře</w:t>
      </w:r>
      <w:proofErr w:type="spellEnd"/>
      <w:r w:rsidRPr="00ED3950">
        <w:rPr>
          <w:lang w:val="cs-CZ"/>
        </w:rPr>
        <w:t xml:space="preserve">. </w:t>
      </w:r>
      <w:r w:rsidRPr="00ED3950">
        <w:rPr>
          <w:b/>
          <w:lang w:val="cs-CZ"/>
        </w:rPr>
        <w:t xml:space="preserve">Projektový tým </w:t>
      </w:r>
      <w:r w:rsidRPr="00ED3950">
        <w:rPr>
          <w:b/>
          <w:bCs/>
          <w:lang w:val="cs-CZ"/>
        </w:rPr>
        <w:t xml:space="preserve">(ISFC) </w:t>
      </w:r>
      <w:r w:rsidRPr="00ED3950">
        <w:rPr>
          <w:lang w:val="cs-CZ"/>
        </w:rPr>
        <w:t xml:space="preserve">začne připravovat scénu kolem výzvy tím, že ji zasadí do českého kontextu (na základě diagnostické analýzy provedené v roce 2022). </w:t>
      </w:r>
      <w:r w:rsidRPr="00ED3950">
        <w:rPr>
          <w:b/>
          <w:lang w:val="cs-CZ"/>
        </w:rPr>
        <w:t xml:space="preserve">Česko </w:t>
      </w:r>
      <w:r w:rsidRPr="00ED3950">
        <w:rPr>
          <w:lang w:val="cs-CZ"/>
        </w:rPr>
        <w:t>pak představí konkrétní příklad na využití a implementaci nedávno přijatých rámcových pokynů pro DNSH a klimatickou odo</w:t>
      </w:r>
      <w:r w:rsidRPr="00ED3950">
        <w:rPr>
          <w:lang w:val="cs-CZ"/>
        </w:rPr>
        <w:t xml:space="preserve">lnost (CP) financování CPR, které jsou výsledkem spolupráce mezi vládními resorty s cílem předložit jednotnou metodiku napříč všemi českými úřady. </w:t>
      </w:r>
      <w:r w:rsidRPr="00ED3950">
        <w:rPr>
          <w:b/>
          <w:lang w:val="cs-CZ"/>
        </w:rPr>
        <w:t xml:space="preserve">Španělsko </w:t>
      </w:r>
      <w:r w:rsidRPr="00ED3950">
        <w:rPr>
          <w:lang w:val="cs-CZ"/>
        </w:rPr>
        <w:t xml:space="preserve">následně </w:t>
      </w:r>
      <w:r w:rsidRPr="00ED3950">
        <w:rPr>
          <w:lang w:val="cs-CZ"/>
        </w:rPr>
        <w:t xml:space="preserve">představí </w:t>
      </w:r>
      <w:r w:rsidRPr="00ED3950">
        <w:rPr>
          <w:lang w:val="cs-CZ"/>
        </w:rPr>
        <w:t xml:space="preserve">program budování kapacit DNSH, který je realizován na </w:t>
      </w:r>
      <w:r w:rsidRPr="00ED3950">
        <w:rPr>
          <w:lang w:val="cs-CZ"/>
        </w:rPr>
        <w:t>podporu provádění RRP a bu</w:t>
      </w:r>
      <w:r w:rsidRPr="00ED3950">
        <w:rPr>
          <w:lang w:val="cs-CZ"/>
        </w:rPr>
        <w:t xml:space="preserve">dování kapacit souvisejících s metodikami DNSH. Nakonec program před přestávkou na kávu uzavře </w:t>
      </w:r>
      <w:r w:rsidRPr="00ED3950">
        <w:rPr>
          <w:b/>
          <w:lang w:val="cs-CZ"/>
        </w:rPr>
        <w:t xml:space="preserve">Belgie, která </w:t>
      </w:r>
      <w:r w:rsidRPr="00ED3950">
        <w:rPr>
          <w:lang w:val="cs-CZ"/>
        </w:rPr>
        <w:t xml:space="preserve">pohovoří o procesu rozhodování a </w:t>
      </w:r>
      <w:r w:rsidRPr="00ED3950">
        <w:rPr>
          <w:lang w:val="cs-CZ"/>
        </w:rPr>
        <w:t xml:space="preserve">zavádění odborného </w:t>
      </w:r>
      <w:r w:rsidRPr="00ED3950">
        <w:rPr>
          <w:lang w:val="cs-CZ"/>
        </w:rPr>
        <w:t xml:space="preserve">centra </w:t>
      </w:r>
      <w:r w:rsidRPr="00ED3950">
        <w:rPr>
          <w:lang w:val="cs-CZ"/>
        </w:rPr>
        <w:t xml:space="preserve">DNSH a </w:t>
      </w:r>
      <w:proofErr w:type="spellStart"/>
      <w:r w:rsidRPr="00ED3950">
        <w:rPr>
          <w:lang w:val="cs-CZ"/>
        </w:rPr>
        <w:t>helpdesku</w:t>
      </w:r>
      <w:proofErr w:type="spellEnd"/>
      <w:r w:rsidRPr="00ED3950">
        <w:rPr>
          <w:lang w:val="cs-CZ"/>
        </w:rPr>
        <w:t xml:space="preserve"> na </w:t>
      </w:r>
      <w:r w:rsidRPr="00ED3950">
        <w:rPr>
          <w:lang w:val="cs-CZ"/>
        </w:rPr>
        <w:t xml:space="preserve">podporu národních a regionálních orgánů při posuzování DNSH. </w:t>
      </w:r>
    </w:p>
    <w:p w:rsidR="00963084" w:rsidRPr="00ED3950" w:rsidRDefault="00963084" w:rsidP="00C31024">
      <w:pPr>
        <w:jc w:val="both"/>
        <w:rPr>
          <w:lang w:val="cs-CZ"/>
        </w:rPr>
      </w:pPr>
    </w:p>
    <w:p w:rsidR="005840C5" w:rsidRPr="00ED3950" w:rsidRDefault="00ED3950">
      <w:pPr>
        <w:ind w:left="0"/>
        <w:jc w:val="both"/>
        <w:rPr>
          <w:b/>
          <w:bCs/>
          <w:color w:val="005962" w:themeColor="accent1"/>
          <w:lang w:val="cs-CZ"/>
        </w:rPr>
      </w:pPr>
      <w:r w:rsidRPr="00ED3950">
        <w:rPr>
          <w:b/>
          <w:bCs/>
          <w:color w:val="005962" w:themeColor="accent1"/>
          <w:lang w:val="cs-CZ"/>
        </w:rPr>
        <w:t xml:space="preserve">Část </w:t>
      </w:r>
      <w:r w:rsidRPr="00ED3950">
        <w:rPr>
          <w:b/>
          <w:bCs/>
          <w:color w:val="005962" w:themeColor="accent1"/>
          <w:lang w:val="cs-CZ"/>
        </w:rPr>
        <w:t>II: Panelová diskuse - Správa DNSH</w:t>
      </w:r>
    </w:p>
    <w:p w:rsidR="005840C5" w:rsidRPr="00ED3950" w:rsidRDefault="00ED3950">
      <w:pPr>
        <w:ind w:left="0"/>
        <w:jc w:val="both"/>
        <w:rPr>
          <w:lang w:val="cs-CZ"/>
        </w:rPr>
      </w:pPr>
      <w:r w:rsidRPr="00ED3950">
        <w:rPr>
          <w:lang w:val="cs-CZ"/>
        </w:rPr>
        <w:t xml:space="preserve">Prezentace členských států připraví půdu pro </w:t>
      </w:r>
      <w:r w:rsidRPr="00ED3950">
        <w:rPr>
          <w:b/>
          <w:lang w:val="cs-CZ"/>
        </w:rPr>
        <w:t xml:space="preserve">panelovou diskusi, </w:t>
      </w:r>
      <w:r w:rsidRPr="00ED3950">
        <w:rPr>
          <w:lang w:val="cs-CZ"/>
        </w:rPr>
        <w:t xml:space="preserve">která se bude řídit otevřenými otázkami vypracovanými na základě odborných konzultací se zúčastněnými stranami v České republice a dalších členských státech </w:t>
      </w:r>
      <w:r w:rsidRPr="00ED3950">
        <w:rPr>
          <w:lang w:val="cs-CZ"/>
        </w:rPr>
        <w:t>EU</w:t>
      </w:r>
      <w:r w:rsidRPr="00ED3950">
        <w:rPr>
          <w:lang w:val="cs-CZ"/>
        </w:rPr>
        <w:t xml:space="preserve">. Panelová diskuse rovněž umožní účastníkům klást otázky v souvislosti s postupy a příklady uvedenými </w:t>
      </w:r>
      <w:r w:rsidRPr="00ED3950">
        <w:rPr>
          <w:lang w:val="cs-CZ"/>
        </w:rPr>
        <w:lastRenderedPageBreak/>
        <w:t xml:space="preserve">v první části </w:t>
      </w:r>
      <w:proofErr w:type="spellStart"/>
      <w:r w:rsidRPr="00ED3950">
        <w:rPr>
          <w:lang w:val="cs-CZ"/>
        </w:rPr>
        <w:t>webináře</w:t>
      </w:r>
      <w:proofErr w:type="spellEnd"/>
      <w:r w:rsidRPr="00ED3950">
        <w:rPr>
          <w:lang w:val="cs-CZ"/>
        </w:rPr>
        <w:t xml:space="preserve">. Otázky pro panelovou diskusi byly vypracovány tak, aby členské státy mohly </w:t>
      </w:r>
      <w:r w:rsidRPr="00ED3950">
        <w:rPr>
          <w:lang w:val="cs-CZ"/>
        </w:rPr>
        <w:t xml:space="preserve">získat </w:t>
      </w:r>
      <w:r w:rsidRPr="00ED3950">
        <w:rPr>
          <w:b/>
          <w:lang w:val="cs-CZ"/>
        </w:rPr>
        <w:t xml:space="preserve">nové poznatky, nápady a pohledy na </w:t>
      </w:r>
      <w:r w:rsidRPr="00ED3950">
        <w:rPr>
          <w:lang w:val="cs-CZ"/>
        </w:rPr>
        <w:t>opatření, k</w:t>
      </w:r>
      <w:r w:rsidRPr="00ED3950">
        <w:rPr>
          <w:lang w:val="cs-CZ"/>
        </w:rPr>
        <w:t xml:space="preserve">terá je třeba přijmout, a na aktéry, které je třeba zapojit k překonání jednotlivých překážek </w:t>
      </w:r>
      <w:r w:rsidRPr="00ED3950">
        <w:rPr>
          <w:lang w:val="cs-CZ"/>
        </w:rPr>
        <w:t xml:space="preserve">souvisejících se správou DNSH. </w:t>
      </w:r>
    </w:p>
    <w:p w:rsidR="00963084" w:rsidRPr="00ED3950" w:rsidRDefault="00963084" w:rsidP="00C31024">
      <w:pPr>
        <w:jc w:val="both"/>
        <w:rPr>
          <w:lang w:val="cs-CZ"/>
        </w:rPr>
      </w:pPr>
    </w:p>
    <w:p w:rsidR="005840C5" w:rsidRPr="00ED3950" w:rsidRDefault="00ED3950">
      <w:pPr>
        <w:pStyle w:val="Nadpis4"/>
        <w:ind w:firstLine="0"/>
        <w:rPr>
          <w:lang w:val="cs-CZ"/>
        </w:rPr>
      </w:pPr>
      <w:r w:rsidRPr="00ED3950">
        <w:rPr>
          <w:lang w:val="cs-CZ"/>
        </w:rPr>
        <w:t>Program</w:t>
      </w:r>
    </w:p>
    <w:tbl>
      <w:tblPr>
        <w:tblStyle w:val="Mkatabulky"/>
        <w:tblW w:w="0" w:type="auto"/>
        <w:tblLook w:val="04A0" w:firstRow="1" w:lastRow="0" w:firstColumn="1" w:lastColumn="0" w:noHBand="0" w:noVBand="1"/>
      </w:tblPr>
      <w:tblGrid>
        <w:gridCol w:w="1271"/>
        <w:gridCol w:w="4820"/>
        <w:gridCol w:w="2687"/>
      </w:tblGrid>
      <w:tr w:rsidR="00C31024" w:rsidRPr="00ED3950" w:rsidTr="00AD0FB6">
        <w:trPr>
          <w:trHeight w:val="279"/>
        </w:trPr>
        <w:tc>
          <w:tcPr>
            <w:tcW w:w="0" w:type="auto"/>
            <w:gridSpan w:val="3"/>
            <w:shd w:val="clear" w:color="auto" w:fill="005962" w:themeFill="accent1"/>
          </w:tcPr>
          <w:p w:rsidR="005840C5" w:rsidRPr="00ED3950" w:rsidRDefault="00ED3950">
            <w:pPr>
              <w:spacing w:line="260" w:lineRule="atLeast"/>
              <w:ind w:left="0"/>
              <w:rPr>
                <w:b/>
                <w:bCs/>
                <w:color w:val="FFFFFF" w:themeColor="background1"/>
                <w:szCs w:val="18"/>
                <w:lang w:val="cs-CZ"/>
              </w:rPr>
            </w:pPr>
            <w:r w:rsidRPr="00ED3950">
              <w:rPr>
                <w:b/>
                <w:bCs/>
                <w:color w:val="FFFFFF" w:themeColor="background1"/>
                <w:szCs w:val="18"/>
                <w:lang w:val="cs-CZ"/>
              </w:rPr>
              <w:t>Část I: Úvod a příprava scény</w:t>
            </w:r>
          </w:p>
        </w:tc>
      </w:tr>
      <w:tr w:rsidR="00C31024" w:rsidRPr="00ED3950">
        <w:trPr>
          <w:trHeight w:val="347"/>
        </w:trPr>
        <w:tc>
          <w:tcPr>
            <w:tcW w:w="8778" w:type="dxa"/>
            <w:gridSpan w:val="3"/>
            <w:tcMar>
              <w:right w:w="57" w:type="dxa"/>
            </w:tcMar>
          </w:tcPr>
          <w:p w:rsidR="005840C5" w:rsidRPr="00ED3950" w:rsidRDefault="00ED3950">
            <w:pPr>
              <w:spacing w:line="260" w:lineRule="atLeast"/>
              <w:ind w:left="0"/>
              <w:rPr>
                <w:szCs w:val="18"/>
                <w:lang w:val="cs-CZ"/>
              </w:rPr>
            </w:pPr>
            <w:r w:rsidRPr="00ED3950">
              <w:rPr>
                <w:b/>
                <w:bCs/>
                <w:szCs w:val="18"/>
                <w:lang w:val="cs-CZ"/>
              </w:rPr>
              <w:t xml:space="preserve">Moderátor: </w:t>
            </w:r>
            <w:proofErr w:type="spellStart"/>
            <w:r w:rsidRPr="00ED3950">
              <w:rPr>
                <w:szCs w:val="18"/>
                <w:lang w:val="cs-CZ"/>
              </w:rPr>
              <w:t>Jeroen</w:t>
            </w:r>
            <w:proofErr w:type="spellEnd"/>
            <w:r w:rsidRPr="00ED3950">
              <w:rPr>
                <w:szCs w:val="18"/>
                <w:lang w:val="cs-CZ"/>
              </w:rPr>
              <w:t xml:space="preserve"> van der </w:t>
            </w:r>
            <w:proofErr w:type="spellStart"/>
            <w:r w:rsidRPr="00ED3950">
              <w:rPr>
                <w:szCs w:val="18"/>
                <w:lang w:val="cs-CZ"/>
              </w:rPr>
              <w:t>Laan</w:t>
            </w:r>
            <w:proofErr w:type="spellEnd"/>
            <w:r w:rsidRPr="00ED3950">
              <w:rPr>
                <w:szCs w:val="18"/>
                <w:lang w:val="cs-CZ"/>
              </w:rPr>
              <w:t xml:space="preserve"> (</w:t>
            </w:r>
            <w:proofErr w:type="spellStart"/>
            <w:r w:rsidRPr="00ED3950">
              <w:rPr>
                <w:szCs w:val="18"/>
                <w:lang w:val="cs-CZ"/>
              </w:rPr>
              <w:t>Trinomics</w:t>
            </w:r>
            <w:proofErr w:type="spellEnd"/>
            <w:r w:rsidRPr="00ED3950">
              <w:rPr>
                <w:szCs w:val="18"/>
                <w:lang w:val="cs-CZ"/>
              </w:rPr>
              <w:t>)</w:t>
            </w:r>
          </w:p>
        </w:tc>
      </w:tr>
      <w:tr w:rsidR="00C31024" w:rsidRPr="00ED3950">
        <w:trPr>
          <w:trHeight w:val="573"/>
        </w:trPr>
        <w:tc>
          <w:tcPr>
            <w:tcW w:w="1271" w:type="dxa"/>
            <w:tcMar>
              <w:right w:w="57" w:type="dxa"/>
            </w:tcMar>
          </w:tcPr>
          <w:p w:rsidR="005840C5" w:rsidRPr="00ED3950" w:rsidRDefault="00ED3950">
            <w:pPr>
              <w:spacing w:line="260" w:lineRule="atLeast"/>
              <w:ind w:left="0"/>
              <w:rPr>
                <w:szCs w:val="18"/>
                <w:lang w:val="cs-CZ"/>
              </w:rPr>
            </w:pPr>
            <w:r w:rsidRPr="00ED3950">
              <w:rPr>
                <w:szCs w:val="18"/>
                <w:lang w:val="cs-CZ"/>
              </w:rPr>
              <w:t xml:space="preserve">10.00 </w:t>
            </w:r>
            <w:r w:rsidRPr="00ED3950">
              <w:rPr>
                <w:szCs w:val="18"/>
                <w:lang w:val="cs-CZ"/>
              </w:rPr>
              <w:t>- 10.05</w:t>
            </w:r>
          </w:p>
        </w:tc>
        <w:tc>
          <w:tcPr>
            <w:tcW w:w="4820" w:type="dxa"/>
          </w:tcPr>
          <w:p w:rsidR="005840C5" w:rsidRPr="00ED3950" w:rsidRDefault="00ED3950">
            <w:pPr>
              <w:spacing w:line="260" w:lineRule="atLeast"/>
              <w:ind w:left="0"/>
              <w:rPr>
                <w:szCs w:val="18"/>
                <w:lang w:val="cs-CZ"/>
              </w:rPr>
            </w:pPr>
            <w:r w:rsidRPr="00ED3950">
              <w:rPr>
                <w:b/>
                <w:bCs/>
                <w:szCs w:val="18"/>
                <w:lang w:val="cs-CZ"/>
              </w:rPr>
              <w:t>Uvítání</w:t>
            </w:r>
            <w:r w:rsidRPr="00ED3950">
              <w:rPr>
                <w:szCs w:val="18"/>
                <w:lang w:val="cs-CZ"/>
              </w:rPr>
              <w:t xml:space="preserve">: úvod do projektu a očekávané výsledky </w:t>
            </w:r>
            <w:proofErr w:type="spellStart"/>
            <w:r w:rsidRPr="00ED3950">
              <w:rPr>
                <w:szCs w:val="18"/>
                <w:lang w:val="cs-CZ"/>
              </w:rPr>
              <w:t>webináře</w:t>
            </w:r>
            <w:proofErr w:type="spellEnd"/>
          </w:p>
        </w:tc>
        <w:tc>
          <w:tcPr>
            <w:tcW w:w="2687" w:type="dxa"/>
          </w:tcPr>
          <w:p w:rsidR="005840C5" w:rsidRPr="00ED3950" w:rsidRDefault="00ED3950">
            <w:pPr>
              <w:spacing w:line="260" w:lineRule="atLeast"/>
              <w:ind w:left="0"/>
              <w:rPr>
                <w:szCs w:val="18"/>
                <w:lang w:val="cs-CZ"/>
              </w:rPr>
            </w:pPr>
            <w:r w:rsidRPr="00ED3950">
              <w:rPr>
                <w:szCs w:val="18"/>
                <w:lang w:val="cs-CZ"/>
              </w:rPr>
              <w:t xml:space="preserve">Nikola </w:t>
            </w:r>
            <w:proofErr w:type="spellStart"/>
            <w:r w:rsidRPr="00ED3950">
              <w:rPr>
                <w:szCs w:val="18"/>
                <w:lang w:val="cs-CZ"/>
              </w:rPr>
              <w:t>Blokešová</w:t>
            </w:r>
            <w:proofErr w:type="spellEnd"/>
            <w:r w:rsidRPr="00ED3950">
              <w:rPr>
                <w:szCs w:val="18"/>
                <w:lang w:val="cs-CZ"/>
              </w:rPr>
              <w:t>, Úřad vlády (Česko)</w:t>
            </w:r>
          </w:p>
        </w:tc>
      </w:tr>
      <w:tr w:rsidR="00C31024" w:rsidRPr="00ED3950">
        <w:trPr>
          <w:trHeight w:val="20"/>
        </w:trPr>
        <w:tc>
          <w:tcPr>
            <w:tcW w:w="1271" w:type="dxa"/>
            <w:tcMar>
              <w:right w:w="57" w:type="dxa"/>
            </w:tcMar>
          </w:tcPr>
          <w:p w:rsidR="005840C5" w:rsidRPr="00ED3950" w:rsidRDefault="00ED3950">
            <w:pPr>
              <w:spacing w:line="260" w:lineRule="atLeast"/>
              <w:ind w:left="0"/>
              <w:rPr>
                <w:szCs w:val="18"/>
                <w:lang w:val="cs-CZ"/>
              </w:rPr>
            </w:pPr>
            <w:r w:rsidRPr="00ED3950">
              <w:rPr>
                <w:szCs w:val="18"/>
                <w:lang w:val="cs-CZ"/>
              </w:rPr>
              <w:t>10.</w:t>
            </w:r>
            <w:r w:rsidRPr="00ED3950">
              <w:rPr>
                <w:szCs w:val="18"/>
                <w:lang w:val="cs-CZ"/>
              </w:rPr>
              <w:t xml:space="preserve">05 </w:t>
            </w:r>
            <w:r w:rsidRPr="00ED3950">
              <w:rPr>
                <w:szCs w:val="18"/>
                <w:lang w:val="cs-CZ"/>
              </w:rPr>
              <w:t xml:space="preserve">- </w:t>
            </w:r>
            <w:r w:rsidRPr="00ED3950">
              <w:rPr>
                <w:szCs w:val="18"/>
                <w:lang w:val="cs-CZ"/>
              </w:rPr>
              <w:t>10.15</w:t>
            </w:r>
          </w:p>
        </w:tc>
        <w:tc>
          <w:tcPr>
            <w:tcW w:w="4820" w:type="dxa"/>
          </w:tcPr>
          <w:p w:rsidR="005840C5" w:rsidRPr="00ED3950" w:rsidRDefault="00ED3950">
            <w:pPr>
              <w:spacing w:line="260" w:lineRule="atLeast"/>
              <w:ind w:left="0"/>
              <w:rPr>
                <w:szCs w:val="18"/>
                <w:lang w:val="cs-CZ"/>
              </w:rPr>
            </w:pPr>
            <w:r w:rsidRPr="00ED3950">
              <w:rPr>
                <w:b/>
                <w:bCs/>
                <w:szCs w:val="18"/>
                <w:lang w:val="cs-CZ"/>
              </w:rPr>
              <w:t>Příprava scény</w:t>
            </w:r>
            <w:r w:rsidRPr="00ED3950">
              <w:rPr>
                <w:szCs w:val="18"/>
                <w:lang w:val="cs-CZ"/>
              </w:rPr>
              <w:t>: představení výzev souvisejících s procesy řízení při uplatňování zásady DNSH</w:t>
            </w:r>
          </w:p>
        </w:tc>
        <w:tc>
          <w:tcPr>
            <w:tcW w:w="2687" w:type="dxa"/>
          </w:tcPr>
          <w:p w:rsidR="005840C5" w:rsidRPr="00ED3950" w:rsidRDefault="00ED3950">
            <w:pPr>
              <w:spacing w:line="260" w:lineRule="atLeast"/>
              <w:ind w:left="0"/>
              <w:rPr>
                <w:szCs w:val="18"/>
                <w:lang w:val="cs-CZ"/>
              </w:rPr>
            </w:pPr>
            <w:r w:rsidRPr="00ED3950">
              <w:rPr>
                <w:szCs w:val="18"/>
                <w:lang w:val="cs-CZ"/>
              </w:rPr>
              <w:t>Julian Toth (ISFC)</w:t>
            </w:r>
          </w:p>
        </w:tc>
      </w:tr>
      <w:tr w:rsidR="00C31024" w:rsidRPr="00ED3950">
        <w:trPr>
          <w:trHeight w:val="20"/>
        </w:trPr>
        <w:tc>
          <w:tcPr>
            <w:tcW w:w="1271" w:type="dxa"/>
            <w:tcMar>
              <w:right w:w="57" w:type="dxa"/>
            </w:tcMar>
          </w:tcPr>
          <w:p w:rsidR="005840C5" w:rsidRPr="00ED3950" w:rsidRDefault="00ED3950">
            <w:pPr>
              <w:spacing w:line="260" w:lineRule="atLeast"/>
              <w:ind w:left="0"/>
              <w:rPr>
                <w:szCs w:val="18"/>
                <w:lang w:val="cs-CZ"/>
              </w:rPr>
            </w:pPr>
            <w:r w:rsidRPr="00ED3950">
              <w:rPr>
                <w:szCs w:val="18"/>
                <w:lang w:val="cs-CZ"/>
              </w:rPr>
              <w:t>10.</w:t>
            </w:r>
            <w:r w:rsidRPr="00ED3950">
              <w:rPr>
                <w:szCs w:val="18"/>
                <w:lang w:val="cs-CZ"/>
              </w:rPr>
              <w:t xml:space="preserve">15 </w:t>
            </w:r>
            <w:r w:rsidRPr="00ED3950">
              <w:rPr>
                <w:szCs w:val="18"/>
                <w:lang w:val="cs-CZ"/>
              </w:rPr>
              <w:t xml:space="preserve">- </w:t>
            </w:r>
            <w:r w:rsidRPr="00ED3950">
              <w:rPr>
                <w:szCs w:val="18"/>
                <w:lang w:val="cs-CZ"/>
              </w:rPr>
              <w:t>10</w:t>
            </w:r>
            <w:r w:rsidRPr="00ED3950">
              <w:rPr>
                <w:szCs w:val="18"/>
                <w:lang w:val="cs-CZ"/>
              </w:rPr>
              <w:t>.</w:t>
            </w:r>
            <w:r w:rsidRPr="00ED3950">
              <w:rPr>
                <w:szCs w:val="18"/>
                <w:lang w:val="cs-CZ"/>
              </w:rPr>
              <w:t>35</w:t>
            </w:r>
          </w:p>
        </w:tc>
        <w:tc>
          <w:tcPr>
            <w:tcW w:w="4820" w:type="dxa"/>
          </w:tcPr>
          <w:p w:rsidR="005840C5" w:rsidRPr="00ED3950" w:rsidRDefault="00ED3950">
            <w:pPr>
              <w:spacing w:line="260" w:lineRule="atLeast"/>
              <w:ind w:left="0"/>
              <w:rPr>
                <w:szCs w:val="18"/>
                <w:lang w:val="cs-CZ"/>
              </w:rPr>
            </w:pPr>
            <w:r w:rsidRPr="00ED3950">
              <w:rPr>
                <w:b/>
                <w:bCs/>
                <w:szCs w:val="18"/>
                <w:lang w:val="cs-CZ"/>
              </w:rPr>
              <w:t>Kontext v České republice</w:t>
            </w:r>
            <w:r w:rsidRPr="00ED3950">
              <w:rPr>
                <w:szCs w:val="18"/>
                <w:lang w:val="cs-CZ"/>
              </w:rPr>
              <w:t>: Představení rámcových pokynů a řízení jejich uplatňování napříč ministerstvy</w:t>
            </w:r>
          </w:p>
        </w:tc>
        <w:tc>
          <w:tcPr>
            <w:tcW w:w="2687" w:type="dxa"/>
          </w:tcPr>
          <w:p w:rsidR="005840C5" w:rsidRPr="00ED3950" w:rsidRDefault="00ED3950">
            <w:pPr>
              <w:spacing w:line="260" w:lineRule="atLeast"/>
              <w:ind w:left="0"/>
              <w:rPr>
                <w:szCs w:val="18"/>
                <w:lang w:val="cs-CZ"/>
              </w:rPr>
            </w:pPr>
            <w:r w:rsidRPr="00ED3950">
              <w:rPr>
                <w:szCs w:val="18"/>
                <w:lang w:val="cs-CZ"/>
              </w:rPr>
              <w:t xml:space="preserve">Richard </w:t>
            </w:r>
            <w:r w:rsidRPr="00ED3950">
              <w:rPr>
                <w:szCs w:val="18"/>
                <w:lang w:val="cs-CZ"/>
              </w:rPr>
              <w:t xml:space="preserve">Juřík, </w:t>
            </w:r>
            <w:r w:rsidRPr="00ED3950">
              <w:rPr>
                <w:szCs w:val="18"/>
                <w:lang w:val="cs-CZ"/>
              </w:rPr>
              <w:t>Ministerstvo životního prostředí</w:t>
            </w:r>
          </w:p>
        </w:tc>
      </w:tr>
      <w:tr w:rsidR="00C31024" w:rsidRPr="00ED3950">
        <w:trPr>
          <w:trHeight w:val="20"/>
        </w:trPr>
        <w:tc>
          <w:tcPr>
            <w:tcW w:w="1271" w:type="dxa"/>
            <w:tcMar>
              <w:right w:w="57" w:type="dxa"/>
            </w:tcMar>
          </w:tcPr>
          <w:p w:rsidR="005840C5" w:rsidRPr="00ED3950" w:rsidRDefault="00ED3950">
            <w:pPr>
              <w:spacing w:line="260" w:lineRule="atLeast"/>
              <w:ind w:left="0"/>
              <w:rPr>
                <w:szCs w:val="18"/>
                <w:lang w:val="cs-CZ"/>
              </w:rPr>
            </w:pPr>
            <w:r w:rsidRPr="00ED3950">
              <w:rPr>
                <w:szCs w:val="18"/>
                <w:lang w:val="cs-CZ"/>
              </w:rPr>
              <w:t>10</w:t>
            </w:r>
            <w:r w:rsidRPr="00ED3950">
              <w:rPr>
                <w:szCs w:val="18"/>
                <w:lang w:val="cs-CZ"/>
              </w:rPr>
              <w:t>.</w:t>
            </w:r>
            <w:r w:rsidRPr="00ED3950">
              <w:rPr>
                <w:szCs w:val="18"/>
                <w:lang w:val="cs-CZ"/>
              </w:rPr>
              <w:t xml:space="preserve">35 </w:t>
            </w:r>
            <w:r w:rsidRPr="00ED3950">
              <w:rPr>
                <w:szCs w:val="18"/>
                <w:lang w:val="cs-CZ"/>
              </w:rPr>
              <w:t xml:space="preserve">- </w:t>
            </w:r>
            <w:r w:rsidRPr="00ED3950">
              <w:rPr>
                <w:szCs w:val="18"/>
                <w:lang w:val="cs-CZ"/>
              </w:rPr>
              <w:t>10</w:t>
            </w:r>
            <w:r w:rsidRPr="00ED3950">
              <w:rPr>
                <w:szCs w:val="18"/>
                <w:lang w:val="cs-CZ"/>
              </w:rPr>
              <w:t>.</w:t>
            </w:r>
            <w:r w:rsidRPr="00ED3950">
              <w:rPr>
                <w:szCs w:val="18"/>
                <w:lang w:val="cs-CZ"/>
              </w:rPr>
              <w:t>55</w:t>
            </w:r>
          </w:p>
        </w:tc>
        <w:tc>
          <w:tcPr>
            <w:tcW w:w="4820" w:type="dxa"/>
          </w:tcPr>
          <w:p w:rsidR="005840C5" w:rsidRPr="00ED3950" w:rsidRDefault="00ED3950">
            <w:pPr>
              <w:spacing w:line="260" w:lineRule="atLeast"/>
              <w:ind w:left="0"/>
              <w:rPr>
                <w:lang w:val="cs-CZ"/>
              </w:rPr>
            </w:pPr>
            <w:r w:rsidRPr="00ED3950">
              <w:rPr>
                <w:b/>
                <w:bCs/>
                <w:lang w:val="cs-CZ"/>
              </w:rPr>
              <w:t>Případ 1</w:t>
            </w:r>
            <w:r w:rsidRPr="00ED3950">
              <w:rPr>
                <w:lang w:val="cs-CZ"/>
              </w:rPr>
              <w:t xml:space="preserve">: Vytvoření kapacitního </w:t>
            </w:r>
            <w:r w:rsidRPr="00ED3950">
              <w:rPr>
                <w:lang w:val="cs-CZ"/>
              </w:rPr>
              <w:t xml:space="preserve">centra ve </w:t>
            </w:r>
            <w:r w:rsidRPr="00ED3950">
              <w:rPr>
                <w:lang w:val="cs-CZ"/>
              </w:rPr>
              <w:t>Španělsku</w:t>
            </w:r>
          </w:p>
        </w:tc>
        <w:tc>
          <w:tcPr>
            <w:tcW w:w="2687" w:type="dxa"/>
          </w:tcPr>
          <w:p w:rsidR="005840C5" w:rsidRPr="00ED3950" w:rsidRDefault="00ED3950">
            <w:pPr>
              <w:spacing w:line="260" w:lineRule="atLeast"/>
              <w:ind w:left="0"/>
              <w:rPr>
                <w:szCs w:val="18"/>
                <w:lang w:val="cs-CZ"/>
              </w:rPr>
            </w:pPr>
            <w:proofErr w:type="spellStart"/>
            <w:r w:rsidRPr="00ED3950">
              <w:rPr>
                <w:szCs w:val="18"/>
                <w:lang w:val="cs-CZ"/>
              </w:rPr>
              <w:t>Lucía</w:t>
            </w:r>
            <w:proofErr w:type="spellEnd"/>
            <w:r w:rsidRPr="00ED3950">
              <w:rPr>
                <w:szCs w:val="18"/>
                <w:lang w:val="cs-CZ"/>
              </w:rPr>
              <w:t xml:space="preserve"> </w:t>
            </w:r>
            <w:proofErr w:type="spellStart"/>
            <w:r w:rsidRPr="00ED3950">
              <w:rPr>
                <w:szCs w:val="18"/>
                <w:lang w:val="cs-CZ"/>
              </w:rPr>
              <w:t>Cobo</w:t>
            </w:r>
            <w:proofErr w:type="spellEnd"/>
            <w:r w:rsidRPr="00ED3950">
              <w:rPr>
                <w:szCs w:val="18"/>
                <w:lang w:val="cs-CZ"/>
              </w:rPr>
              <w:t>, Ministerstvo pro ekologický přechod a demografické</w:t>
            </w:r>
            <w:r w:rsidRPr="00ED3950">
              <w:rPr>
                <w:szCs w:val="18"/>
                <w:lang w:val="cs-CZ"/>
              </w:rPr>
              <w:t xml:space="preserve"> výzvy (Španělsko)</w:t>
            </w:r>
          </w:p>
        </w:tc>
      </w:tr>
      <w:tr w:rsidR="00C31024" w:rsidRPr="00ED3950">
        <w:trPr>
          <w:trHeight w:val="20"/>
        </w:trPr>
        <w:tc>
          <w:tcPr>
            <w:tcW w:w="1271" w:type="dxa"/>
            <w:tcMar>
              <w:right w:w="57" w:type="dxa"/>
            </w:tcMar>
          </w:tcPr>
          <w:p w:rsidR="005840C5" w:rsidRPr="00ED3950" w:rsidRDefault="00ED3950">
            <w:pPr>
              <w:spacing w:line="260" w:lineRule="atLeast"/>
              <w:ind w:left="0"/>
              <w:rPr>
                <w:szCs w:val="18"/>
                <w:lang w:val="cs-CZ"/>
              </w:rPr>
            </w:pPr>
            <w:r w:rsidRPr="00ED3950">
              <w:rPr>
                <w:szCs w:val="18"/>
                <w:lang w:val="cs-CZ"/>
              </w:rPr>
              <w:t>10</w:t>
            </w:r>
            <w:r w:rsidRPr="00ED3950">
              <w:rPr>
                <w:szCs w:val="18"/>
                <w:lang w:val="cs-CZ"/>
              </w:rPr>
              <w:t>.</w:t>
            </w:r>
            <w:r w:rsidRPr="00ED3950">
              <w:rPr>
                <w:szCs w:val="18"/>
                <w:lang w:val="cs-CZ"/>
              </w:rPr>
              <w:t xml:space="preserve">55 </w:t>
            </w:r>
            <w:r w:rsidRPr="00ED3950">
              <w:rPr>
                <w:szCs w:val="18"/>
                <w:lang w:val="cs-CZ"/>
              </w:rPr>
              <w:t xml:space="preserve">- </w:t>
            </w:r>
            <w:r w:rsidRPr="00ED3950">
              <w:rPr>
                <w:szCs w:val="18"/>
                <w:lang w:val="cs-CZ"/>
              </w:rPr>
              <w:t>11</w:t>
            </w:r>
            <w:r w:rsidRPr="00ED3950">
              <w:rPr>
                <w:szCs w:val="18"/>
                <w:lang w:val="cs-CZ"/>
              </w:rPr>
              <w:t>.</w:t>
            </w:r>
            <w:r w:rsidRPr="00ED3950">
              <w:rPr>
                <w:szCs w:val="18"/>
                <w:lang w:val="cs-CZ"/>
              </w:rPr>
              <w:t>15</w:t>
            </w:r>
          </w:p>
        </w:tc>
        <w:tc>
          <w:tcPr>
            <w:tcW w:w="4820" w:type="dxa"/>
          </w:tcPr>
          <w:p w:rsidR="005840C5" w:rsidRPr="00ED3950" w:rsidRDefault="00ED3950">
            <w:pPr>
              <w:spacing w:line="260" w:lineRule="atLeast"/>
              <w:ind w:left="0"/>
              <w:rPr>
                <w:lang w:val="cs-CZ"/>
              </w:rPr>
            </w:pPr>
            <w:r w:rsidRPr="00ED3950">
              <w:rPr>
                <w:b/>
                <w:bCs/>
                <w:lang w:val="cs-CZ"/>
              </w:rPr>
              <w:t>Případ 2</w:t>
            </w:r>
            <w:r w:rsidRPr="00ED3950">
              <w:rPr>
                <w:lang w:val="cs-CZ"/>
              </w:rPr>
              <w:t xml:space="preserve">: Vytvoření </w:t>
            </w:r>
            <w:proofErr w:type="spellStart"/>
            <w:r w:rsidRPr="00ED3950">
              <w:rPr>
                <w:lang w:val="cs-CZ"/>
              </w:rPr>
              <w:t>helpdesku</w:t>
            </w:r>
            <w:proofErr w:type="spellEnd"/>
            <w:r w:rsidRPr="00ED3950">
              <w:rPr>
                <w:lang w:val="cs-CZ"/>
              </w:rPr>
              <w:t xml:space="preserve"> DNSH v Belgii</w:t>
            </w:r>
          </w:p>
        </w:tc>
        <w:tc>
          <w:tcPr>
            <w:tcW w:w="2687" w:type="dxa"/>
          </w:tcPr>
          <w:p w:rsidR="005840C5" w:rsidRPr="00ED3950" w:rsidRDefault="00ED3950">
            <w:pPr>
              <w:spacing w:line="260" w:lineRule="atLeast"/>
              <w:ind w:left="0"/>
              <w:rPr>
                <w:szCs w:val="18"/>
                <w:lang w:val="cs-CZ"/>
              </w:rPr>
            </w:pPr>
            <w:proofErr w:type="spellStart"/>
            <w:r w:rsidRPr="00ED3950">
              <w:rPr>
                <w:szCs w:val="18"/>
                <w:lang w:val="cs-CZ"/>
              </w:rPr>
              <w:t>Stéphanie</w:t>
            </w:r>
            <w:proofErr w:type="spellEnd"/>
            <w:r w:rsidRPr="00ED3950">
              <w:rPr>
                <w:szCs w:val="18"/>
                <w:lang w:val="cs-CZ"/>
              </w:rPr>
              <w:t xml:space="preserve"> </w:t>
            </w:r>
            <w:proofErr w:type="spellStart"/>
            <w:r w:rsidRPr="00ED3950">
              <w:rPr>
                <w:szCs w:val="18"/>
                <w:lang w:val="cs-CZ"/>
              </w:rPr>
              <w:t>Baclin</w:t>
            </w:r>
            <w:proofErr w:type="spellEnd"/>
            <w:r w:rsidRPr="00ED3950">
              <w:rPr>
                <w:szCs w:val="18"/>
                <w:lang w:val="cs-CZ"/>
              </w:rPr>
              <w:t>, Federální veřejná služba pro zdraví, bezpečnost potravinového řetězce a životní prostředí (Belgie)</w:t>
            </w:r>
          </w:p>
        </w:tc>
      </w:tr>
      <w:tr w:rsidR="00C31024" w:rsidRPr="00ED3950">
        <w:trPr>
          <w:trHeight w:val="20"/>
        </w:trPr>
        <w:tc>
          <w:tcPr>
            <w:tcW w:w="1271" w:type="dxa"/>
            <w:tcMar>
              <w:right w:w="57" w:type="dxa"/>
            </w:tcMar>
          </w:tcPr>
          <w:p w:rsidR="005840C5" w:rsidRPr="00ED3950" w:rsidRDefault="00ED3950">
            <w:pPr>
              <w:spacing w:line="260" w:lineRule="atLeast"/>
              <w:ind w:left="0"/>
              <w:rPr>
                <w:i/>
                <w:iCs/>
                <w:szCs w:val="18"/>
                <w:lang w:val="cs-CZ"/>
              </w:rPr>
            </w:pPr>
            <w:r w:rsidRPr="00ED3950">
              <w:rPr>
                <w:i/>
                <w:iCs/>
                <w:szCs w:val="18"/>
                <w:lang w:val="cs-CZ"/>
              </w:rPr>
              <w:t>11.15 - 11.30</w:t>
            </w:r>
          </w:p>
        </w:tc>
        <w:tc>
          <w:tcPr>
            <w:tcW w:w="7507" w:type="dxa"/>
            <w:gridSpan w:val="2"/>
          </w:tcPr>
          <w:p w:rsidR="005840C5" w:rsidRPr="00ED3950" w:rsidRDefault="00ED3950">
            <w:pPr>
              <w:spacing w:line="260" w:lineRule="atLeast"/>
              <w:ind w:left="0"/>
              <w:rPr>
                <w:i/>
                <w:iCs/>
                <w:szCs w:val="18"/>
                <w:lang w:val="cs-CZ"/>
              </w:rPr>
            </w:pPr>
            <w:r w:rsidRPr="00ED3950">
              <w:rPr>
                <w:i/>
                <w:iCs/>
                <w:szCs w:val="18"/>
                <w:lang w:val="cs-CZ"/>
              </w:rPr>
              <w:t>Přestávka na kávu</w:t>
            </w:r>
          </w:p>
        </w:tc>
      </w:tr>
      <w:tr w:rsidR="00C31024" w:rsidRPr="00ED3950" w:rsidTr="00AD0FB6">
        <w:trPr>
          <w:trHeight w:val="335"/>
        </w:trPr>
        <w:tc>
          <w:tcPr>
            <w:tcW w:w="0" w:type="auto"/>
            <w:gridSpan w:val="3"/>
            <w:shd w:val="clear" w:color="auto" w:fill="005962" w:themeFill="accent1"/>
            <w:tcMar>
              <w:right w:w="57" w:type="dxa"/>
            </w:tcMar>
          </w:tcPr>
          <w:p w:rsidR="005840C5" w:rsidRPr="00ED3950" w:rsidRDefault="00ED3950">
            <w:pPr>
              <w:spacing w:line="260" w:lineRule="atLeast"/>
              <w:ind w:left="0"/>
              <w:rPr>
                <w:b/>
                <w:bCs/>
                <w:color w:val="FFFFFF" w:themeColor="background1"/>
                <w:szCs w:val="18"/>
                <w:lang w:val="cs-CZ"/>
              </w:rPr>
            </w:pPr>
            <w:r w:rsidRPr="00ED3950">
              <w:rPr>
                <w:b/>
                <w:bCs/>
                <w:color w:val="FFFFFF" w:themeColor="background1"/>
                <w:szCs w:val="18"/>
                <w:lang w:val="cs-CZ"/>
              </w:rPr>
              <w:t xml:space="preserve">Část II: Panelová diskuse </w:t>
            </w:r>
            <w:r w:rsidRPr="00ED3950">
              <w:rPr>
                <w:b/>
                <w:bCs/>
                <w:color w:val="FFFFFF" w:themeColor="background1"/>
                <w:szCs w:val="18"/>
                <w:lang w:val="cs-CZ"/>
              </w:rPr>
              <w:t>- Řídicí procesy pro uplatňování zásady DNSH</w:t>
            </w:r>
          </w:p>
        </w:tc>
      </w:tr>
      <w:tr w:rsidR="00C31024" w:rsidRPr="00ED3950">
        <w:trPr>
          <w:trHeight w:val="20"/>
        </w:trPr>
        <w:tc>
          <w:tcPr>
            <w:tcW w:w="1271" w:type="dxa"/>
            <w:tcMar>
              <w:right w:w="57" w:type="dxa"/>
            </w:tcMar>
          </w:tcPr>
          <w:p w:rsidR="005840C5" w:rsidRPr="00ED3950" w:rsidRDefault="00ED3950">
            <w:pPr>
              <w:spacing w:line="260" w:lineRule="atLeast"/>
              <w:ind w:left="0"/>
              <w:rPr>
                <w:szCs w:val="18"/>
                <w:lang w:val="cs-CZ"/>
              </w:rPr>
            </w:pPr>
            <w:r w:rsidRPr="00ED3950">
              <w:rPr>
                <w:szCs w:val="18"/>
                <w:lang w:val="cs-CZ"/>
              </w:rPr>
              <w:t>11</w:t>
            </w:r>
            <w:r w:rsidRPr="00ED3950">
              <w:rPr>
                <w:szCs w:val="18"/>
                <w:lang w:val="cs-CZ"/>
              </w:rPr>
              <w:t>.30 - 12.</w:t>
            </w:r>
            <w:r w:rsidRPr="00ED3950">
              <w:rPr>
                <w:szCs w:val="18"/>
                <w:lang w:val="cs-CZ"/>
              </w:rPr>
              <w:t>20</w:t>
            </w:r>
          </w:p>
        </w:tc>
        <w:tc>
          <w:tcPr>
            <w:tcW w:w="7507" w:type="dxa"/>
            <w:gridSpan w:val="2"/>
          </w:tcPr>
          <w:p w:rsidR="005840C5" w:rsidRPr="00ED3950" w:rsidRDefault="00ED3950">
            <w:pPr>
              <w:spacing w:line="260" w:lineRule="atLeast"/>
              <w:ind w:left="0"/>
              <w:rPr>
                <w:lang w:val="cs-CZ"/>
              </w:rPr>
            </w:pPr>
            <w:r w:rsidRPr="00ED3950">
              <w:rPr>
                <w:b/>
                <w:lang w:val="cs-CZ"/>
              </w:rPr>
              <w:t>Moderátor</w:t>
            </w:r>
            <w:r w:rsidRPr="00ED3950">
              <w:rPr>
                <w:lang w:val="cs-CZ"/>
              </w:rPr>
              <w:t>: Julian Toth (ISFC)</w:t>
            </w:r>
          </w:p>
          <w:p w:rsidR="005840C5" w:rsidRPr="00ED3950" w:rsidRDefault="00ED3950">
            <w:pPr>
              <w:spacing w:line="260" w:lineRule="atLeast"/>
              <w:ind w:left="0"/>
              <w:rPr>
                <w:szCs w:val="18"/>
                <w:lang w:val="cs-CZ"/>
              </w:rPr>
            </w:pPr>
            <w:r w:rsidRPr="00ED3950">
              <w:rPr>
                <w:b/>
                <w:bCs/>
                <w:szCs w:val="18"/>
                <w:lang w:val="cs-CZ"/>
              </w:rPr>
              <w:t>Členové panelu</w:t>
            </w:r>
            <w:r w:rsidRPr="00ED3950">
              <w:rPr>
                <w:szCs w:val="18"/>
                <w:lang w:val="cs-CZ"/>
              </w:rPr>
              <w:t xml:space="preserve">: </w:t>
            </w:r>
          </w:p>
          <w:p w:rsidR="005840C5" w:rsidRPr="00ED3950" w:rsidRDefault="00ED3950">
            <w:pPr>
              <w:pStyle w:val="Odstavecseseznamem"/>
              <w:numPr>
                <w:ilvl w:val="0"/>
                <w:numId w:val="14"/>
              </w:numPr>
              <w:spacing w:line="260" w:lineRule="atLeast"/>
              <w:ind w:left="322" w:hanging="283"/>
              <w:rPr>
                <w:szCs w:val="18"/>
                <w:lang w:val="cs-CZ"/>
              </w:rPr>
            </w:pPr>
            <w:r w:rsidRPr="00ED3950">
              <w:rPr>
                <w:szCs w:val="18"/>
                <w:lang w:val="cs-CZ"/>
              </w:rPr>
              <w:t>Richard Juřík, Ministerstvo životního prostředí (Česko)</w:t>
            </w:r>
          </w:p>
          <w:p w:rsidR="005840C5" w:rsidRPr="00ED3950" w:rsidRDefault="00ED3950">
            <w:pPr>
              <w:pStyle w:val="Odstavecseseznamem"/>
              <w:numPr>
                <w:ilvl w:val="0"/>
                <w:numId w:val="14"/>
              </w:numPr>
              <w:spacing w:line="260" w:lineRule="atLeast"/>
              <w:ind w:left="322" w:hanging="283"/>
              <w:rPr>
                <w:szCs w:val="18"/>
                <w:lang w:val="cs-CZ"/>
              </w:rPr>
            </w:pPr>
            <w:proofErr w:type="spellStart"/>
            <w:r w:rsidRPr="00ED3950">
              <w:rPr>
                <w:szCs w:val="18"/>
                <w:lang w:val="cs-CZ"/>
              </w:rPr>
              <w:t>Lucía</w:t>
            </w:r>
            <w:proofErr w:type="spellEnd"/>
            <w:r w:rsidRPr="00ED3950">
              <w:rPr>
                <w:szCs w:val="18"/>
                <w:lang w:val="cs-CZ"/>
              </w:rPr>
              <w:t xml:space="preserve"> </w:t>
            </w:r>
            <w:proofErr w:type="spellStart"/>
            <w:r w:rsidRPr="00ED3950">
              <w:rPr>
                <w:szCs w:val="18"/>
                <w:lang w:val="cs-CZ"/>
              </w:rPr>
              <w:t>Cobo</w:t>
            </w:r>
            <w:proofErr w:type="spellEnd"/>
            <w:r w:rsidRPr="00ED3950">
              <w:rPr>
                <w:szCs w:val="18"/>
                <w:lang w:val="cs-CZ"/>
              </w:rPr>
              <w:t>, Ministerstvo pro ekologický přechod a demografické výzvy (Španělsko)</w:t>
            </w:r>
          </w:p>
          <w:p w:rsidR="005840C5" w:rsidRPr="00ED3950" w:rsidRDefault="00ED3950">
            <w:pPr>
              <w:pStyle w:val="Odstavecseseznamem"/>
              <w:numPr>
                <w:ilvl w:val="0"/>
                <w:numId w:val="14"/>
              </w:numPr>
              <w:spacing w:line="260" w:lineRule="atLeast"/>
              <w:ind w:left="322" w:hanging="283"/>
              <w:rPr>
                <w:szCs w:val="18"/>
                <w:lang w:val="cs-CZ"/>
              </w:rPr>
            </w:pPr>
            <w:proofErr w:type="spellStart"/>
            <w:r w:rsidRPr="00ED3950">
              <w:rPr>
                <w:szCs w:val="18"/>
                <w:lang w:val="cs-CZ"/>
              </w:rPr>
              <w:t>Stéphanie</w:t>
            </w:r>
            <w:proofErr w:type="spellEnd"/>
            <w:r w:rsidRPr="00ED3950">
              <w:rPr>
                <w:szCs w:val="18"/>
                <w:lang w:val="cs-CZ"/>
              </w:rPr>
              <w:t xml:space="preserve"> </w:t>
            </w:r>
            <w:proofErr w:type="spellStart"/>
            <w:r w:rsidRPr="00ED3950">
              <w:rPr>
                <w:szCs w:val="18"/>
                <w:lang w:val="cs-CZ"/>
              </w:rPr>
              <w:t>Ba</w:t>
            </w:r>
            <w:r w:rsidRPr="00ED3950">
              <w:rPr>
                <w:szCs w:val="18"/>
                <w:lang w:val="cs-CZ"/>
              </w:rPr>
              <w:t>clin</w:t>
            </w:r>
            <w:proofErr w:type="spellEnd"/>
            <w:r w:rsidRPr="00ED3950">
              <w:rPr>
                <w:szCs w:val="18"/>
                <w:lang w:val="cs-CZ"/>
              </w:rPr>
              <w:t>, Federální veřejná služba pro zdraví, bezpečnost potravinového řetězce a životní prostředí (Belgie)</w:t>
            </w:r>
          </w:p>
          <w:p w:rsidR="005840C5" w:rsidRPr="00ED3950" w:rsidRDefault="00ED3950">
            <w:pPr>
              <w:pStyle w:val="Odstavecseseznamem"/>
              <w:numPr>
                <w:ilvl w:val="0"/>
                <w:numId w:val="14"/>
              </w:numPr>
              <w:spacing w:line="260" w:lineRule="atLeast"/>
              <w:ind w:left="322" w:hanging="283"/>
              <w:rPr>
                <w:szCs w:val="18"/>
                <w:lang w:val="cs-CZ"/>
              </w:rPr>
            </w:pPr>
            <w:r w:rsidRPr="00ED3950">
              <w:rPr>
                <w:szCs w:val="18"/>
                <w:lang w:val="cs-CZ"/>
              </w:rPr>
              <w:t xml:space="preserve">Emma </w:t>
            </w:r>
            <w:proofErr w:type="spellStart"/>
            <w:r w:rsidRPr="00ED3950">
              <w:rPr>
                <w:szCs w:val="18"/>
                <w:lang w:val="cs-CZ"/>
              </w:rPr>
              <w:t>Terämä</w:t>
            </w:r>
            <w:proofErr w:type="spellEnd"/>
            <w:r w:rsidRPr="00ED3950">
              <w:rPr>
                <w:szCs w:val="18"/>
                <w:lang w:val="cs-CZ"/>
              </w:rPr>
              <w:t>, Ministerstvo životního prostředí (Finsko)</w:t>
            </w:r>
          </w:p>
        </w:tc>
      </w:tr>
      <w:tr w:rsidR="00C31024" w:rsidRPr="00ED3950">
        <w:trPr>
          <w:trHeight w:val="20"/>
        </w:trPr>
        <w:tc>
          <w:tcPr>
            <w:tcW w:w="1271" w:type="dxa"/>
            <w:tcMar>
              <w:right w:w="57" w:type="dxa"/>
            </w:tcMar>
          </w:tcPr>
          <w:p w:rsidR="005840C5" w:rsidRPr="00ED3950" w:rsidRDefault="00ED3950">
            <w:pPr>
              <w:spacing w:line="260" w:lineRule="atLeast"/>
              <w:ind w:left="0"/>
              <w:rPr>
                <w:szCs w:val="18"/>
                <w:lang w:val="cs-CZ"/>
              </w:rPr>
            </w:pPr>
            <w:r w:rsidRPr="00ED3950">
              <w:rPr>
                <w:szCs w:val="18"/>
                <w:lang w:val="cs-CZ"/>
              </w:rPr>
              <w:t>12.</w:t>
            </w:r>
            <w:r w:rsidRPr="00ED3950">
              <w:rPr>
                <w:szCs w:val="18"/>
                <w:lang w:val="cs-CZ"/>
              </w:rPr>
              <w:t>20 - 12.25</w:t>
            </w:r>
          </w:p>
        </w:tc>
        <w:tc>
          <w:tcPr>
            <w:tcW w:w="4820" w:type="dxa"/>
          </w:tcPr>
          <w:p w:rsidR="005840C5" w:rsidRPr="00ED3950" w:rsidRDefault="00ED3950">
            <w:pPr>
              <w:spacing w:line="260" w:lineRule="atLeast"/>
              <w:ind w:left="0"/>
              <w:rPr>
                <w:szCs w:val="18"/>
                <w:lang w:val="cs-CZ"/>
              </w:rPr>
            </w:pPr>
            <w:r w:rsidRPr="00ED3950">
              <w:rPr>
                <w:szCs w:val="18"/>
                <w:lang w:val="cs-CZ"/>
              </w:rPr>
              <w:t xml:space="preserve">Zamyšlení nad hlavními závěry </w:t>
            </w:r>
            <w:r w:rsidRPr="00ED3950">
              <w:rPr>
                <w:szCs w:val="18"/>
                <w:lang w:val="cs-CZ"/>
              </w:rPr>
              <w:t>panelové diskuse</w:t>
            </w:r>
          </w:p>
        </w:tc>
        <w:tc>
          <w:tcPr>
            <w:tcW w:w="2687" w:type="dxa"/>
          </w:tcPr>
          <w:p w:rsidR="005840C5" w:rsidRPr="00ED3950" w:rsidRDefault="00ED3950">
            <w:pPr>
              <w:spacing w:line="260" w:lineRule="atLeast"/>
              <w:ind w:left="0"/>
              <w:rPr>
                <w:szCs w:val="18"/>
                <w:lang w:val="cs-CZ"/>
              </w:rPr>
            </w:pPr>
            <w:proofErr w:type="spellStart"/>
            <w:r w:rsidRPr="00ED3950">
              <w:rPr>
                <w:szCs w:val="18"/>
                <w:lang w:val="cs-CZ"/>
              </w:rPr>
              <w:t>Jeroen</w:t>
            </w:r>
            <w:proofErr w:type="spellEnd"/>
            <w:r w:rsidRPr="00ED3950">
              <w:rPr>
                <w:szCs w:val="18"/>
                <w:lang w:val="cs-CZ"/>
              </w:rPr>
              <w:t xml:space="preserve"> van der </w:t>
            </w:r>
            <w:proofErr w:type="spellStart"/>
            <w:r w:rsidRPr="00ED3950">
              <w:rPr>
                <w:szCs w:val="18"/>
                <w:lang w:val="cs-CZ"/>
              </w:rPr>
              <w:t>Laan</w:t>
            </w:r>
            <w:proofErr w:type="spellEnd"/>
            <w:r w:rsidRPr="00ED3950">
              <w:rPr>
                <w:szCs w:val="18"/>
                <w:lang w:val="cs-CZ"/>
              </w:rPr>
              <w:t xml:space="preserve"> </w:t>
            </w:r>
            <w:r w:rsidRPr="00ED3950">
              <w:rPr>
                <w:szCs w:val="18"/>
                <w:lang w:val="cs-CZ"/>
              </w:rPr>
              <w:t>(</w:t>
            </w:r>
            <w:proofErr w:type="spellStart"/>
            <w:r w:rsidRPr="00ED3950">
              <w:rPr>
                <w:szCs w:val="18"/>
                <w:lang w:val="cs-CZ"/>
              </w:rPr>
              <w:t>Trinomics</w:t>
            </w:r>
            <w:proofErr w:type="spellEnd"/>
            <w:r w:rsidRPr="00ED3950">
              <w:rPr>
                <w:szCs w:val="18"/>
                <w:lang w:val="cs-CZ"/>
              </w:rPr>
              <w:t>)</w:t>
            </w:r>
          </w:p>
        </w:tc>
      </w:tr>
      <w:tr w:rsidR="00C31024" w:rsidRPr="00ED3950">
        <w:trPr>
          <w:trHeight w:val="20"/>
        </w:trPr>
        <w:tc>
          <w:tcPr>
            <w:tcW w:w="1271" w:type="dxa"/>
            <w:tcMar>
              <w:right w:w="57" w:type="dxa"/>
            </w:tcMar>
          </w:tcPr>
          <w:p w:rsidR="005840C5" w:rsidRPr="00ED3950" w:rsidRDefault="00ED3950">
            <w:pPr>
              <w:spacing w:line="260" w:lineRule="atLeast"/>
              <w:ind w:left="0"/>
              <w:rPr>
                <w:szCs w:val="18"/>
                <w:lang w:val="cs-CZ"/>
              </w:rPr>
            </w:pPr>
            <w:r w:rsidRPr="00ED3950">
              <w:rPr>
                <w:szCs w:val="18"/>
                <w:lang w:val="cs-CZ"/>
              </w:rPr>
              <w:t>12</w:t>
            </w:r>
            <w:r w:rsidRPr="00ED3950">
              <w:rPr>
                <w:szCs w:val="18"/>
                <w:lang w:val="cs-CZ"/>
              </w:rPr>
              <w:t>.</w:t>
            </w:r>
            <w:r w:rsidRPr="00ED3950">
              <w:rPr>
                <w:szCs w:val="18"/>
                <w:lang w:val="cs-CZ"/>
              </w:rPr>
              <w:t>25 - 12.30</w:t>
            </w:r>
          </w:p>
        </w:tc>
        <w:tc>
          <w:tcPr>
            <w:tcW w:w="4820" w:type="dxa"/>
          </w:tcPr>
          <w:p w:rsidR="005840C5" w:rsidRPr="00ED3950" w:rsidRDefault="00ED3950">
            <w:pPr>
              <w:spacing w:line="260" w:lineRule="atLeast"/>
              <w:ind w:left="0"/>
              <w:rPr>
                <w:szCs w:val="18"/>
                <w:lang w:val="cs-CZ"/>
              </w:rPr>
            </w:pPr>
            <w:r w:rsidRPr="00ED3950">
              <w:rPr>
                <w:szCs w:val="18"/>
                <w:lang w:val="cs-CZ"/>
              </w:rPr>
              <w:t>Shrnutí a uzavření</w:t>
            </w:r>
          </w:p>
        </w:tc>
        <w:tc>
          <w:tcPr>
            <w:tcW w:w="2687" w:type="dxa"/>
          </w:tcPr>
          <w:p w:rsidR="005840C5" w:rsidRPr="00ED3950" w:rsidRDefault="00ED3950">
            <w:pPr>
              <w:spacing w:line="260" w:lineRule="atLeast"/>
              <w:ind w:left="0"/>
              <w:rPr>
                <w:szCs w:val="18"/>
                <w:lang w:val="cs-CZ"/>
              </w:rPr>
            </w:pPr>
            <w:proofErr w:type="spellStart"/>
            <w:r w:rsidRPr="00ED3950">
              <w:rPr>
                <w:szCs w:val="18"/>
                <w:lang w:val="cs-CZ"/>
              </w:rPr>
              <w:t>Riikka</w:t>
            </w:r>
            <w:proofErr w:type="spellEnd"/>
            <w:r w:rsidRPr="00ED3950">
              <w:rPr>
                <w:szCs w:val="18"/>
                <w:lang w:val="cs-CZ"/>
              </w:rPr>
              <w:t xml:space="preserve"> </w:t>
            </w:r>
            <w:proofErr w:type="spellStart"/>
            <w:r w:rsidRPr="00ED3950">
              <w:rPr>
                <w:szCs w:val="18"/>
                <w:lang w:val="cs-CZ"/>
              </w:rPr>
              <w:t>Torppa</w:t>
            </w:r>
            <w:proofErr w:type="spellEnd"/>
            <w:r w:rsidRPr="00ED3950">
              <w:rPr>
                <w:szCs w:val="18"/>
                <w:lang w:val="cs-CZ"/>
              </w:rPr>
              <w:t xml:space="preserve"> (Evropská komise, GŘ REFORM)</w:t>
            </w:r>
          </w:p>
        </w:tc>
      </w:tr>
    </w:tbl>
    <w:p w:rsidR="00C31024" w:rsidRPr="00ED3950" w:rsidRDefault="00C31024" w:rsidP="00C31024">
      <w:pPr>
        <w:rPr>
          <w:lang w:val="cs-CZ"/>
        </w:rPr>
      </w:pPr>
    </w:p>
    <w:p w:rsidR="005840C5" w:rsidRPr="00ED3950" w:rsidRDefault="00ED3950">
      <w:pPr>
        <w:pStyle w:val="Nadpis4"/>
        <w:ind w:firstLine="0"/>
        <w:rPr>
          <w:lang w:val="cs-CZ"/>
        </w:rPr>
      </w:pPr>
      <w:r w:rsidRPr="00ED3950">
        <w:rPr>
          <w:lang w:val="cs-CZ"/>
        </w:rPr>
        <w:t xml:space="preserve">Řídící otázky pro </w:t>
      </w:r>
      <w:r w:rsidRPr="00ED3950">
        <w:rPr>
          <w:lang w:val="cs-CZ"/>
        </w:rPr>
        <w:t>panelovou diskusi</w:t>
      </w:r>
    </w:p>
    <w:tbl>
      <w:tblPr>
        <w:tblStyle w:val="Table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3A5" w:themeFill="accent4"/>
        <w:tblLook w:val="04A0" w:firstRow="1" w:lastRow="0" w:firstColumn="1" w:lastColumn="0" w:noHBand="0" w:noVBand="1"/>
      </w:tblPr>
      <w:tblGrid>
        <w:gridCol w:w="8778"/>
      </w:tblGrid>
      <w:tr w:rsidR="00C31024" w:rsidRPr="00ED39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8" w:type="dxa"/>
            <w:shd w:val="clear" w:color="auto" w:fill="FFE3A5" w:themeFill="accent4"/>
          </w:tcPr>
          <w:p w:rsidR="005840C5" w:rsidRPr="00ED3950" w:rsidRDefault="00ED3950">
            <w:pPr>
              <w:tabs>
                <w:tab w:val="left" w:pos="321"/>
              </w:tabs>
              <w:spacing w:line="280" w:lineRule="atLeast"/>
              <w:ind w:left="0"/>
              <w:jc w:val="left"/>
              <w:rPr>
                <w:bCs/>
                <w:color w:val="005962" w:themeColor="accent1"/>
                <w:szCs w:val="18"/>
                <w:lang w:val="cs-CZ"/>
              </w:rPr>
            </w:pPr>
            <w:bookmarkStart w:id="74" w:name="_Hlk100595583"/>
            <w:r w:rsidRPr="00ED3950">
              <w:rPr>
                <w:bCs/>
                <w:color w:val="005962" w:themeColor="accent1"/>
                <w:szCs w:val="18"/>
                <w:lang w:val="cs-CZ"/>
              </w:rPr>
              <w:t xml:space="preserve">Výzva 1: </w:t>
            </w:r>
            <w:r w:rsidRPr="00ED3950">
              <w:rPr>
                <w:bCs/>
                <w:color w:val="005962" w:themeColor="accent1"/>
                <w:szCs w:val="18"/>
                <w:lang w:val="cs-CZ"/>
              </w:rPr>
              <w:t xml:space="preserve">Zavedení </w:t>
            </w:r>
            <w:r w:rsidRPr="00ED3950">
              <w:rPr>
                <w:bCs/>
                <w:color w:val="005962" w:themeColor="accent1"/>
                <w:szCs w:val="18"/>
                <w:lang w:val="cs-CZ"/>
              </w:rPr>
              <w:t>účinného systému řízení</w:t>
            </w:r>
          </w:p>
          <w:p w:rsidR="005840C5" w:rsidRPr="00ED3950" w:rsidRDefault="00ED3950">
            <w:pPr>
              <w:pStyle w:val="Odstavecseseznamem"/>
              <w:numPr>
                <w:ilvl w:val="0"/>
                <w:numId w:val="13"/>
              </w:numPr>
              <w:tabs>
                <w:tab w:val="clear" w:pos="851"/>
                <w:tab w:val="left" w:pos="321"/>
              </w:tabs>
              <w:spacing w:after="120" w:line="280" w:lineRule="atLeast"/>
              <w:ind w:left="321" w:hanging="284"/>
              <w:jc w:val="left"/>
              <w:rPr>
                <w:b w:val="0"/>
                <w:bCs/>
                <w:color w:val="000000" w:themeColor="text1"/>
                <w:szCs w:val="18"/>
                <w:lang w:val="cs-CZ"/>
              </w:rPr>
            </w:pPr>
            <w:r w:rsidRPr="00ED3950">
              <w:rPr>
                <w:b w:val="0"/>
                <w:bCs/>
                <w:color w:val="000000" w:themeColor="text1"/>
                <w:szCs w:val="18"/>
                <w:lang w:val="cs-CZ"/>
              </w:rPr>
              <w:t xml:space="preserve">Členské státy (a útvary v rámci členských států) zaujaly různé přístupy k rozdělení administrativní </w:t>
            </w:r>
            <w:r w:rsidRPr="00ED3950">
              <w:rPr>
                <w:b w:val="0"/>
                <w:bCs/>
                <w:color w:val="000000" w:themeColor="text1"/>
                <w:szCs w:val="18"/>
                <w:lang w:val="cs-CZ"/>
              </w:rPr>
              <w:t xml:space="preserve">zátěže související s DNSH mezi orgány a žadatele o projekty. </w:t>
            </w:r>
            <w:r w:rsidRPr="00ED3950">
              <w:rPr>
                <w:b w:val="0"/>
                <w:bCs/>
                <w:color w:val="000000" w:themeColor="text1"/>
                <w:szCs w:val="18"/>
                <w:lang w:val="cs-CZ"/>
              </w:rPr>
              <w:t>Jaký přístup (jaké přístupy) se podle vašich zkušeností ukázal (ukázaly) jako nejefektivnější ve fázi hodnocení/posuzování? A které ve fázi monitorování?</w:t>
            </w:r>
          </w:p>
          <w:p w:rsidR="005840C5" w:rsidRPr="00ED3950" w:rsidRDefault="00ED3950">
            <w:pPr>
              <w:pStyle w:val="Odstavecseseznamem"/>
              <w:numPr>
                <w:ilvl w:val="0"/>
                <w:numId w:val="13"/>
              </w:numPr>
              <w:tabs>
                <w:tab w:val="clear" w:pos="851"/>
                <w:tab w:val="left" w:pos="321"/>
              </w:tabs>
              <w:spacing w:after="120" w:line="280" w:lineRule="atLeast"/>
              <w:ind w:left="321" w:hanging="284"/>
              <w:jc w:val="left"/>
              <w:rPr>
                <w:b w:val="0"/>
                <w:bCs/>
                <w:color w:val="000000" w:themeColor="text1"/>
                <w:szCs w:val="18"/>
                <w:lang w:val="cs-CZ"/>
              </w:rPr>
            </w:pPr>
            <w:r w:rsidRPr="00ED3950">
              <w:rPr>
                <w:b w:val="0"/>
                <w:bCs/>
                <w:color w:val="000000" w:themeColor="text1"/>
                <w:szCs w:val="18"/>
                <w:lang w:val="cs-CZ"/>
              </w:rPr>
              <w:t xml:space="preserve">Vyvinul váš členský stát nějaká opatření </w:t>
            </w:r>
            <w:r w:rsidRPr="00ED3950">
              <w:rPr>
                <w:b w:val="0"/>
                <w:bCs/>
                <w:color w:val="000000" w:themeColor="text1"/>
                <w:szCs w:val="18"/>
                <w:lang w:val="cs-CZ"/>
              </w:rPr>
              <w:t>nebo systém řízení, aby zajistil konzistentnost metodik a hodnocení DNSH napříč ministerstvy a agenturami?</w:t>
            </w:r>
          </w:p>
          <w:p w:rsidR="005840C5" w:rsidRPr="00ED3950" w:rsidRDefault="00ED3950">
            <w:pPr>
              <w:tabs>
                <w:tab w:val="left" w:pos="321"/>
              </w:tabs>
              <w:spacing w:line="280" w:lineRule="atLeast"/>
              <w:ind w:left="37"/>
              <w:jc w:val="left"/>
              <w:rPr>
                <w:bCs/>
                <w:color w:val="005962" w:themeColor="accent1"/>
                <w:szCs w:val="18"/>
                <w:lang w:val="cs-CZ"/>
              </w:rPr>
            </w:pPr>
            <w:r w:rsidRPr="00ED3950">
              <w:rPr>
                <w:bCs/>
                <w:color w:val="005962" w:themeColor="accent1"/>
                <w:szCs w:val="18"/>
                <w:lang w:val="cs-CZ"/>
              </w:rPr>
              <w:t>Výzva 2: Budování kapacit pro rozšiřování znalostí a procesů souvisejících s DNSH</w:t>
            </w:r>
          </w:p>
          <w:p w:rsidR="005840C5" w:rsidRPr="00ED3950" w:rsidRDefault="00ED3950">
            <w:pPr>
              <w:pStyle w:val="Odstavecseseznamem"/>
              <w:numPr>
                <w:ilvl w:val="0"/>
                <w:numId w:val="13"/>
              </w:numPr>
              <w:tabs>
                <w:tab w:val="clear" w:pos="851"/>
                <w:tab w:val="left" w:pos="321"/>
              </w:tabs>
              <w:spacing w:after="120" w:line="280" w:lineRule="atLeast"/>
              <w:ind w:left="321" w:hanging="284"/>
              <w:jc w:val="left"/>
              <w:rPr>
                <w:b w:val="0"/>
                <w:bCs/>
                <w:color w:val="000000" w:themeColor="text1"/>
                <w:szCs w:val="18"/>
                <w:lang w:val="cs-CZ"/>
              </w:rPr>
            </w:pPr>
            <w:r w:rsidRPr="00ED3950">
              <w:rPr>
                <w:b w:val="0"/>
                <w:bCs/>
                <w:color w:val="000000" w:themeColor="text1"/>
                <w:szCs w:val="18"/>
                <w:lang w:val="cs-CZ"/>
              </w:rPr>
              <w:t xml:space="preserve">Jaké jsou hlavní zjištěné potřeby při procházení školení </w:t>
            </w:r>
            <w:r w:rsidRPr="00ED3950">
              <w:rPr>
                <w:b w:val="0"/>
                <w:bCs/>
                <w:color w:val="000000" w:themeColor="text1"/>
                <w:szCs w:val="18"/>
                <w:lang w:val="cs-CZ"/>
              </w:rPr>
              <w:t xml:space="preserve">a budování kapacit </w:t>
            </w:r>
            <w:r w:rsidRPr="00ED3950">
              <w:rPr>
                <w:b w:val="0"/>
                <w:bCs/>
                <w:color w:val="000000" w:themeColor="text1"/>
                <w:szCs w:val="18"/>
                <w:lang w:val="cs-CZ"/>
              </w:rPr>
              <w:t xml:space="preserve">vašeho týmu </w:t>
            </w:r>
            <w:r w:rsidRPr="00ED3950">
              <w:rPr>
                <w:b w:val="0"/>
                <w:bCs/>
                <w:color w:val="000000" w:themeColor="text1"/>
                <w:szCs w:val="18"/>
                <w:lang w:val="cs-CZ"/>
              </w:rPr>
              <w:t>(</w:t>
            </w:r>
            <w:r w:rsidRPr="00ED3950">
              <w:rPr>
                <w:b w:val="0"/>
                <w:bCs/>
                <w:color w:val="000000" w:themeColor="text1"/>
                <w:szCs w:val="18"/>
                <w:lang w:val="cs-CZ"/>
              </w:rPr>
              <w:t>týmů</w:t>
            </w:r>
            <w:r w:rsidRPr="00ED3950">
              <w:rPr>
                <w:b w:val="0"/>
                <w:bCs/>
                <w:color w:val="000000" w:themeColor="text1"/>
                <w:szCs w:val="18"/>
                <w:lang w:val="cs-CZ"/>
              </w:rPr>
              <w:t>)</w:t>
            </w:r>
            <w:r w:rsidRPr="00ED3950">
              <w:rPr>
                <w:b w:val="0"/>
                <w:bCs/>
                <w:color w:val="000000" w:themeColor="text1"/>
                <w:szCs w:val="18"/>
                <w:lang w:val="cs-CZ"/>
              </w:rPr>
              <w:t xml:space="preserve">/pomocných oddělení </w:t>
            </w:r>
            <w:r w:rsidRPr="00ED3950">
              <w:rPr>
                <w:b w:val="0"/>
                <w:bCs/>
                <w:color w:val="000000" w:themeColor="text1"/>
                <w:szCs w:val="18"/>
                <w:lang w:val="cs-CZ"/>
              </w:rPr>
              <w:t>DNSH?</w:t>
            </w:r>
            <w:r w:rsidRPr="00ED3950">
              <w:rPr>
                <w:b w:val="0"/>
                <w:bCs/>
                <w:color w:val="000000" w:themeColor="text1"/>
                <w:szCs w:val="18"/>
                <w:lang w:val="cs-CZ"/>
              </w:rPr>
              <w:t xml:space="preserve"> Jaké jsou například hlavní otázky, které vyvstávají ze strany žadatelů o projekt (např. v souvislosti s kritérii DNSH pro různá odvětví, procesy, právními prahy...)?</w:t>
            </w:r>
          </w:p>
          <w:p w:rsidR="005840C5" w:rsidRPr="00ED3950" w:rsidRDefault="00ED3950">
            <w:pPr>
              <w:tabs>
                <w:tab w:val="left" w:pos="321"/>
              </w:tabs>
              <w:spacing w:line="280" w:lineRule="atLeast"/>
              <w:ind w:left="37"/>
              <w:jc w:val="left"/>
              <w:rPr>
                <w:bCs/>
                <w:color w:val="000000" w:themeColor="text1"/>
                <w:szCs w:val="18"/>
                <w:lang w:val="cs-CZ"/>
              </w:rPr>
            </w:pPr>
            <w:r w:rsidRPr="00ED3950">
              <w:rPr>
                <w:bCs/>
                <w:color w:val="005962" w:themeColor="accent1"/>
                <w:szCs w:val="18"/>
                <w:lang w:val="cs-CZ"/>
              </w:rPr>
              <w:t>Výzva 3: Správa údajů potře</w:t>
            </w:r>
            <w:r w:rsidRPr="00ED3950">
              <w:rPr>
                <w:bCs/>
                <w:color w:val="005962" w:themeColor="accent1"/>
                <w:szCs w:val="18"/>
                <w:lang w:val="cs-CZ"/>
              </w:rPr>
              <w:t>bných k provádění hodnocení DNSH</w:t>
            </w:r>
          </w:p>
          <w:p w:rsidR="005840C5" w:rsidRPr="00ED3950" w:rsidRDefault="00ED3950">
            <w:pPr>
              <w:pStyle w:val="Odstavecseseznamem"/>
              <w:numPr>
                <w:ilvl w:val="0"/>
                <w:numId w:val="13"/>
              </w:numPr>
              <w:tabs>
                <w:tab w:val="clear" w:pos="851"/>
                <w:tab w:val="left" w:pos="321"/>
              </w:tabs>
              <w:spacing w:after="120" w:line="280" w:lineRule="atLeast"/>
              <w:ind w:left="321" w:hanging="284"/>
              <w:jc w:val="left"/>
              <w:rPr>
                <w:b w:val="0"/>
                <w:bCs/>
                <w:color w:val="000000" w:themeColor="text1"/>
                <w:szCs w:val="18"/>
                <w:lang w:val="cs-CZ"/>
              </w:rPr>
            </w:pPr>
            <w:r w:rsidRPr="00ED3950">
              <w:rPr>
                <w:b w:val="0"/>
                <w:bCs/>
                <w:color w:val="000000" w:themeColor="text1"/>
                <w:szCs w:val="18"/>
                <w:lang w:val="cs-CZ"/>
              </w:rPr>
              <w:lastRenderedPageBreak/>
              <w:t>Datové sady a datová úložiště mají potenciál zjednodušit proces DNSH na různých úrovních. Jaké jsou podle vás na základě návrhů žadatelů o projekt a vašich zkušeností hlavní požadavky a faktory úspěchu při zřizování takovýc</w:t>
            </w:r>
            <w:r w:rsidRPr="00ED3950">
              <w:rPr>
                <w:b w:val="0"/>
                <w:bCs/>
                <w:color w:val="000000" w:themeColor="text1"/>
                <w:szCs w:val="18"/>
                <w:lang w:val="cs-CZ"/>
              </w:rPr>
              <w:t>h datových sad a datových úložišť? Jaké jsou hlavní překážky?</w:t>
            </w:r>
          </w:p>
          <w:p w:rsidR="005840C5" w:rsidRPr="00ED3950" w:rsidRDefault="00ED3950">
            <w:pPr>
              <w:tabs>
                <w:tab w:val="left" w:pos="321"/>
              </w:tabs>
              <w:spacing w:line="280" w:lineRule="atLeast"/>
              <w:ind w:left="37"/>
              <w:jc w:val="left"/>
              <w:rPr>
                <w:bCs/>
                <w:color w:val="005962" w:themeColor="accent1"/>
                <w:szCs w:val="18"/>
                <w:lang w:val="cs-CZ"/>
              </w:rPr>
            </w:pPr>
            <w:r w:rsidRPr="00ED3950">
              <w:rPr>
                <w:bCs/>
                <w:color w:val="005962" w:themeColor="accent1"/>
                <w:szCs w:val="18"/>
                <w:lang w:val="cs-CZ"/>
              </w:rPr>
              <w:t xml:space="preserve">Horizontální </w:t>
            </w:r>
            <w:proofErr w:type="gramStart"/>
            <w:r w:rsidRPr="00ED3950">
              <w:rPr>
                <w:bCs/>
                <w:color w:val="005962" w:themeColor="accent1"/>
                <w:szCs w:val="18"/>
                <w:lang w:val="cs-CZ"/>
              </w:rPr>
              <w:t>otázka</w:t>
            </w:r>
            <w:r w:rsidRPr="00ED3950">
              <w:rPr>
                <w:bCs/>
                <w:color w:val="005962" w:themeColor="accent1"/>
                <w:szCs w:val="18"/>
                <w:lang w:val="cs-CZ"/>
              </w:rPr>
              <w:t>(</w:t>
            </w:r>
            <w:r w:rsidRPr="00ED3950">
              <w:rPr>
                <w:bCs/>
                <w:color w:val="005962" w:themeColor="accent1"/>
                <w:szCs w:val="18"/>
                <w:lang w:val="cs-CZ"/>
              </w:rPr>
              <w:t>-y</w:t>
            </w:r>
            <w:r w:rsidRPr="00ED3950">
              <w:rPr>
                <w:bCs/>
                <w:color w:val="005962" w:themeColor="accent1"/>
                <w:szCs w:val="18"/>
                <w:lang w:val="cs-CZ"/>
              </w:rPr>
              <w:t>)</w:t>
            </w:r>
            <w:proofErr w:type="gramEnd"/>
          </w:p>
          <w:p w:rsidR="005840C5" w:rsidRPr="00ED3950" w:rsidRDefault="00ED3950">
            <w:pPr>
              <w:pStyle w:val="Odstavecseseznamem"/>
              <w:numPr>
                <w:ilvl w:val="0"/>
                <w:numId w:val="13"/>
              </w:numPr>
              <w:tabs>
                <w:tab w:val="clear" w:pos="851"/>
                <w:tab w:val="left" w:pos="321"/>
              </w:tabs>
              <w:spacing w:after="120" w:line="280" w:lineRule="atLeast"/>
              <w:ind w:left="321" w:hanging="284"/>
              <w:jc w:val="left"/>
              <w:rPr>
                <w:szCs w:val="18"/>
                <w:lang w:val="cs-CZ"/>
              </w:rPr>
            </w:pPr>
            <w:r w:rsidRPr="00ED3950">
              <w:rPr>
                <w:b w:val="0"/>
                <w:bCs/>
                <w:color w:val="000000" w:themeColor="text1"/>
                <w:szCs w:val="18"/>
                <w:lang w:val="cs-CZ"/>
              </w:rPr>
              <w:t xml:space="preserve">Jak se podle vás bude v příštích letech vyvíjet správa DNSH ve vaší zemi? </w:t>
            </w:r>
            <w:r w:rsidRPr="00ED3950">
              <w:rPr>
                <w:b w:val="0"/>
                <w:bCs/>
                <w:color w:val="000000" w:themeColor="text1"/>
                <w:szCs w:val="18"/>
                <w:lang w:val="cs-CZ"/>
              </w:rPr>
              <w:t>Chystá se nějaká konkrétní nová legislativa v oblasti životního prostředí, která by podpořila uplatňování zásady DNSH?</w:t>
            </w:r>
          </w:p>
        </w:tc>
      </w:tr>
      <w:bookmarkEnd w:id="74"/>
    </w:tbl>
    <w:p w:rsidR="004443A0" w:rsidRPr="00ED3950" w:rsidRDefault="004443A0" w:rsidP="00EC62F2">
      <w:pPr>
        <w:ind w:left="0"/>
        <w:rPr>
          <w:lang w:val="cs-CZ"/>
        </w:rPr>
      </w:pPr>
    </w:p>
    <w:p w:rsidR="004443A0" w:rsidRPr="00ED3950" w:rsidRDefault="004443A0">
      <w:pPr>
        <w:spacing w:after="200" w:line="276" w:lineRule="auto"/>
        <w:ind w:left="0"/>
        <w:rPr>
          <w:lang w:val="cs-CZ"/>
        </w:rPr>
      </w:pPr>
      <w:r w:rsidRPr="00ED3950">
        <w:rPr>
          <w:lang w:val="cs-CZ"/>
        </w:rPr>
        <w:br w:type="page"/>
      </w:r>
    </w:p>
    <w:p w:rsidR="005840C5" w:rsidRPr="00ED3950" w:rsidRDefault="00ED3950">
      <w:pPr>
        <w:pStyle w:val="Nadpis3"/>
        <w:rPr>
          <w:lang w:val="cs-CZ"/>
        </w:rPr>
      </w:pPr>
      <w:bookmarkStart w:id="75" w:name="_Toc128382410"/>
      <w:bookmarkStart w:id="76" w:name="_Toc131757469"/>
      <w:bookmarkStart w:id="77" w:name="_Toc131775862"/>
      <w:r w:rsidRPr="00ED3950">
        <w:rPr>
          <w:lang w:val="cs-CZ"/>
        </w:rPr>
        <w:lastRenderedPageBreak/>
        <w:t xml:space="preserve">Webový seminář </w:t>
      </w:r>
      <w:r w:rsidRPr="00ED3950">
        <w:rPr>
          <w:lang w:val="cs-CZ"/>
        </w:rPr>
        <w:t>2</w:t>
      </w:r>
      <w:bookmarkEnd w:id="75"/>
      <w:bookmarkEnd w:id="76"/>
      <w:bookmarkEnd w:id="77"/>
    </w:p>
    <w:p w:rsidR="005840C5" w:rsidRPr="00ED3950" w:rsidRDefault="00ED3950">
      <w:pPr>
        <w:pStyle w:val="Nadpis1"/>
        <w:numPr>
          <w:ilvl w:val="0"/>
          <w:numId w:val="0"/>
        </w:numPr>
        <w:spacing w:after="0" w:line="240" w:lineRule="auto"/>
        <w:jc w:val="center"/>
        <w:rPr>
          <w:lang w:val="cs-CZ"/>
        </w:rPr>
      </w:pPr>
      <w:bookmarkStart w:id="78" w:name="_Toc128382411"/>
      <w:bookmarkStart w:id="79" w:name="_Toc131757470"/>
      <w:bookmarkStart w:id="80" w:name="_Toc131775863"/>
      <w:r w:rsidRPr="00ED3950">
        <w:rPr>
          <w:lang w:val="cs-CZ"/>
        </w:rPr>
        <w:t xml:space="preserve">Vzájemná výměna poznatků o stávajících postupech při uplatňování zásady DNSH </w:t>
      </w:r>
      <w:r w:rsidR="00A732E1" w:rsidRPr="00ED3950">
        <w:rPr>
          <w:lang w:val="cs-CZ"/>
        </w:rPr>
        <w:t>(II)</w:t>
      </w:r>
      <w:bookmarkEnd w:id="78"/>
      <w:bookmarkEnd w:id="79"/>
      <w:bookmarkEnd w:id="80"/>
    </w:p>
    <w:p w:rsidR="00D159E4" w:rsidRPr="00ED3950" w:rsidRDefault="00D159E4" w:rsidP="00666175">
      <w:pPr>
        <w:spacing w:line="240" w:lineRule="auto"/>
        <w:ind w:left="0"/>
        <w:rPr>
          <w:b/>
          <w:bCs/>
          <w:color w:val="005962" w:themeColor="accent1"/>
          <w:sz w:val="20"/>
          <w:szCs w:val="20"/>
          <w:lang w:val="cs-CZ"/>
        </w:rPr>
      </w:pPr>
    </w:p>
    <w:p w:rsidR="005840C5" w:rsidRPr="00ED3950" w:rsidRDefault="00ED3950">
      <w:pPr>
        <w:spacing w:line="240" w:lineRule="auto"/>
        <w:ind w:left="0"/>
        <w:rPr>
          <w:b/>
          <w:bCs/>
          <w:color w:val="005962" w:themeColor="accent1"/>
          <w:sz w:val="20"/>
          <w:szCs w:val="20"/>
          <w:lang w:val="cs-CZ"/>
        </w:rPr>
      </w:pPr>
      <w:proofErr w:type="spellStart"/>
      <w:r w:rsidRPr="00ED3950">
        <w:rPr>
          <w:b/>
          <w:bCs/>
          <w:color w:val="005962" w:themeColor="accent1"/>
          <w:sz w:val="20"/>
          <w:szCs w:val="20"/>
          <w:lang w:val="cs-CZ"/>
        </w:rPr>
        <w:t>Webinář</w:t>
      </w:r>
      <w:proofErr w:type="spellEnd"/>
      <w:r w:rsidRPr="00ED3950">
        <w:rPr>
          <w:b/>
          <w:bCs/>
          <w:color w:val="005962" w:themeColor="accent1"/>
          <w:sz w:val="20"/>
          <w:szCs w:val="20"/>
          <w:lang w:val="cs-CZ"/>
        </w:rPr>
        <w:t xml:space="preserve"> (MS </w:t>
      </w:r>
      <w:proofErr w:type="spellStart"/>
      <w:r w:rsidRPr="00ED3950">
        <w:rPr>
          <w:b/>
          <w:bCs/>
          <w:color w:val="005962" w:themeColor="accent1"/>
          <w:sz w:val="20"/>
          <w:szCs w:val="20"/>
          <w:lang w:val="cs-CZ"/>
        </w:rPr>
        <w:t>Teams</w:t>
      </w:r>
      <w:proofErr w:type="spellEnd"/>
      <w:r w:rsidRPr="00ED3950">
        <w:rPr>
          <w:b/>
          <w:bCs/>
          <w:color w:val="005962" w:themeColor="accent1"/>
          <w:sz w:val="20"/>
          <w:szCs w:val="20"/>
          <w:lang w:val="cs-CZ"/>
        </w:rPr>
        <w:t>)</w:t>
      </w:r>
      <w:r w:rsidRPr="00ED3950">
        <w:rPr>
          <w:b/>
          <w:bCs/>
          <w:color w:val="005962" w:themeColor="accent1"/>
          <w:sz w:val="20"/>
          <w:szCs w:val="20"/>
          <w:lang w:val="cs-CZ"/>
        </w:rPr>
        <w:t xml:space="preserve">: </w:t>
      </w:r>
      <w:r w:rsidRPr="00ED3950">
        <w:rPr>
          <w:b/>
          <w:bCs/>
          <w:color w:val="005962" w:themeColor="accent1"/>
          <w:sz w:val="20"/>
          <w:szCs w:val="20"/>
          <w:lang w:val="cs-CZ"/>
        </w:rPr>
        <w:t xml:space="preserve">Implementace zjednodušeného a </w:t>
      </w:r>
      <w:r w:rsidRPr="00ED3950">
        <w:rPr>
          <w:b/>
          <w:bCs/>
          <w:color w:val="005962" w:themeColor="accent1"/>
          <w:sz w:val="20"/>
          <w:szCs w:val="20"/>
          <w:lang w:val="cs-CZ"/>
        </w:rPr>
        <w:t xml:space="preserve">podrobného </w:t>
      </w:r>
      <w:r w:rsidRPr="00ED3950">
        <w:rPr>
          <w:b/>
          <w:bCs/>
          <w:color w:val="005962" w:themeColor="accent1"/>
          <w:sz w:val="20"/>
          <w:szCs w:val="20"/>
          <w:lang w:val="cs-CZ"/>
        </w:rPr>
        <w:t>hodnocení DNSH</w:t>
      </w:r>
    </w:p>
    <w:p w:rsidR="00D159E4" w:rsidRPr="00ED3950" w:rsidRDefault="00D159E4" w:rsidP="00666175">
      <w:pPr>
        <w:spacing w:line="240" w:lineRule="auto"/>
        <w:ind w:left="0"/>
        <w:rPr>
          <w:b/>
          <w:bCs/>
          <w:color w:val="005962" w:themeColor="accent1"/>
          <w:sz w:val="20"/>
          <w:szCs w:val="20"/>
          <w:lang w:val="cs-CZ"/>
        </w:rPr>
      </w:pPr>
    </w:p>
    <w:tbl>
      <w:tblPr>
        <w:tblStyle w:val="Mkatabulky"/>
        <w:tblW w:w="0" w:type="auto"/>
        <w:tblLook w:val="04A0" w:firstRow="1" w:lastRow="0" w:firstColumn="1" w:lastColumn="0" w:noHBand="0" w:noVBand="1"/>
      </w:tblPr>
      <w:tblGrid>
        <w:gridCol w:w="1696"/>
        <w:gridCol w:w="2410"/>
        <w:gridCol w:w="4672"/>
      </w:tblGrid>
      <w:tr w:rsidR="00D159E4" w:rsidRPr="00ED3950" w:rsidTr="00EA2D8D">
        <w:trPr>
          <w:trHeight w:val="255"/>
        </w:trPr>
        <w:tc>
          <w:tcPr>
            <w:tcW w:w="1696" w:type="dxa"/>
          </w:tcPr>
          <w:p w:rsidR="005840C5" w:rsidRPr="00ED3950" w:rsidRDefault="00ED3950">
            <w:pPr>
              <w:spacing w:line="240" w:lineRule="auto"/>
              <w:ind w:left="0"/>
              <w:rPr>
                <w:color w:val="005962" w:themeColor="accent1"/>
                <w:lang w:val="cs-CZ"/>
              </w:rPr>
            </w:pPr>
            <w:r w:rsidRPr="00ED3950">
              <w:rPr>
                <w:b/>
                <w:bCs/>
                <w:color w:val="005962" w:themeColor="accent1"/>
                <w:lang w:val="cs-CZ"/>
              </w:rPr>
              <w:t xml:space="preserve">Datum: </w:t>
            </w:r>
            <w:r w:rsidRPr="00ED3950">
              <w:rPr>
                <w:color w:val="005962" w:themeColor="accent1"/>
                <w:lang w:val="cs-CZ"/>
              </w:rPr>
              <w:t>02/02/2023</w:t>
            </w:r>
          </w:p>
        </w:tc>
        <w:tc>
          <w:tcPr>
            <w:tcW w:w="2410" w:type="dxa"/>
          </w:tcPr>
          <w:p w:rsidR="005840C5" w:rsidRPr="00ED3950" w:rsidRDefault="00ED3950">
            <w:pPr>
              <w:spacing w:line="240" w:lineRule="auto"/>
              <w:ind w:left="0"/>
              <w:rPr>
                <w:color w:val="005962" w:themeColor="accent1"/>
                <w:lang w:val="cs-CZ"/>
              </w:rPr>
            </w:pPr>
            <w:r w:rsidRPr="00ED3950">
              <w:rPr>
                <w:b/>
                <w:bCs/>
                <w:color w:val="005962" w:themeColor="accent1"/>
                <w:lang w:val="cs-CZ"/>
              </w:rPr>
              <w:t xml:space="preserve">Čas: </w:t>
            </w:r>
            <w:r w:rsidRPr="00ED3950">
              <w:rPr>
                <w:color w:val="005962" w:themeColor="accent1"/>
                <w:lang w:val="cs-CZ"/>
              </w:rPr>
              <w:t xml:space="preserve">10.00 - 12.30h </w:t>
            </w:r>
            <w:r w:rsidRPr="00ED3950">
              <w:rPr>
                <w:color w:val="005962" w:themeColor="accent1"/>
                <w:lang w:val="cs-CZ"/>
              </w:rPr>
              <w:t>CET</w:t>
            </w:r>
          </w:p>
        </w:tc>
        <w:tc>
          <w:tcPr>
            <w:tcW w:w="4672" w:type="dxa"/>
          </w:tcPr>
          <w:p w:rsidR="005840C5" w:rsidRPr="00ED3950" w:rsidRDefault="00ED3950">
            <w:pPr>
              <w:spacing w:line="240" w:lineRule="auto"/>
              <w:ind w:left="0"/>
              <w:rPr>
                <w:color w:val="005962" w:themeColor="accent1"/>
                <w:lang w:val="cs-CZ"/>
              </w:rPr>
            </w:pPr>
            <w:r w:rsidRPr="00ED3950">
              <w:rPr>
                <w:b/>
                <w:bCs/>
                <w:color w:val="005962" w:themeColor="accent1"/>
                <w:lang w:val="cs-CZ"/>
              </w:rPr>
              <w:t>Umístění</w:t>
            </w:r>
            <w:r w:rsidRPr="00ED3950">
              <w:rPr>
                <w:color w:val="005962" w:themeColor="accent1"/>
                <w:lang w:val="cs-CZ"/>
              </w:rPr>
              <w:t xml:space="preserve">: MS Týmy. </w:t>
            </w:r>
            <w:r w:rsidRPr="00ED3950">
              <w:rPr>
                <w:color w:val="005962" w:themeColor="accent1"/>
                <w:lang w:val="cs-CZ"/>
              </w:rPr>
              <w:t xml:space="preserve">Odkaz pro připojení se upraví automaticky poté, co se účastník zaregistruje </w:t>
            </w:r>
            <w:hyperlink r:id="rId23" w:history="1">
              <w:r w:rsidRPr="00ED3950">
                <w:rPr>
                  <w:rStyle w:val="Hypertextovodkaz"/>
                  <w:lang w:val="cs-CZ"/>
                </w:rPr>
                <w:t>zde</w:t>
              </w:r>
            </w:hyperlink>
          </w:p>
        </w:tc>
      </w:tr>
    </w:tbl>
    <w:p w:rsidR="00D159E4" w:rsidRPr="00ED3950" w:rsidRDefault="00D159E4" w:rsidP="00666175">
      <w:pPr>
        <w:ind w:left="0"/>
        <w:jc w:val="both"/>
        <w:rPr>
          <w:lang w:val="cs-CZ"/>
        </w:rPr>
      </w:pPr>
    </w:p>
    <w:p w:rsidR="005840C5" w:rsidRPr="00ED3950" w:rsidRDefault="00ED3950">
      <w:pPr>
        <w:pStyle w:val="Nadpis2"/>
        <w:numPr>
          <w:ilvl w:val="0"/>
          <w:numId w:val="0"/>
        </w:numPr>
        <w:rPr>
          <w:lang w:val="cs-CZ"/>
        </w:rPr>
      </w:pPr>
      <w:bookmarkStart w:id="81" w:name="_Toc128382412"/>
      <w:bookmarkStart w:id="82" w:name="_Toc131757471"/>
      <w:bookmarkStart w:id="83" w:name="_Toc131775864"/>
      <w:r w:rsidRPr="00ED3950">
        <w:rPr>
          <w:lang w:val="cs-CZ"/>
        </w:rPr>
        <w:t>O</w:t>
      </w:r>
      <w:r w:rsidRPr="00ED3950">
        <w:rPr>
          <w:lang w:val="cs-CZ"/>
        </w:rPr>
        <w:t xml:space="preserve"> </w:t>
      </w:r>
      <w:r w:rsidRPr="00ED3950">
        <w:rPr>
          <w:lang w:val="cs-CZ"/>
        </w:rPr>
        <w:t>vzájemné výměně zkušeností</w:t>
      </w:r>
      <w:bookmarkEnd w:id="81"/>
      <w:bookmarkEnd w:id="82"/>
      <w:bookmarkEnd w:id="83"/>
    </w:p>
    <w:p w:rsidR="005840C5" w:rsidRPr="00ED3950" w:rsidRDefault="00ED3950">
      <w:pPr>
        <w:ind w:left="0"/>
        <w:rPr>
          <w:lang w:val="cs-CZ"/>
        </w:rPr>
      </w:pPr>
      <w:r w:rsidRPr="00ED3950">
        <w:rPr>
          <w:lang w:val="cs-CZ"/>
        </w:rPr>
        <w:t xml:space="preserve">Viz tento oddíl v </w:t>
      </w:r>
      <w:r w:rsidR="00901703" w:rsidRPr="00ED3950">
        <w:rPr>
          <w:lang w:val="cs-CZ"/>
        </w:rPr>
        <w:t xml:space="preserve">koncepční poznámce k </w:t>
      </w:r>
      <w:proofErr w:type="spellStart"/>
      <w:r w:rsidR="00901703" w:rsidRPr="00ED3950">
        <w:rPr>
          <w:lang w:val="cs-CZ"/>
        </w:rPr>
        <w:t>webináři</w:t>
      </w:r>
      <w:proofErr w:type="spellEnd"/>
      <w:r w:rsidR="00901703" w:rsidRPr="00ED3950">
        <w:rPr>
          <w:lang w:val="cs-CZ"/>
        </w:rPr>
        <w:t xml:space="preserve"> 1. </w:t>
      </w:r>
    </w:p>
    <w:p w:rsidR="00D159E4" w:rsidRPr="00ED3950" w:rsidRDefault="00D159E4" w:rsidP="00D159E4">
      <w:pPr>
        <w:ind w:left="0"/>
        <w:jc w:val="both"/>
        <w:rPr>
          <w:lang w:val="cs-CZ"/>
        </w:rPr>
      </w:pPr>
    </w:p>
    <w:p w:rsidR="005840C5" w:rsidRPr="00ED3950" w:rsidRDefault="00ED3950">
      <w:pPr>
        <w:pStyle w:val="Nadpis2"/>
        <w:numPr>
          <w:ilvl w:val="0"/>
          <w:numId w:val="0"/>
        </w:numPr>
        <w:rPr>
          <w:lang w:val="cs-CZ"/>
        </w:rPr>
      </w:pPr>
      <w:bookmarkStart w:id="84" w:name="_Toc128382413"/>
      <w:bookmarkStart w:id="85" w:name="_Toc131757472"/>
      <w:bookmarkStart w:id="86" w:name="_Toc131775865"/>
      <w:proofErr w:type="spellStart"/>
      <w:r w:rsidRPr="00ED3950">
        <w:rPr>
          <w:lang w:val="cs-CZ"/>
        </w:rPr>
        <w:t>Webinář</w:t>
      </w:r>
      <w:proofErr w:type="spellEnd"/>
      <w:r w:rsidRPr="00ED3950">
        <w:rPr>
          <w:lang w:val="cs-CZ"/>
        </w:rPr>
        <w:t xml:space="preserve"> 2: </w:t>
      </w:r>
      <w:r w:rsidRPr="00ED3950">
        <w:rPr>
          <w:lang w:val="cs-CZ"/>
        </w:rPr>
        <w:t xml:space="preserve">Provádění zjednodušeného a </w:t>
      </w:r>
      <w:r w:rsidRPr="00ED3950">
        <w:rPr>
          <w:lang w:val="cs-CZ"/>
        </w:rPr>
        <w:t xml:space="preserve">podrobného </w:t>
      </w:r>
      <w:r w:rsidRPr="00ED3950">
        <w:rPr>
          <w:lang w:val="cs-CZ"/>
        </w:rPr>
        <w:t>hodnocení DNSH</w:t>
      </w:r>
      <w:bookmarkEnd w:id="84"/>
      <w:bookmarkEnd w:id="85"/>
      <w:bookmarkEnd w:id="86"/>
    </w:p>
    <w:p w:rsidR="005840C5" w:rsidRPr="00ED3950" w:rsidRDefault="00ED3950">
      <w:pPr>
        <w:ind w:left="0"/>
        <w:rPr>
          <w:b/>
          <w:bCs/>
          <w:color w:val="F04E30" w:themeColor="accent2"/>
          <w:lang w:val="cs-CZ"/>
        </w:rPr>
      </w:pPr>
      <w:r w:rsidRPr="00ED3950">
        <w:rPr>
          <w:b/>
          <w:bCs/>
          <w:color w:val="F04E30" w:themeColor="accent2"/>
          <w:lang w:val="cs-CZ"/>
        </w:rPr>
        <w:t>O výzvě</w:t>
      </w:r>
    </w:p>
    <w:p w:rsidR="005840C5" w:rsidRPr="00ED3950" w:rsidRDefault="00ED3950">
      <w:pPr>
        <w:ind w:left="0"/>
        <w:jc w:val="both"/>
        <w:rPr>
          <w:lang w:val="cs-CZ"/>
        </w:rPr>
      </w:pPr>
      <w:r w:rsidRPr="00ED3950">
        <w:rPr>
          <w:lang w:val="cs-CZ"/>
        </w:rPr>
        <w:t xml:space="preserve">Na základě technických konzultací se zúčastněnými stranami v České republice a dalších </w:t>
      </w:r>
      <w:r w:rsidRPr="00ED3950">
        <w:rPr>
          <w:lang w:val="cs-CZ"/>
        </w:rPr>
        <w:t xml:space="preserve">členských státech </w:t>
      </w:r>
      <w:r w:rsidRPr="00ED3950">
        <w:rPr>
          <w:lang w:val="cs-CZ"/>
        </w:rPr>
        <w:t xml:space="preserve">EU se </w:t>
      </w:r>
      <w:r w:rsidRPr="00ED3950">
        <w:rPr>
          <w:lang w:val="cs-CZ"/>
        </w:rPr>
        <w:t xml:space="preserve">tento </w:t>
      </w:r>
      <w:r w:rsidRPr="00ED3950">
        <w:rPr>
          <w:b/>
          <w:bCs/>
          <w:lang w:val="cs-CZ"/>
        </w:rPr>
        <w:t xml:space="preserve">druhý </w:t>
      </w:r>
      <w:proofErr w:type="spellStart"/>
      <w:r w:rsidRPr="00ED3950">
        <w:rPr>
          <w:b/>
          <w:bCs/>
          <w:lang w:val="cs-CZ"/>
        </w:rPr>
        <w:t>webinář</w:t>
      </w:r>
      <w:proofErr w:type="spellEnd"/>
      <w:r w:rsidRPr="00ED3950">
        <w:rPr>
          <w:b/>
          <w:bCs/>
          <w:lang w:val="cs-CZ"/>
        </w:rPr>
        <w:t xml:space="preserve"> </w:t>
      </w:r>
      <w:r w:rsidRPr="00ED3950">
        <w:rPr>
          <w:lang w:val="cs-CZ"/>
        </w:rPr>
        <w:t xml:space="preserve">zaměří na zkušenosti a postupy </w:t>
      </w:r>
      <w:r w:rsidRPr="00ED3950">
        <w:rPr>
          <w:lang w:val="cs-CZ"/>
        </w:rPr>
        <w:t xml:space="preserve">při </w:t>
      </w:r>
      <w:r w:rsidRPr="00ED3950">
        <w:rPr>
          <w:b/>
          <w:bCs/>
          <w:lang w:val="cs-CZ"/>
        </w:rPr>
        <w:t xml:space="preserve">provádění </w:t>
      </w:r>
      <w:r w:rsidRPr="00ED3950">
        <w:rPr>
          <w:b/>
          <w:lang w:val="cs-CZ"/>
        </w:rPr>
        <w:t xml:space="preserve">zjednodušeného a podrobného hodnocení </w:t>
      </w:r>
      <w:r w:rsidRPr="00ED3950">
        <w:rPr>
          <w:b/>
          <w:lang w:val="cs-CZ"/>
        </w:rPr>
        <w:t>DNSH</w:t>
      </w:r>
      <w:r w:rsidRPr="00ED3950">
        <w:rPr>
          <w:lang w:val="cs-CZ"/>
        </w:rPr>
        <w:t xml:space="preserve">. </w:t>
      </w:r>
      <w:proofErr w:type="spellStart"/>
      <w:r w:rsidRPr="00ED3950">
        <w:rPr>
          <w:lang w:val="cs-CZ"/>
        </w:rPr>
        <w:t>Webinář</w:t>
      </w:r>
      <w:proofErr w:type="spellEnd"/>
      <w:r w:rsidRPr="00ED3950">
        <w:rPr>
          <w:lang w:val="cs-CZ"/>
        </w:rPr>
        <w:t xml:space="preserve"> se bude zabývat zejména tím, jak mohou členské státy </w:t>
      </w:r>
      <w:r w:rsidRPr="00ED3950">
        <w:rPr>
          <w:lang w:val="cs-CZ"/>
        </w:rPr>
        <w:t xml:space="preserve">vyvážit </w:t>
      </w:r>
      <w:r w:rsidRPr="00ED3950">
        <w:rPr>
          <w:b/>
          <w:bCs/>
          <w:lang w:val="cs-CZ"/>
        </w:rPr>
        <w:t xml:space="preserve">účinnost </w:t>
      </w:r>
      <w:r w:rsidRPr="00ED3950">
        <w:rPr>
          <w:b/>
          <w:bCs/>
          <w:lang w:val="cs-CZ"/>
        </w:rPr>
        <w:t xml:space="preserve">zjednodušeného a podrobného </w:t>
      </w:r>
      <w:r w:rsidRPr="00ED3950">
        <w:rPr>
          <w:b/>
          <w:bCs/>
          <w:lang w:val="cs-CZ"/>
        </w:rPr>
        <w:t xml:space="preserve">posouzení DNSH, </w:t>
      </w:r>
      <w:r w:rsidRPr="00ED3950">
        <w:rPr>
          <w:lang w:val="cs-CZ"/>
        </w:rPr>
        <w:t>a</w:t>
      </w:r>
      <w:r w:rsidRPr="00ED3950">
        <w:rPr>
          <w:lang w:val="cs-CZ"/>
        </w:rPr>
        <w:t xml:space="preserve">by zajistily environmentální integritu principu DNSH prostřednictvím výdajů z rozpočtu EU a národních rozpočtů na jedné straně </w:t>
      </w:r>
      <w:r w:rsidRPr="00ED3950">
        <w:rPr>
          <w:lang w:val="cs-CZ"/>
        </w:rPr>
        <w:t xml:space="preserve">a </w:t>
      </w:r>
      <w:r w:rsidRPr="00ED3950">
        <w:rPr>
          <w:b/>
          <w:bCs/>
          <w:lang w:val="cs-CZ"/>
        </w:rPr>
        <w:t xml:space="preserve">přiměřenou </w:t>
      </w:r>
      <w:r w:rsidRPr="00ED3950">
        <w:rPr>
          <w:b/>
          <w:bCs/>
          <w:lang w:val="cs-CZ"/>
        </w:rPr>
        <w:t xml:space="preserve">administrativní zátěž </w:t>
      </w:r>
      <w:r w:rsidRPr="00ED3950">
        <w:rPr>
          <w:b/>
          <w:bCs/>
          <w:lang w:val="cs-CZ"/>
        </w:rPr>
        <w:t xml:space="preserve">žadatelů a řídicích orgánů na straně </w:t>
      </w:r>
      <w:r w:rsidRPr="00ED3950">
        <w:rPr>
          <w:lang w:val="cs-CZ"/>
        </w:rPr>
        <w:t xml:space="preserve">druhé ve vztahu k potenciálním </w:t>
      </w:r>
      <w:proofErr w:type="gramStart"/>
      <w:r w:rsidRPr="00ED3950">
        <w:rPr>
          <w:lang w:val="cs-CZ"/>
        </w:rPr>
        <w:t>vysokým(-</w:t>
      </w:r>
      <w:proofErr w:type="spellStart"/>
      <w:r w:rsidRPr="00ED3950">
        <w:rPr>
          <w:lang w:val="cs-CZ"/>
        </w:rPr>
        <w:t>ým</w:t>
      </w:r>
      <w:proofErr w:type="spellEnd"/>
      <w:proofErr w:type="gramEnd"/>
      <w:r w:rsidRPr="00ED3950">
        <w:rPr>
          <w:lang w:val="cs-CZ"/>
        </w:rPr>
        <w:t xml:space="preserve">) dopadům na životní prostředí. </w:t>
      </w:r>
      <w:proofErr w:type="spellStart"/>
      <w:r w:rsidRPr="00ED3950">
        <w:rPr>
          <w:lang w:val="cs-CZ"/>
        </w:rPr>
        <w:t>Webinář</w:t>
      </w:r>
      <w:proofErr w:type="spellEnd"/>
      <w:r w:rsidRPr="00ED3950">
        <w:rPr>
          <w:lang w:val="cs-CZ"/>
        </w:rPr>
        <w:t xml:space="preserve"> se bude zabývat zejména následujícími výzvami: </w:t>
      </w:r>
    </w:p>
    <w:p w:rsidR="005840C5" w:rsidRPr="00ED3950" w:rsidRDefault="00ED3950">
      <w:pPr>
        <w:pStyle w:val="Odstavecseseznamem"/>
        <w:numPr>
          <w:ilvl w:val="0"/>
          <w:numId w:val="18"/>
        </w:numPr>
        <w:spacing w:before="120" w:after="120" w:line="280" w:lineRule="exact"/>
        <w:jc w:val="both"/>
        <w:rPr>
          <w:lang w:val="cs-CZ"/>
        </w:rPr>
      </w:pPr>
      <w:r w:rsidRPr="00ED3950">
        <w:rPr>
          <w:lang w:val="cs-CZ"/>
        </w:rPr>
        <w:t>Pochopení rozdílů mezi zjednodušeným a podrobným hodnocením DNSH v rámci RRF a fondů politiky soudržnosti (CPF);</w:t>
      </w:r>
    </w:p>
    <w:p w:rsidR="005840C5" w:rsidRPr="00ED3950" w:rsidRDefault="00ED3950">
      <w:pPr>
        <w:pStyle w:val="Odstavecseseznamem"/>
        <w:numPr>
          <w:ilvl w:val="0"/>
          <w:numId w:val="18"/>
        </w:numPr>
        <w:spacing w:before="120" w:after="120" w:line="280" w:lineRule="exact"/>
        <w:jc w:val="both"/>
        <w:rPr>
          <w:lang w:val="cs-CZ"/>
        </w:rPr>
      </w:pPr>
      <w:r w:rsidRPr="00ED3950">
        <w:rPr>
          <w:lang w:val="cs-CZ"/>
        </w:rPr>
        <w:t>Vývoj přístup</w:t>
      </w:r>
      <w:r w:rsidRPr="00ED3950">
        <w:rPr>
          <w:lang w:val="cs-CZ"/>
        </w:rPr>
        <w:t>ů, které zjednodušují a standardizují hodnocení DNSH;</w:t>
      </w:r>
    </w:p>
    <w:p w:rsidR="005840C5" w:rsidRPr="00ED3950" w:rsidRDefault="00ED3950">
      <w:pPr>
        <w:pStyle w:val="Odstavecseseznamem"/>
        <w:numPr>
          <w:ilvl w:val="0"/>
          <w:numId w:val="18"/>
        </w:numPr>
        <w:spacing w:before="120" w:after="120" w:line="280" w:lineRule="exact"/>
        <w:jc w:val="both"/>
        <w:rPr>
          <w:lang w:val="cs-CZ"/>
        </w:rPr>
      </w:pPr>
      <w:r w:rsidRPr="00ED3950">
        <w:rPr>
          <w:lang w:val="cs-CZ"/>
        </w:rPr>
        <w:t xml:space="preserve">Uvědomění si významu typologie programů a projektů pro určení typu hodnocení DNSH; </w:t>
      </w:r>
    </w:p>
    <w:p w:rsidR="005840C5" w:rsidRPr="00ED3950" w:rsidRDefault="00ED3950">
      <w:pPr>
        <w:pStyle w:val="Odstavecseseznamem"/>
        <w:numPr>
          <w:ilvl w:val="0"/>
          <w:numId w:val="18"/>
        </w:numPr>
        <w:spacing w:before="120" w:after="120" w:line="280" w:lineRule="exact"/>
        <w:jc w:val="both"/>
        <w:rPr>
          <w:lang w:val="cs-CZ"/>
        </w:rPr>
      </w:pPr>
      <w:r w:rsidRPr="00ED3950">
        <w:rPr>
          <w:lang w:val="cs-CZ"/>
        </w:rPr>
        <w:t>Stanovení definice "významného poškození životního prostředí" a zajištění toho, aby nebyla porušena integrita životníh</w:t>
      </w:r>
      <w:r w:rsidRPr="00ED3950">
        <w:rPr>
          <w:lang w:val="cs-CZ"/>
        </w:rPr>
        <w:t>o prostředí (včetně zjednodušeného posuzování DNSH);</w:t>
      </w:r>
    </w:p>
    <w:p w:rsidR="005840C5" w:rsidRPr="00ED3950" w:rsidRDefault="00ED3950">
      <w:pPr>
        <w:pStyle w:val="Odstavecseseznamem"/>
        <w:numPr>
          <w:ilvl w:val="0"/>
          <w:numId w:val="18"/>
        </w:numPr>
        <w:spacing w:before="120" w:after="120" w:line="280" w:lineRule="exact"/>
        <w:jc w:val="both"/>
        <w:rPr>
          <w:lang w:val="cs-CZ"/>
        </w:rPr>
      </w:pPr>
      <w:r w:rsidRPr="00ED3950">
        <w:rPr>
          <w:lang w:val="cs-CZ"/>
        </w:rPr>
        <w:t>Nalezení rovnováhy mezi otázkami specifickými pro dané odvětví a obecnými předpoklady v rámci hodnocení DNSH.</w:t>
      </w:r>
    </w:p>
    <w:p w:rsidR="005840C5" w:rsidRPr="00ED3950" w:rsidRDefault="00ED3950">
      <w:pPr>
        <w:ind w:left="0"/>
        <w:jc w:val="both"/>
        <w:rPr>
          <w:lang w:val="cs-CZ"/>
        </w:rPr>
      </w:pPr>
      <w:r w:rsidRPr="00ED3950">
        <w:rPr>
          <w:lang w:val="cs-CZ"/>
        </w:rPr>
        <w:t xml:space="preserve">Kromě toho se </w:t>
      </w:r>
      <w:proofErr w:type="spellStart"/>
      <w:r w:rsidRPr="00ED3950">
        <w:rPr>
          <w:lang w:val="cs-CZ"/>
        </w:rPr>
        <w:t>webinář</w:t>
      </w:r>
      <w:proofErr w:type="spellEnd"/>
      <w:r w:rsidRPr="00ED3950">
        <w:rPr>
          <w:lang w:val="cs-CZ"/>
        </w:rPr>
        <w:t xml:space="preserve"> bude zabývat </w:t>
      </w:r>
      <w:r w:rsidRPr="00ED3950">
        <w:rPr>
          <w:b/>
          <w:bCs/>
          <w:lang w:val="cs-CZ"/>
        </w:rPr>
        <w:t>vztahem mezi prováděním zásady DNSH a legislativními rámci</w:t>
      </w:r>
      <w:r w:rsidRPr="00ED3950">
        <w:rPr>
          <w:lang w:val="cs-CZ"/>
        </w:rPr>
        <w:t xml:space="preserve">. Předchozí diagnostický výzkum v rámci projektu TSI dospěl k závěru, že (silné) vnitrostátní právní rámce v oblasti životního prostředí podporují uplatňování a dodržování zásady DNSH a zabraňují zdvojování práce řídicích orgánů a žadatelů. </w:t>
      </w:r>
      <w:proofErr w:type="spellStart"/>
      <w:r w:rsidRPr="00ED3950">
        <w:rPr>
          <w:lang w:val="cs-CZ"/>
        </w:rPr>
        <w:t>Webinář</w:t>
      </w:r>
      <w:proofErr w:type="spellEnd"/>
      <w:r w:rsidRPr="00ED3950">
        <w:rPr>
          <w:lang w:val="cs-CZ"/>
        </w:rPr>
        <w:t xml:space="preserve"> nabídne</w:t>
      </w:r>
      <w:r w:rsidRPr="00ED3950">
        <w:rPr>
          <w:lang w:val="cs-CZ"/>
        </w:rPr>
        <w:t xml:space="preserve"> příležitost diskutovat o tom, jak transformovat a/nebo využít legislativní rámce pro zjednodušení posuzování DNSH</w:t>
      </w:r>
      <w:r w:rsidRPr="00ED3950">
        <w:rPr>
          <w:lang w:val="cs-CZ"/>
        </w:rPr>
        <w:t>.</w:t>
      </w:r>
    </w:p>
    <w:p w:rsidR="00666175" w:rsidRPr="00ED3950" w:rsidRDefault="00666175" w:rsidP="00666175">
      <w:pPr>
        <w:ind w:left="0"/>
        <w:jc w:val="both"/>
        <w:rPr>
          <w:lang w:val="cs-CZ"/>
        </w:rPr>
      </w:pPr>
    </w:p>
    <w:p w:rsidR="005840C5" w:rsidRPr="00ED3950" w:rsidRDefault="00ED3950">
      <w:pPr>
        <w:ind w:left="0"/>
        <w:jc w:val="both"/>
        <w:rPr>
          <w:lang w:val="cs-CZ"/>
        </w:rPr>
      </w:pPr>
      <w:r w:rsidRPr="00ED3950">
        <w:rPr>
          <w:lang w:val="cs-CZ"/>
        </w:rPr>
        <w:t xml:space="preserve">V neposlední řadě je na </w:t>
      </w:r>
      <w:proofErr w:type="spellStart"/>
      <w:r w:rsidRPr="00ED3950">
        <w:rPr>
          <w:lang w:val="cs-CZ"/>
        </w:rPr>
        <w:t>webináři</w:t>
      </w:r>
      <w:proofErr w:type="spellEnd"/>
      <w:r w:rsidRPr="00ED3950">
        <w:rPr>
          <w:lang w:val="cs-CZ"/>
        </w:rPr>
        <w:t xml:space="preserve"> navrženo projednat uplatňování zásady DNSH </w:t>
      </w:r>
      <w:r w:rsidRPr="00ED3950">
        <w:rPr>
          <w:b/>
          <w:bCs/>
          <w:lang w:val="cs-CZ"/>
        </w:rPr>
        <w:t xml:space="preserve">od </w:t>
      </w:r>
      <w:r w:rsidRPr="00ED3950">
        <w:rPr>
          <w:lang w:val="cs-CZ"/>
        </w:rPr>
        <w:t xml:space="preserve">fáze </w:t>
      </w:r>
      <w:r w:rsidRPr="00ED3950">
        <w:rPr>
          <w:b/>
          <w:bCs/>
          <w:lang w:val="cs-CZ"/>
        </w:rPr>
        <w:t xml:space="preserve">hodnocení až po </w:t>
      </w:r>
      <w:r w:rsidRPr="00ED3950">
        <w:rPr>
          <w:lang w:val="cs-CZ"/>
        </w:rPr>
        <w:t xml:space="preserve">fázi </w:t>
      </w:r>
      <w:r w:rsidRPr="00ED3950">
        <w:rPr>
          <w:b/>
          <w:bCs/>
          <w:lang w:val="cs-CZ"/>
        </w:rPr>
        <w:t xml:space="preserve">monitorování </w:t>
      </w:r>
      <w:r w:rsidRPr="00ED3950">
        <w:rPr>
          <w:lang w:val="cs-CZ"/>
        </w:rPr>
        <w:t xml:space="preserve">(a případně vyřazení </w:t>
      </w:r>
      <w:r w:rsidRPr="00ED3950">
        <w:rPr>
          <w:lang w:val="cs-CZ"/>
        </w:rPr>
        <w:t xml:space="preserve">z provozu). </w:t>
      </w:r>
    </w:p>
    <w:p w:rsidR="00DB1B88" w:rsidRPr="00ED3950" w:rsidRDefault="00DB1B88" w:rsidP="00DB1B88">
      <w:pPr>
        <w:ind w:left="0"/>
        <w:jc w:val="both"/>
        <w:rPr>
          <w:lang w:val="cs-CZ"/>
        </w:rPr>
      </w:pPr>
    </w:p>
    <w:p w:rsidR="005840C5" w:rsidRPr="00ED3950" w:rsidRDefault="00ED3950">
      <w:pPr>
        <w:pStyle w:val="Nadpis4"/>
        <w:ind w:firstLine="0"/>
        <w:rPr>
          <w:lang w:val="cs-CZ"/>
        </w:rPr>
      </w:pPr>
      <w:r w:rsidRPr="00ED3950">
        <w:rPr>
          <w:lang w:val="cs-CZ"/>
        </w:rPr>
        <w:t>Přístup použitý pro webové semináře</w:t>
      </w:r>
    </w:p>
    <w:p w:rsidR="005840C5" w:rsidRPr="00ED3950" w:rsidRDefault="00ED3950">
      <w:pPr>
        <w:ind w:left="0"/>
        <w:jc w:val="both"/>
        <w:rPr>
          <w:b/>
          <w:bCs/>
          <w:color w:val="005962" w:themeColor="accent1"/>
          <w:lang w:val="cs-CZ"/>
        </w:rPr>
      </w:pPr>
      <w:r w:rsidRPr="00ED3950">
        <w:rPr>
          <w:b/>
          <w:bCs/>
          <w:color w:val="005962" w:themeColor="accent1"/>
          <w:lang w:val="cs-CZ"/>
        </w:rPr>
        <w:t>Část I: Úvod a příprava scény</w:t>
      </w:r>
    </w:p>
    <w:p w:rsidR="005840C5" w:rsidRPr="00ED3950" w:rsidRDefault="00ED3950">
      <w:pPr>
        <w:ind w:left="0"/>
        <w:jc w:val="both"/>
        <w:rPr>
          <w:lang w:val="cs-CZ"/>
        </w:rPr>
      </w:pPr>
      <w:proofErr w:type="spellStart"/>
      <w:r w:rsidRPr="00ED3950">
        <w:rPr>
          <w:lang w:val="cs-CZ"/>
        </w:rPr>
        <w:t>Webinář</w:t>
      </w:r>
      <w:proofErr w:type="spellEnd"/>
      <w:r w:rsidRPr="00ED3950">
        <w:rPr>
          <w:lang w:val="cs-CZ"/>
        </w:rPr>
        <w:t xml:space="preserve"> </w:t>
      </w:r>
      <w:r w:rsidRPr="00ED3950">
        <w:rPr>
          <w:lang w:val="cs-CZ"/>
        </w:rPr>
        <w:t xml:space="preserve">bude </w:t>
      </w:r>
      <w:r w:rsidRPr="00ED3950">
        <w:rPr>
          <w:lang w:val="cs-CZ"/>
        </w:rPr>
        <w:t xml:space="preserve">zahájen </w:t>
      </w:r>
      <w:r w:rsidRPr="00ED3950">
        <w:rPr>
          <w:lang w:val="cs-CZ"/>
        </w:rPr>
        <w:t xml:space="preserve">krátkým </w:t>
      </w:r>
      <w:r w:rsidRPr="00ED3950">
        <w:rPr>
          <w:lang w:val="cs-CZ"/>
        </w:rPr>
        <w:t xml:space="preserve">úvodem </w:t>
      </w:r>
      <w:r w:rsidRPr="00ED3950">
        <w:rPr>
          <w:lang w:val="cs-CZ"/>
        </w:rPr>
        <w:t xml:space="preserve">o </w:t>
      </w:r>
      <w:r w:rsidRPr="00ED3950">
        <w:rPr>
          <w:b/>
          <w:lang w:val="cs-CZ"/>
        </w:rPr>
        <w:t xml:space="preserve">programu a cílech </w:t>
      </w:r>
      <w:proofErr w:type="spellStart"/>
      <w:r w:rsidRPr="00ED3950">
        <w:rPr>
          <w:b/>
          <w:lang w:val="cs-CZ"/>
        </w:rPr>
        <w:t>webináře</w:t>
      </w:r>
      <w:proofErr w:type="spellEnd"/>
      <w:r w:rsidRPr="00ED3950">
        <w:rPr>
          <w:b/>
          <w:lang w:val="cs-CZ"/>
        </w:rPr>
        <w:t xml:space="preserve"> </w:t>
      </w:r>
      <w:r w:rsidRPr="00ED3950">
        <w:rPr>
          <w:lang w:val="cs-CZ"/>
        </w:rPr>
        <w:t xml:space="preserve">a poté budou následovat prezentace </w:t>
      </w:r>
      <w:r w:rsidRPr="00ED3950">
        <w:rPr>
          <w:lang w:val="cs-CZ"/>
        </w:rPr>
        <w:t xml:space="preserve">projektového týmu a zástupců Česka, Slovenska a Finska o </w:t>
      </w:r>
      <w:r w:rsidRPr="00ED3950">
        <w:rPr>
          <w:lang w:val="cs-CZ"/>
        </w:rPr>
        <w:t xml:space="preserve">jejich </w:t>
      </w:r>
      <w:r w:rsidRPr="00ED3950">
        <w:rPr>
          <w:lang w:val="cs-CZ"/>
        </w:rPr>
        <w:t>konkrétní pr</w:t>
      </w:r>
      <w:r w:rsidRPr="00ED3950">
        <w:rPr>
          <w:lang w:val="cs-CZ"/>
        </w:rPr>
        <w:t>axi ("</w:t>
      </w:r>
      <w:proofErr w:type="spellStart"/>
      <w:r w:rsidRPr="00ED3950">
        <w:rPr>
          <w:lang w:val="cs-CZ"/>
        </w:rPr>
        <w:t>focus</w:t>
      </w:r>
      <w:proofErr w:type="spellEnd"/>
      <w:r w:rsidRPr="00ED3950">
        <w:rPr>
          <w:lang w:val="cs-CZ"/>
        </w:rPr>
        <w:t xml:space="preserve"> case") ve vztahu k výzvě </w:t>
      </w:r>
      <w:proofErr w:type="spellStart"/>
      <w:r w:rsidRPr="00ED3950">
        <w:rPr>
          <w:lang w:val="cs-CZ"/>
        </w:rPr>
        <w:t>webináře</w:t>
      </w:r>
      <w:proofErr w:type="spellEnd"/>
      <w:r w:rsidRPr="00ED3950">
        <w:rPr>
          <w:lang w:val="cs-CZ"/>
        </w:rPr>
        <w:t xml:space="preserve">. </w:t>
      </w:r>
      <w:r w:rsidRPr="00ED3950">
        <w:rPr>
          <w:b/>
          <w:bCs/>
          <w:lang w:val="cs-CZ"/>
        </w:rPr>
        <w:t>Projektový tým (</w:t>
      </w:r>
      <w:proofErr w:type="spellStart"/>
      <w:r w:rsidRPr="00ED3950">
        <w:rPr>
          <w:b/>
          <w:bCs/>
          <w:lang w:val="cs-CZ"/>
        </w:rPr>
        <w:t>Trinomics</w:t>
      </w:r>
      <w:proofErr w:type="spellEnd"/>
      <w:r w:rsidRPr="00ED3950">
        <w:rPr>
          <w:b/>
          <w:bCs/>
          <w:lang w:val="cs-CZ"/>
        </w:rPr>
        <w:t xml:space="preserve">) </w:t>
      </w:r>
      <w:r w:rsidRPr="00ED3950">
        <w:rPr>
          <w:lang w:val="cs-CZ"/>
        </w:rPr>
        <w:t xml:space="preserve">začne připravovat scénu kolem výzvy tím, že ji zasadí do českého </w:t>
      </w:r>
      <w:r w:rsidRPr="00ED3950">
        <w:rPr>
          <w:lang w:val="cs-CZ"/>
        </w:rPr>
        <w:lastRenderedPageBreak/>
        <w:t xml:space="preserve">kontextu (na základě diagnostické analýzy provedené v roce 2022). </w:t>
      </w:r>
      <w:r w:rsidRPr="00ED3950">
        <w:rPr>
          <w:b/>
          <w:lang w:val="cs-CZ"/>
        </w:rPr>
        <w:t xml:space="preserve">Česko </w:t>
      </w:r>
      <w:r w:rsidRPr="00ED3950">
        <w:rPr>
          <w:lang w:val="cs-CZ"/>
        </w:rPr>
        <w:t xml:space="preserve">poté představí svůj přístup ke </w:t>
      </w:r>
      <w:r w:rsidRPr="00ED3950">
        <w:rPr>
          <w:b/>
          <w:bCs/>
          <w:lang w:val="cs-CZ"/>
        </w:rPr>
        <w:t>zjednodušení h</w:t>
      </w:r>
      <w:r w:rsidRPr="00ED3950">
        <w:rPr>
          <w:b/>
          <w:bCs/>
          <w:lang w:val="cs-CZ"/>
        </w:rPr>
        <w:t xml:space="preserve">odnocení DNSH a ke </w:t>
      </w:r>
      <w:r w:rsidRPr="00ED3950">
        <w:rPr>
          <w:b/>
          <w:bCs/>
          <w:lang w:val="cs-CZ"/>
        </w:rPr>
        <w:t xml:space="preserve">kategorizaci </w:t>
      </w:r>
      <w:r w:rsidRPr="00ED3950">
        <w:rPr>
          <w:b/>
          <w:bCs/>
          <w:lang w:val="cs-CZ"/>
        </w:rPr>
        <w:t>různých typů hodnocení DNSH</w:t>
      </w:r>
      <w:r w:rsidRPr="00ED3950">
        <w:rPr>
          <w:lang w:val="cs-CZ"/>
        </w:rPr>
        <w:t xml:space="preserve">. </w:t>
      </w:r>
      <w:r w:rsidRPr="00ED3950">
        <w:rPr>
          <w:lang w:val="cs-CZ"/>
        </w:rPr>
        <w:t xml:space="preserve">Po tomto příkladu bude následovat případ zaměřený na </w:t>
      </w:r>
      <w:r w:rsidRPr="00ED3950">
        <w:rPr>
          <w:b/>
          <w:lang w:val="cs-CZ"/>
        </w:rPr>
        <w:t xml:space="preserve">slovenský </w:t>
      </w:r>
      <w:r w:rsidRPr="00ED3950">
        <w:rPr>
          <w:b/>
          <w:lang w:val="cs-CZ"/>
        </w:rPr>
        <w:t xml:space="preserve">granulární </w:t>
      </w:r>
      <w:r w:rsidRPr="00ED3950">
        <w:rPr>
          <w:b/>
          <w:lang w:val="cs-CZ"/>
        </w:rPr>
        <w:t xml:space="preserve">přístup k </w:t>
      </w:r>
      <w:r w:rsidRPr="00ED3950">
        <w:rPr>
          <w:b/>
          <w:bCs/>
          <w:lang w:val="cs-CZ"/>
        </w:rPr>
        <w:t xml:space="preserve">posuzování </w:t>
      </w:r>
      <w:r w:rsidRPr="00ED3950">
        <w:rPr>
          <w:b/>
          <w:lang w:val="cs-CZ"/>
        </w:rPr>
        <w:t xml:space="preserve">DNSH </w:t>
      </w:r>
      <w:r w:rsidRPr="00ED3950">
        <w:rPr>
          <w:b/>
          <w:bCs/>
          <w:lang w:val="cs-CZ"/>
        </w:rPr>
        <w:t xml:space="preserve">budov </w:t>
      </w:r>
      <w:r w:rsidRPr="00ED3950">
        <w:rPr>
          <w:b/>
          <w:bCs/>
          <w:lang w:val="cs-CZ"/>
        </w:rPr>
        <w:t xml:space="preserve">v </w:t>
      </w:r>
      <w:r w:rsidRPr="00ED3950">
        <w:rPr>
          <w:b/>
          <w:bCs/>
          <w:lang w:val="cs-CZ"/>
        </w:rPr>
        <w:t>rámci RRF</w:t>
      </w:r>
      <w:r w:rsidRPr="00ED3950">
        <w:rPr>
          <w:lang w:val="cs-CZ"/>
        </w:rPr>
        <w:t xml:space="preserve">. </w:t>
      </w:r>
      <w:r w:rsidRPr="00ED3950">
        <w:rPr>
          <w:lang w:val="cs-CZ"/>
        </w:rPr>
        <w:t xml:space="preserve">Druhý tematický případ představí přístup </w:t>
      </w:r>
      <w:r w:rsidRPr="00ED3950">
        <w:rPr>
          <w:b/>
          <w:bCs/>
          <w:lang w:val="cs-CZ"/>
        </w:rPr>
        <w:t xml:space="preserve">Finska </w:t>
      </w:r>
      <w:r w:rsidRPr="00ED3950">
        <w:rPr>
          <w:lang w:val="cs-CZ"/>
        </w:rPr>
        <w:t xml:space="preserve">k </w:t>
      </w:r>
      <w:r w:rsidRPr="00ED3950">
        <w:rPr>
          <w:lang w:val="cs-CZ"/>
        </w:rPr>
        <w:t xml:space="preserve">uplatňování zásady DNSH nad rámec fondů EU, a to začleněním požadavků na DNSH do nedávno přijatých vnitrostátních právních předpisů podporujících finský přechod na ekologické zemědělství. Konkrétně Finsko přijalo </w:t>
      </w:r>
      <w:r w:rsidRPr="00ED3950">
        <w:rPr>
          <w:b/>
          <w:bCs/>
          <w:lang w:val="cs-CZ"/>
        </w:rPr>
        <w:t xml:space="preserve">zákon o prioritním pořadí, který usnadňuje </w:t>
      </w:r>
      <w:r w:rsidRPr="00ED3950">
        <w:rPr>
          <w:b/>
          <w:bCs/>
          <w:lang w:val="cs-CZ"/>
        </w:rPr>
        <w:t xml:space="preserve">a urychluje </w:t>
      </w:r>
      <w:r w:rsidRPr="00ED3950">
        <w:rPr>
          <w:b/>
          <w:bCs/>
          <w:lang w:val="cs-CZ"/>
        </w:rPr>
        <w:t xml:space="preserve">povolování </w:t>
      </w:r>
      <w:r w:rsidRPr="00ED3950">
        <w:rPr>
          <w:lang w:val="cs-CZ"/>
        </w:rPr>
        <w:t xml:space="preserve">projektů infrastruktury, které jsou v souladu se zásadou DNSH, </w:t>
      </w:r>
      <w:r w:rsidRPr="00ED3950">
        <w:rPr>
          <w:b/>
          <w:bCs/>
          <w:lang w:val="cs-CZ"/>
        </w:rPr>
        <w:t>z hlediska ochrany životního prostředí</w:t>
      </w:r>
      <w:r w:rsidRPr="00ED3950">
        <w:rPr>
          <w:lang w:val="cs-CZ"/>
        </w:rPr>
        <w:t>.</w:t>
      </w:r>
    </w:p>
    <w:p w:rsidR="00666175" w:rsidRPr="00ED3950" w:rsidRDefault="00666175" w:rsidP="00666175">
      <w:pPr>
        <w:ind w:left="0"/>
        <w:jc w:val="both"/>
        <w:rPr>
          <w:b/>
          <w:bCs/>
          <w:color w:val="005962" w:themeColor="accent1"/>
          <w:lang w:val="cs-CZ"/>
        </w:rPr>
      </w:pPr>
    </w:p>
    <w:p w:rsidR="005840C5" w:rsidRPr="00ED3950" w:rsidRDefault="00ED3950">
      <w:pPr>
        <w:ind w:left="0"/>
        <w:jc w:val="both"/>
        <w:rPr>
          <w:b/>
          <w:bCs/>
          <w:color w:val="005962" w:themeColor="accent1"/>
          <w:lang w:val="cs-CZ"/>
        </w:rPr>
      </w:pPr>
      <w:r w:rsidRPr="00ED3950">
        <w:rPr>
          <w:b/>
          <w:bCs/>
          <w:color w:val="005962" w:themeColor="accent1"/>
          <w:lang w:val="cs-CZ"/>
        </w:rPr>
        <w:t xml:space="preserve">Část II: Panelová diskuse - </w:t>
      </w:r>
      <w:r w:rsidRPr="00ED3950">
        <w:rPr>
          <w:b/>
          <w:bCs/>
          <w:color w:val="005962" w:themeColor="accent1"/>
          <w:lang w:val="cs-CZ"/>
        </w:rPr>
        <w:t xml:space="preserve">Provádění zjednodušeného a </w:t>
      </w:r>
      <w:r w:rsidRPr="00ED3950">
        <w:rPr>
          <w:b/>
          <w:bCs/>
          <w:color w:val="005962" w:themeColor="accent1"/>
          <w:lang w:val="cs-CZ"/>
        </w:rPr>
        <w:t xml:space="preserve">podrobného </w:t>
      </w:r>
      <w:r w:rsidRPr="00ED3950">
        <w:rPr>
          <w:b/>
          <w:bCs/>
          <w:color w:val="005962" w:themeColor="accent1"/>
          <w:lang w:val="cs-CZ"/>
        </w:rPr>
        <w:t>hodnocení DNSH</w:t>
      </w:r>
    </w:p>
    <w:p w:rsidR="005840C5" w:rsidRPr="00ED3950" w:rsidRDefault="00ED3950">
      <w:pPr>
        <w:ind w:left="0"/>
        <w:jc w:val="both"/>
        <w:rPr>
          <w:lang w:val="cs-CZ"/>
        </w:rPr>
      </w:pPr>
      <w:r w:rsidRPr="00ED3950">
        <w:rPr>
          <w:lang w:val="cs-CZ"/>
        </w:rPr>
        <w:t xml:space="preserve">Prezentace z členských států </w:t>
      </w:r>
      <w:r w:rsidRPr="00ED3950">
        <w:rPr>
          <w:lang w:val="cs-CZ"/>
        </w:rPr>
        <w:t xml:space="preserve">připraví půdu pro </w:t>
      </w:r>
      <w:r w:rsidRPr="00ED3950">
        <w:rPr>
          <w:b/>
          <w:lang w:val="cs-CZ"/>
        </w:rPr>
        <w:t>p</w:t>
      </w:r>
      <w:r w:rsidRPr="00ED3950">
        <w:rPr>
          <w:b/>
          <w:lang w:val="cs-CZ"/>
        </w:rPr>
        <w:t>anelovou diskusi</w:t>
      </w:r>
      <w:r w:rsidRPr="00ED3950">
        <w:rPr>
          <w:lang w:val="cs-CZ"/>
        </w:rPr>
        <w:t xml:space="preserve">, která se bude řídit </w:t>
      </w:r>
      <w:r w:rsidRPr="00ED3950">
        <w:rPr>
          <w:lang w:val="cs-CZ"/>
        </w:rPr>
        <w:t>otevřenými otázkami vypracovanými projektovým týmem a založenými na odborných konzultacích se zúčastněnými stranami v České republice a dalších členských státech EU. Panelová diskuse rovněž umožní účastníkům klást otáz</w:t>
      </w:r>
      <w:r w:rsidRPr="00ED3950">
        <w:rPr>
          <w:lang w:val="cs-CZ"/>
        </w:rPr>
        <w:t xml:space="preserve">ky v souvislosti s postupy a příklady představenými v první části </w:t>
      </w:r>
      <w:proofErr w:type="spellStart"/>
      <w:r w:rsidRPr="00ED3950">
        <w:rPr>
          <w:lang w:val="cs-CZ"/>
        </w:rPr>
        <w:t>webináře</w:t>
      </w:r>
      <w:proofErr w:type="spellEnd"/>
      <w:r w:rsidRPr="00ED3950">
        <w:rPr>
          <w:lang w:val="cs-CZ"/>
        </w:rPr>
        <w:t xml:space="preserve">. Otázky pro panelovou diskusi byly vypracovány tak, aby členské státy mohly </w:t>
      </w:r>
      <w:r w:rsidRPr="00ED3950">
        <w:rPr>
          <w:lang w:val="cs-CZ"/>
        </w:rPr>
        <w:t xml:space="preserve">získat </w:t>
      </w:r>
      <w:r w:rsidRPr="00ED3950">
        <w:rPr>
          <w:b/>
          <w:lang w:val="cs-CZ"/>
        </w:rPr>
        <w:t xml:space="preserve">nové poznatky, nápady a perspektivy </w:t>
      </w:r>
      <w:r w:rsidRPr="00ED3950">
        <w:rPr>
          <w:lang w:val="cs-CZ"/>
        </w:rPr>
        <w:t xml:space="preserve">pro </w:t>
      </w:r>
      <w:r w:rsidRPr="00ED3950">
        <w:rPr>
          <w:lang w:val="cs-CZ"/>
        </w:rPr>
        <w:t xml:space="preserve">zajištění účinného a efektivního provádění zjednodušeného </w:t>
      </w:r>
      <w:r w:rsidRPr="00ED3950">
        <w:rPr>
          <w:lang w:val="cs-CZ"/>
        </w:rPr>
        <w:t xml:space="preserve">a podrobného hodnocení DNSH. </w:t>
      </w:r>
    </w:p>
    <w:p w:rsidR="00666175" w:rsidRPr="00ED3950" w:rsidRDefault="00666175" w:rsidP="004443A0">
      <w:pPr>
        <w:rPr>
          <w:lang w:val="cs-CZ"/>
        </w:rPr>
      </w:pPr>
    </w:p>
    <w:p w:rsidR="005840C5" w:rsidRPr="00ED3950" w:rsidRDefault="00ED3950">
      <w:pPr>
        <w:pStyle w:val="Nadpis4"/>
        <w:ind w:firstLine="0"/>
        <w:rPr>
          <w:lang w:val="cs-CZ"/>
        </w:rPr>
      </w:pPr>
      <w:r w:rsidRPr="00ED3950">
        <w:rPr>
          <w:lang w:val="cs-CZ"/>
        </w:rPr>
        <w:t>Program</w:t>
      </w:r>
    </w:p>
    <w:tbl>
      <w:tblPr>
        <w:tblStyle w:val="Mkatabulky"/>
        <w:tblW w:w="0" w:type="auto"/>
        <w:tblLook w:val="04A0" w:firstRow="1" w:lastRow="0" w:firstColumn="1" w:lastColumn="0" w:noHBand="0" w:noVBand="1"/>
      </w:tblPr>
      <w:tblGrid>
        <w:gridCol w:w="1271"/>
        <w:gridCol w:w="4820"/>
        <w:gridCol w:w="2687"/>
      </w:tblGrid>
      <w:tr w:rsidR="00D159E4" w:rsidRPr="00ED3950">
        <w:trPr>
          <w:trHeight w:val="20"/>
        </w:trPr>
        <w:tc>
          <w:tcPr>
            <w:tcW w:w="0" w:type="auto"/>
            <w:gridSpan w:val="3"/>
            <w:shd w:val="clear" w:color="auto" w:fill="005962" w:themeFill="accent1"/>
            <w:vAlign w:val="center"/>
          </w:tcPr>
          <w:p w:rsidR="005840C5" w:rsidRPr="00ED3950" w:rsidRDefault="00ED3950">
            <w:pPr>
              <w:spacing w:line="260" w:lineRule="atLeast"/>
              <w:ind w:left="0"/>
              <w:rPr>
                <w:b/>
                <w:bCs/>
                <w:color w:val="FFFFFF" w:themeColor="background1"/>
                <w:szCs w:val="18"/>
                <w:lang w:val="cs-CZ"/>
              </w:rPr>
            </w:pPr>
            <w:r w:rsidRPr="00ED3950">
              <w:rPr>
                <w:b/>
                <w:bCs/>
                <w:color w:val="FFFFFF" w:themeColor="background1"/>
                <w:szCs w:val="18"/>
                <w:lang w:val="cs-CZ"/>
              </w:rPr>
              <w:t>Část I: Úvod a příprava scény</w:t>
            </w:r>
          </w:p>
        </w:tc>
      </w:tr>
      <w:tr w:rsidR="00D159E4" w:rsidRPr="00ED3950">
        <w:trPr>
          <w:trHeight w:val="439"/>
        </w:trPr>
        <w:tc>
          <w:tcPr>
            <w:tcW w:w="8778" w:type="dxa"/>
            <w:gridSpan w:val="3"/>
            <w:tcMar>
              <w:right w:w="57" w:type="dxa"/>
            </w:tcMar>
            <w:vAlign w:val="center"/>
          </w:tcPr>
          <w:p w:rsidR="005840C5" w:rsidRPr="00ED3950" w:rsidRDefault="00ED3950">
            <w:pPr>
              <w:spacing w:line="260" w:lineRule="atLeast"/>
              <w:ind w:left="0"/>
              <w:rPr>
                <w:szCs w:val="18"/>
                <w:lang w:val="cs-CZ"/>
              </w:rPr>
            </w:pPr>
            <w:r w:rsidRPr="00ED3950">
              <w:rPr>
                <w:b/>
                <w:bCs/>
                <w:szCs w:val="18"/>
                <w:lang w:val="cs-CZ"/>
              </w:rPr>
              <w:t xml:space="preserve">Moderátor: </w:t>
            </w:r>
            <w:proofErr w:type="spellStart"/>
            <w:r w:rsidRPr="00ED3950">
              <w:rPr>
                <w:szCs w:val="18"/>
                <w:lang w:val="cs-CZ"/>
              </w:rPr>
              <w:t>Jeroen</w:t>
            </w:r>
            <w:proofErr w:type="spellEnd"/>
            <w:r w:rsidRPr="00ED3950">
              <w:rPr>
                <w:szCs w:val="18"/>
                <w:lang w:val="cs-CZ"/>
              </w:rPr>
              <w:t xml:space="preserve"> van der </w:t>
            </w:r>
            <w:proofErr w:type="spellStart"/>
            <w:r w:rsidRPr="00ED3950">
              <w:rPr>
                <w:szCs w:val="18"/>
                <w:lang w:val="cs-CZ"/>
              </w:rPr>
              <w:t>Laan</w:t>
            </w:r>
            <w:proofErr w:type="spellEnd"/>
            <w:r w:rsidRPr="00ED3950">
              <w:rPr>
                <w:szCs w:val="18"/>
                <w:lang w:val="cs-CZ"/>
              </w:rPr>
              <w:t xml:space="preserve"> (</w:t>
            </w:r>
            <w:proofErr w:type="spellStart"/>
            <w:r w:rsidRPr="00ED3950">
              <w:rPr>
                <w:szCs w:val="18"/>
                <w:lang w:val="cs-CZ"/>
              </w:rPr>
              <w:t>Trinomics</w:t>
            </w:r>
            <w:proofErr w:type="spellEnd"/>
            <w:r w:rsidRPr="00ED3950">
              <w:rPr>
                <w:szCs w:val="18"/>
                <w:lang w:val="cs-CZ"/>
              </w:rPr>
              <w:t>)</w:t>
            </w:r>
          </w:p>
        </w:tc>
      </w:tr>
      <w:tr w:rsidR="00D159E4" w:rsidRPr="00ED3950">
        <w:trPr>
          <w:trHeight w:val="573"/>
        </w:trPr>
        <w:tc>
          <w:tcPr>
            <w:tcW w:w="1271" w:type="dxa"/>
            <w:tcMar>
              <w:right w:w="57" w:type="dxa"/>
            </w:tcMar>
          </w:tcPr>
          <w:p w:rsidR="005840C5" w:rsidRPr="00ED3950" w:rsidRDefault="00ED3950">
            <w:pPr>
              <w:spacing w:line="260" w:lineRule="atLeast"/>
              <w:ind w:left="0"/>
              <w:rPr>
                <w:szCs w:val="18"/>
                <w:lang w:val="cs-CZ"/>
              </w:rPr>
            </w:pPr>
            <w:r w:rsidRPr="00ED3950">
              <w:rPr>
                <w:szCs w:val="18"/>
                <w:lang w:val="cs-CZ"/>
              </w:rPr>
              <w:t xml:space="preserve">10.00 </w:t>
            </w:r>
            <w:r w:rsidRPr="00ED3950">
              <w:rPr>
                <w:szCs w:val="18"/>
                <w:lang w:val="cs-CZ"/>
              </w:rPr>
              <w:t>- 10.05</w:t>
            </w:r>
          </w:p>
        </w:tc>
        <w:tc>
          <w:tcPr>
            <w:tcW w:w="4820" w:type="dxa"/>
          </w:tcPr>
          <w:p w:rsidR="005840C5" w:rsidRPr="00ED3950" w:rsidRDefault="00ED3950">
            <w:pPr>
              <w:spacing w:line="260" w:lineRule="atLeast"/>
              <w:ind w:left="0"/>
              <w:rPr>
                <w:szCs w:val="18"/>
                <w:lang w:val="cs-CZ"/>
              </w:rPr>
            </w:pPr>
            <w:r w:rsidRPr="00ED3950">
              <w:rPr>
                <w:b/>
                <w:bCs/>
                <w:szCs w:val="18"/>
                <w:lang w:val="cs-CZ"/>
              </w:rPr>
              <w:t>Uvítání</w:t>
            </w:r>
            <w:r w:rsidRPr="00ED3950">
              <w:rPr>
                <w:szCs w:val="18"/>
                <w:lang w:val="cs-CZ"/>
              </w:rPr>
              <w:t xml:space="preserve">: představení programu, úvod do projektu a očekávané výsledky </w:t>
            </w:r>
            <w:proofErr w:type="spellStart"/>
            <w:r w:rsidRPr="00ED3950">
              <w:rPr>
                <w:szCs w:val="18"/>
                <w:lang w:val="cs-CZ"/>
              </w:rPr>
              <w:t>webináře</w:t>
            </w:r>
            <w:proofErr w:type="spellEnd"/>
            <w:r w:rsidRPr="00ED3950">
              <w:rPr>
                <w:szCs w:val="18"/>
                <w:lang w:val="cs-CZ"/>
              </w:rPr>
              <w:t>.</w:t>
            </w:r>
          </w:p>
        </w:tc>
        <w:tc>
          <w:tcPr>
            <w:tcW w:w="2687" w:type="dxa"/>
          </w:tcPr>
          <w:p w:rsidR="005840C5" w:rsidRPr="00ED3950" w:rsidRDefault="00ED3950">
            <w:pPr>
              <w:spacing w:line="260" w:lineRule="atLeast"/>
              <w:ind w:left="0"/>
              <w:rPr>
                <w:szCs w:val="18"/>
                <w:lang w:val="cs-CZ"/>
              </w:rPr>
            </w:pPr>
            <w:r w:rsidRPr="00ED3950">
              <w:rPr>
                <w:szCs w:val="18"/>
                <w:lang w:val="cs-CZ"/>
              </w:rPr>
              <w:t xml:space="preserve">Nikola </w:t>
            </w:r>
            <w:proofErr w:type="spellStart"/>
            <w:r w:rsidRPr="00ED3950">
              <w:rPr>
                <w:szCs w:val="18"/>
                <w:lang w:val="cs-CZ"/>
              </w:rPr>
              <w:t>Blokešová</w:t>
            </w:r>
            <w:proofErr w:type="spellEnd"/>
            <w:r w:rsidRPr="00ED3950">
              <w:rPr>
                <w:szCs w:val="18"/>
                <w:lang w:val="cs-CZ"/>
              </w:rPr>
              <w:t>, Úřad vlády (Česko)</w:t>
            </w:r>
          </w:p>
        </w:tc>
      </w:tr>
      <w:tr w:rsidR="00D159E4" w:rsidRPr="00ED3950">
        <w:trPr>
          <w:trHeight w:val="20"/>
        </w:trPr>
        <w:tc>
          <w:tcPr>
            <w:tcW w:w="1271" w:type="dxa"/>
            <w:tcMar>
              <w:right w:w="57" w:type="dxa"/>
            </w:tcMar>
          </w:tcPr>
          <w:p w:rsidR="005840C5" w:rsidRPr="00ED3950" w:rsidRDefault="00ED3950">
            <w:pPr>
              <w:spacing w:line="260" w:lineRule="atLeast"/>
              <w:ind w:left="0"/>
              <w:rPr>
                <w:szCs w:val="18"/>
                <w:lang w:val="cs-CZ"/>
              </w:rPr>
            </w:pPr>
            <w:r w:rsidRPr="00ED3950">
              <w:rPr>
                <w:szCs w:val="18"/>
                <w:lang w:val="cs-CZ"/>
              </w:rPr>
              <w:t>10.</w:t>
            </w:r>
            <w:r w:rsidRPr="00ED3950">
              <w:rPr>
                <w:szCs w:val="18"/>
                <w:lang w:val="cs-CZ"/>
              </w:rPr>
              <w:t xml:space="preserve">05 </w:t>
            </w:r>
            <w:r w:rsidRPr="00ED3950">
              <w:rPr>
                <w:szCs w:val="18"/>
                <w:lang w:val="cs-CZ"/>
              </w:rPr>
              <w:t xml:space="preserve">- </w:t>
            </w:r>
            <w:r w:rsidRPr="00ED3950">
              <w:rPr>
                <w:szCs w:val="18"/>
                <w:lang w:val="cs-CZ"/>
              </w:rPr>
              <w:t>10.15</w:t>
            </w:r>
          </w:p>
        </w:tc>
        <w:tc>
          <w:tcPr>
            <w:tcW w:w="4820" w:type="dxa"/>
          </w:tcPr>
          <w:p w:rsidR="005840C5" w:rsidRPr="00ED3950" w:rsidRDefault="00ED3950">
            <w:pPr>
              <w:spacing w:line="260" w:lineRule="atLeast"/>
              <w:ind w:left="0"/>
              <w:rPr>
                <w:szCs w:val="18"/>
                <w:lang w:val="cs-CZ"/>
              </w:rPr>
            </w:pPr>
            <w:r w:rsidRPr="00ED3950">
              <w:rPr>
                <w:b/>
                <w:bCs/>
                <w:szCs w:val="18"/>
                <w:lang w:val="cs-CZ"/>
              </w:rPr>
              <w:t>Úvod do problematiky</w:t>
            </w:r>
            <w:r w:rsidRPr="00ED3950">
              <w:rPr>
                <w:szCs w:val="18"/>
                <w:lang w:val="cs-CZ"/>
              </w:rPr>
              <w:t>: představení výzev spojených s prováděním zjednodušeného a podrobného hodnocení DNSH</w:t>
            </w:r>
          </w:p>
        </w:tc>
        <w:tc>
          <w:tcPr>
            <w:tcW w:w="2687" w:type="dxa"/>
          </w:tcPr>
          <w:p w:rsidR="005840C5" w:rsidRPr="00ED3950" w:rsidRDefault="00ED3950">
            <w:pPr>
              <w:spacing w:line="260" w:lineRule="atLeast"/>
              <w:ind w:left="0"/>
              <w:rPr>
                <w:szCs w:val="18"/>
                <w:lang w:val="cs-CZ"/>
              </w:rPr>
            </w:pPr>
            <w:r w:rsidRPr="00ED3950">
              <w:rPr>
                <w:szCs w:val="18"/>
                <w:lang w:val="cs-CZ"/>
              </w:rPr>
              <w:t xml:space="preserve">Peter </w:t>
            </w:r>
            <w:proofErr w:type="spellStart"/>
            <w:r w:rsidRPr="00ED3950">
              <w:rPr>
                <w:szCs w:val="18"/>
                <w:lang w:val="cs-CZ"/>
              </w:rPr>
              <w:t>Janoska</w:t>
            </w:r>
            <w:proofErr w:type="spellEnd"/>
            <w:r w:rsidRPr="00ED3950">
              <w:rPr>
                <w:szCs w:val="18"/>
                <w:lang w:val="cs-CZ"/>
              </w:rPr>
              <w:t xml:space="preserve"> </w:t>
            </w:r>
            <w:r w:rsidRPr="00ED3950">
              <w:rPr>
                <w:szCs w:val="18"/>
                <w:lang w:val="cs-CZ"/>
              </w:rPr>
              <w:t>(</w:t>
            </w:r>
            <w:proofErr w:type="spellStart"/>
            <w:r w:rsidRPr="00ED3950">
              <w:rPr>
                <w:szCs w:val="18"/>
                <w:lang w:val="cs-CZ"/>
              </w:rPr>
              <w:t>Trinomics</w:t>
            </w:r>
            <w:proofErr w:type="spellEnd"/>
            <w:r w:rsidRPr="00ED3950">
              <w:rPr>
                <w:szCs w:val="18"/>
                <w:lang w:val="cs-CZ"/>
              </w:rPr>
              <w:t>)</w:t>
            </w:r>
          </w:p>
        </w:tc>
      </w:tr>
      <w:tr w:rsidR="00D159E4" w:rsidRPr="00ED3950">
        <w:trPr>
          <w:trHeight w:val="20"/>
        </w:trPr>
        <w:tc>
          <w:tcPr>
            <w:tcW w:w="1271" w:type="dxa"/>
            <w:tcMar>
              <w:right w:w="57" w:type="dxa"/>
            </w:tcMar>
          </w:tcPr>
          <w:p w:rsidR="005840C5" w:rsidRPr="00ED3950" w:rsidRDefault="00ED3950">
            <w:pPr>
              <w:spacing w:line="260" w:lineRule="atLeast"/>
              <w:ind w:left="0"/>
              <w:rPr>
                <w:szCs w:val="18"/>
                <w:lang w:val="cs-CZ"/>
              </w:rPr>
            </w:pPr>
            <w:r w:rsidRPr="00ED3950">
              <w:rPr>
                <w:szCs w:val="18"/>
                <w:lang w:val="cs-CZ"/>
              </w:rPr>
              <w:t>10.</w:t>
            </w:r>
            <w:r w:rsidRPr="00ED3950">
              <w:rPr>
                <w:szCs w:val="18"/>
                <w:lang w:val="cs-CZ"/>
              </w:rPr>
              <w:t xml:space="preserve">15 </w:t>
            </w:r>
            <w:r w:rsidRPr="00ED3950">
              <w:rPr>
                <w:szCs w:val="18"/>
                <w:lang w:val="cs-CZ"/>
              </w:rPr>
              <w:t xml:space="preserve">- </w:t>
            </w:r>
            <w:r w:rsidRPr="00ED3950">
              <w:rPr>
                <w:szCs w:val="18"/>
                <w:lang w:val="cs-CZ"/>
              </w:rPr>
              <w:t>10</w:t>
            </w:r>
            <w:r w:rsidRPr="00ED3950">
              <w:rPr>
                <w:szCs w:val="18"/>
                <w:lang w:val="cs-CZ"/>
              </w:rPr>
              <w:t>.</w:t>
            </w:r>
            <w:r w:rsidRPr="00ED3950">
              <w:rPr>
                <w:szCs w:val="18"/>
                <w:lang w:val="cs-CZ"/>
              </w:rPr>
              <w:t>30</w:t>
            </w:r>
          </w:p>
        </w:tc>
        <w:tc>
          <w:tcPr>
            <w:tcW w:w="4820" w:type="dxa"/>
          </w:tcPr>
          <w:p w:rsidR="005840C5" w:rsidRPr="00ED3950" w:rsidRDefault="00ED3950">
            <w:pPr>
              <w:spacing w:line="260" w:lineRule="atLeast"/>
              <w:ind w:left="0"/>
              <w:rPr>
                <w:szCs w:val="18"/>
                <w:lang w:val="cs-CZ"/>
              </w:rPr>
            </w:pPr>
            <w:r w:rsidRPr="00ED3950">
              <w:rPr>
                <w:b/>
                <w:bCs/>
                <w:szCs w:val="18"/>
                <w:lang w:val="cs-CZ"/>
              </w:rPr>
              <w:t>Kontext v Česku</w:t>
            </w:r>
            <w:r w:rsidRPr="00ED3950">
              <w:rPr>
                <w:szCs w:val="18"/>
                <w:lang w:val="cs-CZ"/>
              </w:rPr>
              <w:t xml:space="preserve">: zavedení praxe operačního </w:t>
            </w:r>
            <w:r w:rsidRPr="00ED3950">
              <w:rPr>
                <w:szCs w:val="18"/>
                <w:lang w:val="cs-CZ"/>
              </w:rPr>
              <w:t xml:space="preserve">programu Just </w:t>
            </w:r>
            <w:proofErr w:type="spellStart"/>
            <w:r w:rsidRPr="00ED3950">
              <w:rPr>
                <w:szCs w:val="18"/>
                <w:lang w:val="cs-CZ"/>
              </w:rPr>
              <w:t>Transition</w:t>
            </w:r>
            <w:proofErr w:type="spellEnd"/>
            <w:r w:rsidRPr="00ED3950">
              <w:rPr>
                <w:szCs w:val="18"/>
                <w:lang w:val="cs-CZ"/>
              </w:rPr>
              <w:t xml:space="preserve"> pro zjednodušení a kategorizaci </w:t>
            </w:r>
            <w:r w:rsidRPr="00ED3950">
              <w:rPr>
                <w:szCs w:val="18"/>
                <w:lang w:val="cs-CZ"/>
              </w:rPr>
              <w:t>hodnocení DNSH</w:t>
            </w:r>
          </w:p>
        </w:tc>
        <w:tc>
          <w:tcPr>
            <w:tcW w:w="2687" w:type="dxa"/>
          </w:tcPr>
          <w:p w:rsidR="005840C5" w:rsidRPr="00ED3950" w:rsidRDefault="00ED3950">
            <w:pPr>
              <w:spacing w:line="260" w:lineRule="atLeast"/>
              <w:ind w:left="0"/>
              <w:rPr>
                <w:szCs w:val="18"/>
                <w:lang w:val="cs-CZ"/>
              </w:rPr>
            </w:pPr>
            <w:r w:rsidRPr="00ED3950">
              <w:rPr>
                <w:szCs w:val="18"/>
                <w:lang w:val="cs-CZ"/>
              </w:rPr>
              <w:t xml:space="preserve">Jan </w:t>
            </w:r>
            <w:r w:rsidRPr="00ED3950">
              <w:rPr>
                <w:lang w:val="cs-CZ"/>
              </w:rPr>
              <w:t xml:space="preserve">Hlaváček, OP JTF </w:t>
            </w:r>
            <w:r w:rsidRPr="00ED3950">
              <w:rPr>
                <w:szCs w:val="18"/>
                <w:lang w:val="cs-CZ"/>
              </w:rPr>
              <w:t>(Česko)</w:t>
            </w:r>
          </w:p>
        </w:tc>
      </w:tr>
      <w:tr w:rsidR="00D159E4" w:rsidRPr="00ED3950">
        <w:trPr>
          <w:trHeight w:val="20"/>
        </w:trPr>
        <w:tc>
          <w:tcPr>
            <w:tcW w:w="1271" w:type="dxa"/>
            <w:tcMar>
              <w:right w:w="57" w:type="dxa"/>
            </w:tcMar>
          </w:tcPr>
          <w:p w:rsidR="005840C5" w:rsidRPr="00ED3950" w:rsidRDefault="00ED3950">
            <w:pPr>
              <w:spacing w:line="260" w:lineRule="atLeast"/>
              <w:ind w:left="0"/>
              <w:rPr>
                <w:szCs w:val="18"/>
                <w:lang w:val="cs-CZ"/>
              </w:rPr>
            </w:pPr>
            <w:r w:rsidRPr="00ED3950">
              <w:rPr>
                <w:szCs w:val="18"/>
                <w:lang w:val="cs-CZ"/>
              </w:rPr>
              <w:t>10</w:t>
            </w:r>
            <w:r w:rsidRPr="00ED3950">
              <w:rPr>
                <w:szCs w:val="18"/>
                <w:lang w:val="cs-CZ"/>
              </w:rPr>
              <w:t>.</w:t>
            </w:r>
            <w:r w:rsidRPr="00ED3950">
              <w:rPr>
                <w:szCs w:val="18"/>
                <w:lang w:val="cs-CZ"/>
              </w:rPr>
              <w:t xml:space="preserve">30 </w:t>
            </w:r>
            <w:r w:rsidRPr="00ED3950">
              <w:rPr>
                <w:szCs w:val="18"/>
                <w:lang w:val="cs-CZ"/>
              </w:rPr>
              <w:t xml:space="preserve">- </w:t>
            </w:r>
            <w:r w:rsidRPr="00ED3950">
              <w:rPr>
                <w:szCs w:val="18"/>
                <w:lang w:val="cs-CZ"/>
              </w:rPr>
              <w:t>10</w:t>
            </w:r>
            <w:r w:rsidRPr="00ED3950">
              <w:rPr>
                <w:szCs w:val="18"/>
                <w:lang w:val="cs-CZ"/>
              </w:rPr>
              <w:t>.</w:t>
            </w:r>
            <w:r w:rsidRPr="00ED3950">
              <w:rPr>
                <w:szCs w:val="18"/>
                <w:lang w:val="cs-CZ"/>
              </w:rPr>
              <w:t>45</w:t>
            </w:r>
          </w:p>
        </w:tc>
        <w:tc>
          <w:tcPr>
            <w:tcW w:w="4820" w:type="dxa"/>
          </w:tcPr>
          <w:p w:rsidR="005840C5" w:rsidRPr="00ED3950" w:rsidRDefault="00ED3950">
            <w:pPr>
              <w:spacing w:line="260" w:lineRule="atLeast"/>
              <w:ind w:left="0"/>
              <w:rPr>
                <w:lang w:val="cs-CZ"/>
              </w:rPr>
            </w:pPr>
            <w:r w:rsidRPr="00ED3950">
              <w:rPr>
                <w:b/>
                <w:bCs/>
                <w:lang w:val="cs-CZ"/>
              </w:rPr>
              <w:t>Případ 1</w:t>
            </w:r>
            <w:r w:rsidRPr="00ED3950">
              <w:rPr>
                <w:lang w:val="cs-CZ"/>
              </w:rPr>
              <w:t xml:space="preserve">: </w:t>
            </w:r>
            <w:r w:rsidRPr="00ED3950">
              <w:rPr>
                <w:color w:val="000000" w:themeColor="text1"/>
                <w:lang w:val="cs-CZ"/>
              </w:rPr>
              <w:t>Směrnice pro posuzování DNSH pro budovy na Slovensku</w:t>
            </w:r>
          </w:p>
        </w:tc>
        <w:tc>
          <w:tcPr>
            <w:tcW w:w="2687" w:type="dxa"/>
          </w:tcPr>
          <w:p w:rsidR="005840C5" w:rsidRPr="00ED3950" w:rsidRDefault="00ED3950">
            <w:pPr>
              <w:spacing w:line="260" w:lineRule="atLeast"/>
              <w:ind w:left="0"/>
              <w:rPr>
                <w:szCs w:val="18"/>
                <w:lang w:val="cs-CZ"/>
              </w:rPr>
            </w:pPr>
            <w:proofErr w:type="spellStart"/>
            <w:r w:rsidRPr="00ED3950">
              <w:rPr>
                <w:szCs w:val="18"/>
                <w:lang w:val="cs-CZ"/>
              </w:rPr>
              <w:t>Kristína</w:t>
            </w:r>
            <w:proofErr w:type="spellEnd"/>
            <w:r w:rsidRPr="00ED3950">
              <w:rPr>
                <w:szCs w:val="18"/>
                <w:lang w:val="cs-CZ"/>
              </w:rPr>
              <w:t xml:space="preserve"> </w:t>
            </w:r>
            <w:proofErr w:type="spellStart"/>
            <w:r w:rsidRPr="00ED3950">
              <w:rPr>
                <w:szCs w:val="18"/>
                <w:lang w:val="cs-CZ"/>
              </w:rPr>
              <w:t>Korčeková</w:t>
            </w:r>
            <w:proofErr w:type="spellEnd"/>
            <w:r w:rsidRPr="00ED3950">
              <w:rPr>
                <w:szCs w:val="18"/>
                <w:lang w:val="cs-CZ"/>
              </w:rPr>
              <w:t xml:space="preserve">, </w:t>
            </w:r>
            <w:r w:rsidRPr="00ED3950">
              <w:rPr>
                <w:szCs w:val="18"/>
                <w:lang w:val="cs-CZ"/>
              </w:rPr>
              <w:t xml:space="preserve">Úřad vlády Slovenské republiky </w:t>
            </w:r>
            <w:r w:rsidRPr="00ED3950">
              <w:rPr>
                <w:szCs w:val="18"/>
                <w:lang w:val="cs-CZ"/>
              </w:rPr>
              <w:t>(Slovensko</w:t>
            </w:r>
            <w:r w:rsidRPr="00ED3950">
              <w:rPr>
                <w:szCs w:val="18"/>
                <w:lang w:val="cs-CZ"/>
              </w:rPr>
              <w:t>)</w:t>
            </w:r>
          </w:p>
        </w:tc>
      </w:tr>
      <w:tr w:rsidR="00D159E4" w:rsidRPr="00ED3950">
        <w:trPr>
          <w:trHeight w:val="20"/>
        </w:trPr>
        <w:tc>
          <w:tcPr>
            <w:tcW w:w="1271" w:type="dxa"/>
            <w:tcMar>
              <w:right w:w="57" w:type="dxa"/>
            </w:tcMar>
          </w:tcPr>
          <w:p w:rsidR="005840C5" w:rsidRPr="00ED3950" w:rsidRDefault="00ED3950">
            <w:pPr>
              <w:spacing w:line="260" w:lineRule="atLeast"/>
              <w:ind w:left="0"/>
              <w:rPr>
                <w:szCs w:val="18"/>
                <w:lang w:val="cs-CZ"/>
              </w:rPr>
            </w:pPr>
            <w:r w:rsidRPr="00ED3950">
              <w:rPr>
                <w:szCs w:val="18"/>
                <w:lang w:val="cs-CZ"/>
              </w:rPr>
              <w:t xml:space="preserve">10.45 </w:t>
            </w:r>
            <w:r w:rsidRPr="00ED3950">
              <w:rPr>
                <w:szCs w:val="18"/>
                <w:lang w:val="cs-CZ"/>
              </w:rPr>
              <w:t xml:space="preserve">- </w:t>
            </w:r>
            <w:r w:rsidRPr="00ED3950">
              <w:rPr>
                <w:szCs w:val="18"/>
                <w:lang w:val="cs-CZ"/>
              </w:rPr>
              <w:t>11</w:t>
            </w:r>
            <w:r w:rsidRPr="00ED3950">
              <w:rPr>
                <w:szCs w:val="18"/>
                <w:lang w:val="cs-CZ"/>
              </w:rPr>
              <w:t>.</w:t>
            </w:r>
            <w:r w:rsidRPr="00ED3950">
              <w:rPr>
                <w:szCs w:val="18"/>
                <w:lang w:val="cs-CZ"/>
              </w:rPr>
              <w:t>00</w:t>
            </w:r>
          </w:p>
        </w:tc>
        <w:tc>
          <w:tcPr>
            <w:tcW w:w="4820" w:type="dxa"/>
          </w:tcPr>
          <w:p w:rsidR="005840C5" w:rsidRPr="00ED3950" w:rsidRDefault="00ED3950">
            <w:pPr>
              <w:spacing w:line="260" w:lineRule="atLeast"/>
              <w:ind w:left="0"/>
              <w:rPr>
                <w:lang w:val="cs-CZ"/>
              </w:rPr>
            </w:pPr>
            <w:r w:rsidRPr="00ED3950">
              <w:rPr>
                <w:b/>
                <w:bCs/>
                <w:lang w:val="cs-CZ"/>
              </w:rPr>
              <w:t>Případ 2</w:t>
            </w:r>
            <w:r w:rsidRPr="00ED3950">
              <w:rPr>
                <w:lang w:val="cs-CZ"/>
              </w:rPr>
              <w:t xml:space="preserve">: </w:t>
            </w:r>
            <w:r w:rsidRPr="00ED3950">
              <w:rPr>
                <w:lang w:val="cs-CZ"/>
              </w:rPr>
              <w:t>Zákon o přednostním pořadí pro povolování v oblasti životního prostředí ve Finsku</w:t>
            </w:r>
          </w:p>
        </w:tc>
        <w:tc>
          <w:tcPr>
            <w:tcW w:w="2687" w:type="dxa"/>
          </w:tcPr>
          <w:p w:rsidR="005840C5" w:rsidRPr="00ED3950" w:rsidRDefault="00ED3950">
            <w:pPr>
              <w:spacing w:line="260" w:lineRule="atLeast"/>
              <w:ind w:left="0"/>
              <w:rPr>
                <w:szCs w:val="18"/>
                <w:lang w:val="cs-CZ"/>
              </w:rPr>
            </w:pPr>
            <w:r w:rsidRPr="00ED3950">
              <w:rPr>
                <w:szCs w:val="18"/>
                <w:lang w:val="cs-CZ"/>
              </w:rPr>
              <w:t xml:space="preserve">Emma </w:t>
            </w:r>
            <w:proofErr w:type="spellStart"/>
            <w:r w:rsidRPr="00ED3950">
              <w:rPr>
                <w:szCs w:val="18"/>
                <w:lang w:val="cs-CZ"/>
              </w:rPr>
              <w:t>Terämä</w:t>
            </w:r>
            <w:proofErr w:type="spellEnd"/>
            <w:r w:rsidRPr="00ED3950">
              <w:rPr>
                <w:szCs w:val="18"/>
                <w:lang w:val="cs-CZ"/>
              </w:rPr>
              <w:t>, Ministerstvo životního prostředí (Finsko)</w:t>
            </w:r>
          </w:p>
        </w:tc>
      </w:tr>
      <w:tr w:rsidR="00D159E4" w:rsidRPr="00ED3950">
        <w:trPr>
          <w:trHeight w:val="20"/>
        </w:trPr>
        <w:tc>
          <w:tcPr>
            <w:tcW w:w="1271" w:type="dxa"/>
            <w:tcMar>
              <w:right w:w="57" w:type="dxa"/>
            </w:tcMar>
            <w:vAlign w:val="center"/>
          </w:tcPr>
          <w:p w:rsidR="005840C5" w:rsidRPr="00ED3950" w:rsidRDefault="00ED3950">
            <w:pPr>
              <w:spacing w:line="260" w:lineRule="atLeast"/>
              <w:ind w:left="0"/>
              <w:rPr>
                <w:i/>
                <w:iCs/>
                <w:szCs w:val="18"/>
                <w:lang w:val="cs-CZ"/>
              </w:rPr>
            </w:pPr>
            <w:r w:rsidRPr="00ED3950">
              <w:rPr>
                <w:i/>
                <w:iCs/>
                <w:szCs w:val="18"/>
                <w:lang w:val="cs-CZ"/>
              </w:rPr>
              <w:t>11.</w:t>
            </w:r>
            <w:r w:rsidRPr="00ED3950">
              <w:rPr>
                <w:i/>
                <w:iCs/>
                <w:szCs w:val="18"/>
                <w:lang w:val="cs-CZ"/>
              </w:rPr>
              <w:t xml:space="preserve">00 </w:t>
            </w:r>
            <w:r w:rsidRPr="00ED3950">
              <w:rPr>
                <w:i/>
                <w:iCs/>
                <w:szCs w:val="18"/>
                <w:lang w:val="cs-CZ"/>
              </w:rPr>
              <w:t>- 11.</w:t>
            </w:r>
            <w:r w:rsidRPr="00ED3950">
              <w:rPr>
                <w:i/>
                <w:iCs/>
                <w:szCs w:val="18"/>
                <w:lang w:val="cs-CZ"/>
              </w:rPr>
              <w:t>15</w:t>
            </w:r>
          </w:p>
        </w:tc>
        <w:tc>
          <w:tcPr>
            <w:tcW w:w="7507" w:type="dxa"/>
            <w:gridSpan w:val="2"/>
            <w:vAlign w:val="center"/>
          </w:tcPr>
          <w:p w:rsidR="005840C5" w:rsidRPr="00ED3950" w:rsidRDefault="00ED3950">
            <w:pPr>
              <w:spacing w:line="260" w:lineRule="atLeast"/>
              <w:ind w:left="0"/>
              <w:rPr>
                <w:i/>
                <w:iCs/>
                <w:szCs w:val="18"/>
                <w:lang w:val="cs-CZ"/>
              </w:rPr>
            </w:pPr>
            <w:r w:rsidRPr="00ED3950">
              <w:rPr>
                <w:i/>
                <w:iCs/>
                <w:szCs w:val="18"/>
                <w:lang w:val="cs-CZ"/>
              </w:rPr>
              <w:t>Přestávka na kávu</w:t>
            </w:r>
          </w:p>
        </w:tc>
      </w:tr>
      <w:tr w:rsidR="00D159E4" w:rsidRPr="00ED3950">
        <w:trPr>
          <w:trHeight w:val="20"/>
        </w:trPr>
        <w:tc>
          <w:tcPr>
            <w:tcW w:w="0" w:type="auto"/>
            <w:gridSpan w:val="3"/>
            <w:shd w:val="clear" w:color="auto" w:fill="005962" w:themeFill="accent1"/>
            <w:tcMar>
              <w:right w:w="57" w:type="dxa"/>
            </w:tcMar>
            <w:vAlign w:val="center"/>
          </w:tcPr>
          <w:p w:rsidR="005840C5" w:rsidRPr="00ED3950" w:rsidRDefault="00ED3950">
            <w:pPr>
              <w:spacing w:line="260" w:lineRule="atLeast"/>
              <w:ind w:left="0"/>
              <w:rPr>
                <w:b/>
                <w:bCs/>
                <w:color w:val="FFFFFF" w:themeColor="background1"/>
                <w:szCs w:val="18"/>
                <w:lang w:val="cs-CZ"/>
              </w:rPr>
            </w:pPr>
            <w:r w:rsidRPr="00ED3950">
              <w:rPr>
                <w:b/>
                <w:bCs/>
                <w:color w:val="FFFFFF" w:themeColor="background1"/>
                <w:szCs w:val="18"/>
                <w:lang w:val="cs-CZ"/>
              </w:rPr>
              <w:t xml:space="preserve">Část II: Panelová diskuse </w:t>
            </w:r>
            <w:r w:rsidRPr="00ED3950">
              <w:rPr>
                <w:b/>
                <w:bCs/>
                <w:color w:val="FFFFFF" w:themeColor="background1"/>
                <w:szCs w:val="18"/>
                <w:lang w:val="cs-CZ"/>
              </w:rPr>
              <w:t xml:space="preserve">- </w:t>
            </w:r>
            <w:r w:rsidRPr="00ED3950">
              <w:rPr>
                <w:b/>
                <w:bCs/>
                <w:color w:val="FFFFFF" w:themeColor="background1"/>
                <w:szCs w:val="18"/>
                <w:lang w:val="cs-CZ"/>
              </w:rPr>
              <w:t xml:space="preserve">Provádění zjednodušeného a </w:t>
            </w:r>
            <w:r w:rsidRPr="00ED3950">
              <w:rPr>
                <w:b/>
                <w:bCs/>
                <w:color w:val="FFFFFF" w:themeColor="background1"/>
                <w:szCs w:val="18"/>
                <w:lang w:val="cs-CZ"/>
              </w:rPr>
              <w:t xml:space="preserve">podrobného </w:t>
            </w:r>
            <w:r w:rsidRPr="00ED3950">
              <w:rPr>
                <w:b/>
                <w:bCs/>
                <w:color w:val="FFFFFF" w:themeColor="background1"/>
                <w:szCs w:val="18"/>
                <w:lang w:val="cs-CZ"/>
              </w:rPr>
              <w:t>hodnocení DNSH</w:t>
            </w:r>
          </w:p>
        </w:tc>
      </w:tr>
      <w:tr w:rsidR="00D159E4" w:rsidRPr="00ED3950">
        <w:trPr>
          <w:trHeight w:val="20"/>
        </w:trPr>
        <w:tc>
          <w:tcPr>
            <w:tcW w:w="1271" w:type="dxa"/>
            <w:tcMar>
              <w:right w:w="57" w:type="dxa"/>
            </w:tcMar>
          </w:tcPr>
          <w:p w:rsidR="005840C5" w:rsidRPr="00ED3950" w:rsidRDefault="00ED3950">
            <w:pPr>
              <w:spacing w:line="260" w:lineRule="atLeast"/>
              <w:ind w:left="0"/>
              <w:rPr>
                <w:szCs w:val="18"/>
                <w:lang w:val="cs-CZ"/>
              </w:rPr>
            </w:pPr>
            <w:r w:rsidRPr="00ED3950">
              <w:rPr>
                <w:szCs w:val="18"/>
                <w:lang w:val="cs-CZ"/>
              </w:rPr>
              <w:t>11</w:t>
            </w:r>
            <w:r w:rsidRPr="00ED3950">
              <w:rPr>
                <w:szCs w:val="18"/>
                <w:lang w:val="cs-CZ"/>
              </w:rPr>
              <w:t>.</w:t>
            </w:r>
            <w:r w:rsidRPr="00ED3950">
              <w:rPr>
                <w:szCs w:val="18"/>
                <w:lang w:val="cs-CZ"/>
              </w:rPr>
              <w:t xml:space="preserve">15 </w:t>
            </w:r>
            <w:r w:rsidRPr="00ED3950">
              <w:rPr>
                <w:szCs w:val="18"/>
                <w:lang w:val="cs-CZ"/>
              </w:rPr>
              <w:t>- 12.</w:t>
            </w:r>
            <w:r w:rsidRPr="00ED3950">
              <w:rPr>
                <w:szCs w:val="18"/>
                <w:lang w:val="cs-CZ"/>
              </w:rPr>
              <w:t>20</w:t>
            </w:r>
          </w:p>
        </w:tc>
        <w:tc>
          <w:tcPr>
            <w:tcW w:w="7507" w:type="dxa"/>
            <w:gridSpan w:val="2"/>
          </w:tcPr>
          <w:p w:rsidR="005840C5" w:rsidRPr="00ED3950" w:rsidRDefault="00ED3950">
            <w:pPr>
              <w:spacing w:line="260" w:lineRule="atLeast"/>
              <w:ind w:left="0"/>
              <w:rPr>
                <w:lang w:val="cs-CZ"/>
              </w:rPr>
            </w:pPr>
            <w:r w:rsidRPr="00ED3950">
              <w:rPr>
                <w:b/>
                <w:lang w:val="cs-CZ"/>
              </w:rPr>
              <w:t>Moderátor</w:t>
            </w:r>
            <w:r w:rsidRPr="00ED3950">
              <w:rPr>
                <w:lang w:val="cs-CZ"/>
              </w:rPr>
              <w:t xml:space="preserve">: </w:t>
            </w:r>
            <w:r w:rsidRPr="00ED3950">
              <w:rPr>
                <w:lang w:val="cs-CZ"/>
              </w:rPr>
              <w:t xml:space="preserve">Linda </w:t>
            </w:r>
            <w:proofErr w:type="spellStart"/>
            <w:r w:rsidRPr="00ED3950">
              <w:rPr>
                <w:lang w:val="cs-CZ"/>
              </w:rPr>
              <w:t>Zeilina</w:t>
            </w:r>
            <w:proofErr w:type="spellEnd"/>
            <w:r w:rsidRPr="00ED3950">
              <w:rPr>
                <w:lang w:val="cs-CZ"/>
              </w:rPr>
              <w:t xml:space="preserve"> </w:t>
            </w:r>
            <w:r w:rsidRPr="00ED3950">
              <w:rPr>
                <w:lang w:val="cs-CZ"/>
              </w:rPr>
              <w:t>(ISFC)</w:t>
            </w:r>
          </w:p>
          <w:p w:rsidR="005840C5" w:rsidRPr="00ED3950" w:rsidRDefault="00ED3950">
            <w:pPr>
              <w:spacing w:line="260" w:lineRule="atLeast"/>
              <w:ind w:left="0"/>
              <w:rPr>
                <w:szCs w:val="18"/>
                <w:lang w:val="cs-CZ"/>
              </w:rPr>
            </w:pPr>
            <w:r w:rsidRPr="00ED3950">
              <w:rPr>
                <w:b/>
                <w:bCs/>
                <w:szCs w:val="18"/>
                <w:lang w:val="cs-CZ"/>
              </w:rPr>
              <w:t>Členové panelu</w:t>
            </w:r>
            <w:r w:rsidRPr="00ED3950">
              <w:rPr>
                <w:szCs w:val="18"/>
                <w:lang w:val="cs-CZ"/>
              </w:rPr>
              <w:t xml:space="preserve">: </w:t>
            </w:r>
          </w:p>
          <w:p w:rsidR="005840C5" w:rsidRPr="00ED3950" w:rsidRDefault="00ED3950">
            <w:pPr>
              <w:pStyle w:val="Odstavecseseznamem"/>
              <w:numPr>
                <w:ilvl w:val="0"/>
                <w:numId w:val="17"/>
              </w:numPr>
              <w:tabs>
                <w:tab w:val="clear" w:pos="851"/>
                <w:tab w:val="left" w:pos="312"/>
              </w:tabs>
              <w:spacing w:line="260" w:lineRule="atLeast"/>
              <w:ind w:left="312" w:hanging="283"/>
              <w:rPr>
                <w:szCs w:val="18"/>
                <w:lang w:val="cs-CZ"/>
              </w:rPr>
            </w:pPr>
            <w:r w:rsidRPr="00ED3950">
              <w:rPr>
                <w:lang w:val="cs-CZ"/>
              </w:rPr>
              <w:t xml:space="preserve">Jan </w:t>
            </w:r>
            <w:r w:rsidRPr="00ED3950">
              <w:rPr>
                <w:lang w:val="cs-CZ"/>
              </w:rPr>
              <w:t xml:space="preserve">Hlaváček, </w:t>
            </w:r>
            <w:r w:rsidRPr="00ED3950">
              <w:rPr>
                <w:lang w:val="cs-CZ"/>
              </w:rPr>
              <w:t xml:space="preserve">Operační </w:t>
            </w:r>
            <w:r w:rsidRPr="00ED3950">
              <w:rPr>
                <w:lang w:val="cs-CZ"/>
              </w:rPr>
              <w:t>program Spravedlivý přechod (</w:t>
            </w:r>
            <w:r w:rsidRPr="00ED3950">
              <w:rPr>
                <w:lang w:val="cs-CZ"/>
              </w:rPr>
              <w:t>Česko)</w:t>
            </w:r>
          </w:p>
          <w:p w:rsidR="005840C5" w:rsidRPr="00ED3950" w:rsidRDefault="00ED3950">
            <w:pPr>
              <w:pStyle w:val="Odstavecseseznamem"/>
              <w:numPr>
                <w:ilvl w:val="0"/>
                <w:numId w:val="17"/>
              </w:numPr>
              <w:tabs>
                <w:tab w:val="clear" w:pos="851"/>
                <w:tab w:val="left" w:pos="312"/>
              </w:tabs>
              <w:spacing w:line="260" w:lineRule="atLeast"/>
              <w:ind w:hanging="691"/>
              <w:rPr>
                <w:szCs w:val="18"/>
                <w:lang w:val="cs-CZ"/>
              </w:rPr>
            </w:pPr>
            <w:proofErr w:type="spellStart"/>
            <w:r w:rsidRPr="00ED3950">
              <w:rPr>
                <w:lang w:val="cs-CZ"/>
              </w:rPr>
              <w:t>Kristína</w:t>
            </w:r>
            <w:proofErr w:type="spellEnd"/>
            <w:r w:rsidRPr="00ED3950">
              <w:rPr>
                <w:lang w:val="cs-CZ"/>
              </w:rPr>
              <w:t xml:space="preserve"> </w:t>
            </w:r>
            <w:proofErr w:type="spellStart"/>
            <w:r w:rsidRPr="00ED3950">
              <w:rPr>
                <w:lang w:val="cs-CZ"/>
              </w:rPr>
              <w:t>Korčeková</w:t>
            </w:r>
            <w:proofErr w:type="spellEnd"/>
            <w:r w:rsidRPr="00ED3950">
              <w:rPr>
                <w:lang w:val="cs-CZ"/>
              </w:rPr>
              <w:t>, Úřad vlády Slovenské republiky (Slovensko)</w:t>
            </w:r>
          </w:p>
          <w:p w:rsidR="005840C5" w:rsidRPr="00ED3950" w:rsidRDefault="00ED3950">
            <w:pPr>
              <w:pStyle w:val="Odstavecseseznamem"/>
              <w:numPr>
                <w:ilvl w:val="0"/>
                <w:numId w:val="17"/>
              </w:numPr>
              <w:tabs>
                <w:tab w:val="clear" w:pos="851"/>
                <w:tab w:val="left" w:pos="312"/>
              </w:tabs>
              <w:spacing w:line="260" w:lineRule="atLeast"/>
              <w:ind w:hanging="691"/>
              <w:rPr>
                <w:szCs w:val="18"/>
                <w:lang w:val="cs-CZ"/>
              </w:rPr>
            </w:pPr>
            <w:r w:rsidRPr="00ED3950">
              <w:rPr>
                <w:lang w:val="cs-CZ"/>
              </w:rPr>
              <w:t xml:space="preserve">Emma </w:t>
            </w:r>
            <w:proofErr w:type="spellStart"/>
            <w:r w:rsidRPr="00ED3950">
              <w:rPr>
                <w:lang w:val="cs-CZ"/>
              </w:rPr>
              <w:t>Terämä</w:t>
            </w:r>
            <w:proofErr w:type="spellEnd"/>
            <w:r w:rsidRPr="00ED3950">
              <w:rPr>
                <w:lang w:val="cs-CZ"/>
              </w:rPr>
              <w:t>, Ministerstvo životního prostředí (Finsko)</w:t>
            </w:r>
          </w:p>
          <w:p w:rsidR="005840C5" w:rsidRPr="00ED3950" w:rsidRDefault="00ED3950">
            <w:pPr>
              <w:pStyle w:val="Odstavecseseznamem"/>
              <w:numPr>
                <w:ilvl w:val="0"/>
                <w:numId w:val="17"/>
              </w:numPr>
              <w:tabs>
                <w:tab w:val="clear" w:pos="851"/>
                <w:tab w:val="left" w:pos="312"/>
              </w:tabs>
              <w:spacing w:line="260" w:lineRule="atLeast"/>
              <w:ind w:hanging="691"/>
              <w:rPr>
                <w:lang w:val="cs-CZ"/>
              </w:rPr>
            </w:pPr>
            <w:proofErr w:type="spellStart"/>
            <w:r w:rsidRPr="00ED3950">
              <w:rPr>
                <w:lang w:val="cs-CZ"/>
              </w:rPr>
              <w:t>Moritz</w:t>
            </w:r>
            <w:proofErr w:type="spellEnd"/>
            <w:r w:rsidRPr="00ED3950">
              <w:rPr>
                <w:lang w:val="cs-CZ"/>
              </w:rPr>
              <w:t xml:space="preserve"> Schwarz (Rak</w:t>
            </w:r>
            <w:r w:rsidRPr="00ED3950">
              <w:rPr>
                <w:lang w:val="cs-CZ"/>
              </w:rPr>
              <w:t>ousko) [bude potvrzeno]</w:t>
            </w:r>
          </w:p>
        </w:tc>
      </w:tr>
      <w:tr w:rsidR="00D159E4" w:rsidRPr="00ED3950">
        <w:trPr>
          <w:trHeight w:val="20"/>
        </w:trPr>
        <w:tc>
          <w:tcPr>
            <w:tcW w:w="1271" w:type="dxa"/>
            <w:tcMar>
              <w:right w:w="57" w:type="dxa"/>
            </w:tcMar>
          </w:tcPr>
          <w:p w:rsidR="005840C5" w:rsidRPr="00ED3950" w:rsidRDefault="00ED3950">
            <w:pPr>
              <w:spacing w:line="260" w:lineRule="atLeast"/>
              <w:ind w:left="0"/>
              <w:rPr>
                <w:szCs w:val="18"/>
                <w:lang w:val="cs-CZ"/>
              </w:rPr>
            </w:pPr>
            <w:r w:rsidRPr="00ED3950">
              <w:rPr>
                <w:szCs w:val="18"/>
                <w:lang w:val="cs-CZ"/>
              </w:rPr>
              <w:t>12.</w:t>
            </w:r>
            <w:r w:rsidRPr="00ED3950">
              <w:rPr>
                <w:szCs w:val="18"/>
                <w:lang w:val="cs-CZ"/>
              </w:rPr>
              <w:t>20 - 12.25</w:t>
            </w:r>
          </w:p>
        </w:tc>
        <w:tc>
          <w:tcPr>
            <w:tcW w:w="4820" w:type="dxa"/>
          </w:tcPr>
          <w:p w:rsidR="005840C5" w:rsidRPr="00ED3950" w:rsidRDefault="00ED3950">
            <w:pPr>
              <w:spacing w:line="260" w:lineRule="atLeast"/>
              <w:ind w:left="0"/>
              <w:rPr>
                <w:szCs w:val="18"/>
                <w:lang w:val="cs-CZ"/>
              </w:rPr>
            </w:pPr>
            <w:r w:rsidRPr="00ED3950">
              <w:rPr>
                <w:szCs w:val="18"/>
                <w:lang w:val="cs-CZ"/>
              </w:rPr>
              <w:t xml:space="preserve">Zamyšlení nad hlavními závěry </w:t>
            </w:r>
            <w:r w:rsidRPr="00ED3950">
              <w:rPr>
                <w:szCs w:val="18"/>
                <w:lang w:val="cs-CZ"/>
              </w:rPr>
              <w:t>panelové diskuse</w:t>
            </w:r>
          </w:p>
        </w:tc>
        <w:tc>
          <w:tcPr>
            <w:tcW w:w="2687" w:type="dxa"/>
          </w:tcPr>
          <w:p w:rsidR="005840C5" w:rsidRPr="00ED3950" w:rsidRDefault="00ED3950">
            <w:pPr>
              <w:spacing w:line="260" w:lineRule="atLeast"/>
              <w:ind w:left="0"/>
              <w:rPr>
                <w:szCs w:val="18"/>
                <w:lang w:val="cs-CZ"/>
              </w:rPr>
            </w:pPr>
            <w:proofErr w:type="spellStart"/>
            <w:r w:rsidRPr="00ED3950">
              <w:rPr>
                <w:szCs w:val="18"/>
                <w:lang w:val="cs-CZ"/>
              </w:rPr>
              <w:t>Jeroen</w:t>
            </w:r>
            <w:proofErr w:type="spellEnd"/>
            <w:r w:rsidRPr="00ED3950">
              <w:rPr>
                <w:szCs w:val="18"/>
                <w:lang w:val="cs-CZ"/>
              </w:rPr>
              <w:t xml:space="preserve"> van der </w:t>
            </w:r>
            <w:proofErr w:type="spellStart"/>
            <w:r w:rsidRPr="00ED3950">
              <w:rPr>
                <w:szCs w:val="18"/>
                <w:lang w:val="cs-CZ"/>
              </w:rPr>
              <w:t>Laan</w:t>
            </w:r>
            <w:proofErr w:type="spellEnd"/>
            <w:r w:rsidRPr="00ED3950">
              <w:rPr>
                <w:szCs w:val="18"/>
                <w:lang w:val="cs-CZ"/>
              </w:rPr>
              <w:t xml:space="preserve"> </w:t>
            </w:r>
            <w:r w:rsidRPr="00ED3950">
              <w:rPr>
                <w:szCs w:val="18"/>
                <w:lang w:val="cs-CZ"/>
              </w:rPr>
              <w:t>(</w:t>
            </w:r>
            <w:proofErr w:type="spellStart"/>
            <w:r w:rsidRPr="00ED3950">
              <w:rPr>
                <w:szCs w:val="18"/>
                <w:lang w:val="cs-CZ"/>
              </w:rPr>
              <w:t>Trinomics</w:t>
            </w:r>
            <w:proofErr w:type="spellEnd"/>
            <w:r w:rsidRPr="00ED3950">
              <w:rPr>
                <w:szCs w:val="18"/>
                <w:lang w:val="cs-CZ"/>
              </w:rPr>
              <w:t>)</w:t>
            </w:r>
          </w:p>
        </w:tc>
      </w:tr>
      <w:tr w:rsidR="00D159E4" w:rsidRPr="00ED3950">
        <w:trPr>
          <w:trHeight w:val="20"/>
        </w:trPr>
        <w:tc>
          <w:tcPr>
            <w:tcW w:w="1271" w:type="dxa"/>
            <w:tcMar>
              <w:right w:w="57" w:type="dxa"/>
            </w:tcMar>
          </w:tcPr>
          <w:p w:rsidR="005840C5" w:rsidRPr="00ED3950" w:rsidRDefault="00ED3950">
            <w:pPr>
              <w:spacing w:line="260" w:lineRule="atLeast"/>
              <w:ind w:left="0"/>
              <w:rPr>
                <w:szCs w:val="18"/>
                <w:lang w:val="cs-CZ"/>
              </w:rPr>
            </w:pPr>
            <w:r w:rsidRPr="00ED3950">
              <w:rPr>
                <w:szCs w:val="18"/>
                <w:lang w:val="cs-CZ"/>
              </w:rPr>
              <w:t>12</w:t>
            </w:r>
            <w:r w:rsidRPr="00ED3950">
              <w:rPr>
                <w:szCs w:val="18"/>
                <w:lang w:val="cs-CZ"/>
              </w:rPr>
              <w:t>.</w:t>
            </w:r>
            <w:r w:rsidRPr="00ED3950">
              <w:rPr>
                <w:szCs w:val="18"/>
                <w:lang w:val="cs-CZ"/>
              </w:rPr>
              <w:t>25 - 12.30</w:t>
            </w:r>
          </w:p>
        </w:tc>
        <w:tc>
          <w:tcPr>
            <w:tcW w:w="4820" w:type="dxa"/>
          </w:tcPr>
          <w:p w:rsidR="005840C5" w:rsidRPr="00ED3950" w:rsidRDefault="00ED3950">
            <w:pPr>
              <w:spacing w:line="260" w:lineRule="atLeast"/>
              <w:ind w:left="0"/>
              <w:rPr>
                <w:szCs w:val="18"/>
                <w:lang w:val="cs-CZ"/>
              </w:rPr>
            </w:pPr>
            <w:r w:rsidRPr="00ED3950">
              <w:rPr>
                <w:szCs w:val="18"/>
                <w:lang w:val="cs-CZ"/>
              </w:rPr>
              <w:t>Shrnutí a uzavření</w:t>
            </w:r>
          </w:p>
        </w:tc>
        <w:tc>
          <w:tcPr>
            <w:tcW w:w="2687" w:type="dxa"/>
          </w:tcPr>
          <w:p w:rsidR="005840C5" w:rsidRPr="00ED3950" w:rsidRDefault="00ED3950">
            <w:pPr>
              <w:spacing w:line="260" w:lineRule="atLeast"/>
              <w:ind w:left="0"/>
              <w:rPr>
                <w:szCs w:val="18"/>
                <w:lang w:val="cs-CZ"/>
              </w:rPr>
            </w:pPr>
            <w:proofErr w:type="spellStart"/>
            <w:r w:rsidRPr="00ED3950">
              <w:rPr>
                <w:szCs w:val="18"/>
                <w:lang w:val="cs-CZ"/>
              </w:rPr>
              <w:t>Riikka</w:t>
            </w:r>
            <w:proofErr w:type="spellEnd"/>
            <w:r w:rsidRPr="00ED3950">
              <w:rPr>
                <w:szCs w:val="18"/>
                <w:lang w:val="cs-CZ"/>
              </w:rPr>
              <w:t xml:space="preserve"> </w:t>
            </w:r>
            <w:proofErr w:type="spellStart"/>
            <w:r w:rsidRPr="00ED3950">
              <w:rPr>
                <w:szCs w:val="18"/>
                <w:lang w:val="cs-CZ"/>
              </w:rPr>
              <w:t>Torppa</w:t>
            </w:r>
            <w:proofErr w:type="spellEnd"/>
            <w:r w:rsidRPr="00ED3950">
              <w:rPr>
                <w:szCs w:val="18"/>
                <w:lang w:val="cs-CZ"/>
              </w:rPr>
              <w:t xml:space="preserve"> (Evropská komise, GŘ REFORM)</w:t>
            </w:r>
          </w:p>
        </w:tc>
      </w:tr>
    </w:tbl>
    <w:p w:rsidR="00D159E4" w:rsidRPr="00ED3950" w:rsidRDefault="00D159E4" w:rsidP="00D159E4">
      <w:pPr>
        <w:rPr>
          <w:lang w:val="cs-CZ"/>
        </w:rPr>
      </w:pPr>
    </w:p>
    <w:p w:rsidR="005840C5" w:rsidRPr="00ED3950" w:rsidRDefault="00ED3950">
      <w:pPr>
        <w:pStyle w:val="Nadpis4"/>
        <w:ind w:firstLine="0"/>
        <w:rPr>
          <w:lang w:val="cs-CZ"/>
        </w:rPr>
      </w:pPr>
      <w:r w:rsidRPr="00ED3950">
        <w:rPr>
          <w:lang w:val="cs-CZ"/>
        </w:rPr>
        <w:t xml:space="preserve">Hlavní otázky pro </w:t>
      </w:r>
      <w:r w:rsidRPr="00ED3950">
        <w:rPr>
          <w:lang w:val="cs-CZ"/>
        </w:rPr>
        <w:t>panelovou diskusi</w:t>
      </w:r>
    </w:p>
    <w:tbl>
      <w:tblPr>
        <w:tblStyle w:val="Table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3A5" w:themeFill="accent4"/>
        <w:tblLook w:val="04A0" w:firstRow="1" w:lastRow="0" w:firstColumn="1" w:lastColumn="0" w:noHBand="0" w:noVBand="1"/>
      </w:tblPr>
      <w:tblGrid>
        <w:gridCol w:w="8778"/>
      </w:tblGrid>
      <w:tr w:rsidR="00D159E4" w:rsidRPr="00ED39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8" w:type="dxa"/>
            <w:shd w:val="clear" w:color="auto" w:fill="FFE3A5" w:themeFill="accent4"/>
          </w:tcPr>
          <w:p w:rsidR="005840C5" w:rsidRPr="00ED3950" w:rsidRDefault="00ED3950">
            <w:pPr>
              <w:spacing w:line="280" w:lineRule="atLeast"/>
              <w:ind w:left="0"/>
              <w:jc w:val="left"/>
              <w:rPr>
                <w:color w:val="005962"/>
                <w:szCs w:val="16"/>
                <w:lang w:val="cs-CZ"/>
              </w:rPr>
            </w:pPr>
            <w:r w:rsidRPr="00ED3950">
              <w:rPr>
                <w:color w:val="005962"/>
                <w:szCs w:val="16"/>
                <w:lang w:val="cs-CZ"/>
              </w:rPr>
              <w:t>O rovnováze mezi účinností a účelností hodnocení DNSH</w:t>
            </w:r>
          </w:p>
          <w:p w:rsidR="005840C5" w:rsidRPr="00ED3950" w:rsidRDefault="00ED3950">
            <w:pPr>
              <w:pStyle w:val="Odstavecseseznamem"/>
              <w:numPr>
                <w:ilvl w:val="0"/>
                <w:numId w:val="13"/>
              </w:numPr>
              <w:tabs>
                <w:tab w:val="clear" w:pos="851"/>
                <w:tab w:val="left" w:pos="321"/>
              </w:tabs>
              <w:spacing w:after="120" w:line="280" w:lineRule="atLeast"/>
              <w:ind w:left="321" w:hanging="284"/>
              <w:jc w:val="left"/>
              <w:rPr>
                <w:b w:val="0"/>
                <w:bCs/>
                <w:color w:val="000000" w:themeColor="text1"/>
                <w:szCs w:val="18"/>
                <w:lang w:val="cs-CZ"/>
              </w:rPr>
            </w:pPr>
            <w:r w:rsidRPr="00ED3950">
              <w:rPr>
                <w:b w:val="0"/>
                <w:bCs/>
                <w:color w:val="000000" w:themeColor="text1"/>
                <w:szCs w:val="18"/>
                <w:lang w:val="cs-CZ"/>
              </w:rPr>
              <w:lastRenderedPageBreak/>
              <w:t>Jaké jsou postupy pro zjednodušení a standardizaci hodnocení DNSH - nad rámec těch, o kterých se hovořilo dříve (např. metodiky, formát formulářů atd.)</w:t>
            </w:r>
            <w:r w:rsidRPr="00ED3950">
              <w:rPr>
                <w:b w:val="0"/>
                <w:bCs/>
                <w:color w:val="000000" w:themeColor="text1"/>
                <w:szCs w:val="18"/>
                <w:lang w:val="cs-CZ"/>
              </w:rPr>
              <w:t>?</w:t>
            </w:r>
          </w:p>
          <w:p w:rsidR="005840C5" w:rsidRPr="00ED3950" w:rsidRDefault="00ED3950">
            <w:pPr>
              <w:pStyle w:val="Odstavecseseznamem"/>
              <w:numPr>
                <w:ilvl w:val="1"/>
                <w:numId w:val="13"/>
              </w:numPr>
              <w:tabs>
                <w:tab w:val="clear" w:pos="851"/>
                <w:tab w:val="left" w:pos="321"/>
              </w:tabs>
              <w:spacing w:after="120" w:line="280" w:lineRule="atLeast"/>
              <w:jc w:val="left"/>
              <w:rPr>
                <w:b w:val="0"/>
                <w:bCs/>
                <w:color w:val="auto"/>
                <w:szCs w:val="18"/>
                <w:lang w:val="cs-CZ"/>
              </w:rPr>
            </w:pPr>
            <w:r w:rsidRPr="00ED3950">
              <w:rPr>
                <w:b w:val="0"/>
                <w:bCs/>
                <w:color w:val="auto"/>
                <w:szCs w:val="18"/>
                <w:lang w:val="cs-CZ"/>
              </w:rPr>
              <w:t>Existují jiné metody, řešení, jak situaci zlepšit? Např. konkrétní projektová výzva, hodnocení...</w:t>
            </w:r>
          </w:p>
          <w:p w:rsidR="005840C5" w:rsidRPr="00ED3950" w:rsidRDefault="00ED3950">
            <w:pPr>
              <w:pStyle w:val="Odstavecseseznamem"/>
              <w:numPr>
                <w:ilvl w:val="0"/>
                <w:numId w:val="13"/>
              </w:numPr>
              <w:tabs>
                <w:tab w:val="clear" w:pos="851"/>
                <w:tab w:val="left" w:pos="321"/>
              </w:tabs>
              <w:spacing w:after="120" w:line="280" w:lineRule="atLeast"/>
              <w:ind w:left="321" w:hanging="284"/>
              <w:jc w:val="left"/>
              <w:rPr>
                <w:b w:val="0"/>
                <w:bCs/>
                <w:color w:val="000000" w:themeColor="text1"/>
                <w:szCs w:val="18"/>
                <w:lang w:val="cs-CZ"/>
              </w:rPr>
            </w:pPr>
            <w:r w:rsidRPr="00ED3950">
              <w:rPr>
                <w:b w:val="0"/>
                <w:bCs/>
                <w:color w:val="000000" w:themeColor="text1"/>
                <w:szCs w:val="18"/>
                <w:lang w:val="cs-CZ"/>
              </w:rPr>
              <w:t>Jaké jsou postupy, aby se předešlo administrativní zátěži předkladatelů projektů a zároveň se zajistily silné záruky uplatňování zásady DNSH</w:t>
            </w:r>
            <w:r w:rsidRPr="00ED3950">
              <w:rPr>
                <w:b w:val="0"/>
                <w:bCs/>
                <w:color w:val="000000" w:themeColor="text1"/>
                <w:szCs w:val="18"/>
                <w:lang w:val="cs-CZ"/>
              </w:rPr>
              <w:t>?</w:t>
            </w:r>
          </w:p>
          <w:p w:rsidR="005840C5" w:rsidRPr="00ED3950" w:rsidRDefault="00ED3950">
            <w:pPr>
              <w:pStyle w:val="Odstavecseseznamem"/>
              <w:numPr>
                <w:ilvl w:val="0"/>
                <w:numId w:val="13"/>
              </w:numPr>
              <w:tabs>
                <w:tab w:val="clear" w:pos="851"/>
                <w:tab w:val="left" w:pos="321"/>
              </w:tabs>
              <w:spacing w:after="120" w:line="280" w:lineRule="atLeast"/>
              <w:ind w:left="321" w:hanging="284"/>
              <w:jc w:val="left"/>
              <w:rPr>
                <w:b w:val="0"/>
                <w:color w:val="auto"/>
                <w:szCs w:val="18"/>
                <w:lang w:val="cs-CZ"/>
              </w:rPr>
            </w:pPr>
            <w:r w:rsidRPr="00ED3950">
              <w:rPr>
                <w:b w:val="0"/>
                <w:color w:val="auto"/>
                <w:szCs w:val="18"/>
                <w:lang w:val="cs-CZ"/>
              </w:rPr>
              <w:t>Jak relevantní j</w:t>
            </w:r>
            <w:r w:rsidRPr="00ED3950">
              <w:rPr>
                <w:b w:val="0"/>
                <w:color w:val="auto"/>
                <w:szCs w:val="18"/>
                <w:lang w:val="cs-CZ"/>
              </w:rPr>
              <w:t>e definice prahové hodnoty "významné újmy" pro zajištění toho, aby nebyla porušena integrita životního prostředí u všech projektů (včetně zjednodušených posouzení)? Setkáváte se v této souvislosti s nějakými problémy? Identifikovali jste osvědčené postupy?</w:t>
            </w:r>
          </w:p>
          <w:p w:rsidR="005840C5" w:rsidRPr="00ED3950" w:rsidRDefault="00ED3950">
            <w:pPr>
              <w:pStyle w:val="Odstavecseseznamem"/>
              <w:numPr>
                <w:ilvl w:val="0"/>
                <w:numId w:val="13"/>
              </w:numPr>
              <w:tabs>
                <w:tab w:val="clear" w:pos="851"/>
                <w:tab w:val="left" w:pos="321"/>
              </w:tabs>
              <w:spacing w:after="120" w:line="280" w:lineRule="atLeast"/>
              <w:ind w:left="321" w:hanging="284"/>
              <w:jc w:val="left"/>
              <w:rPr>
                <w:b w:val="0"/>
                <w:bCs/>
                <w:color w:val="000000" w:themeColor="text1"/>
                <w:szCs w:val="18"/>
                <w:lang w:val="cs-CZ"/>
              </w:rPr>
            </w:pPr>
            <w:r w:rsidRPr="00ED3950">
              <w:rPr>
                <w:b w:val="0"/>
                <w:bCs/>
                <w:color w:val="000000" w:themeColor="text1"/>
                <w:szCs w:val="18"/>
                <w:lang w:val="cs-CZ"/>
              </w:rPr>
              <w:t>(Jak) rozlišujete mezi jednotlivými odvětvími při provádění podrobného hodnocení DNSH nad rámec požadavků právních předpisů (např. specifické metodiky a kritéria)?</w:t>
            </w:r>
          </w:p>
          <w:p w:rsidR="005840C5" w:rsidRPr="00ED3950" w:rsidRDefault="00ED3950">
            <w:pPr>
              <w:tabs>
                <w:tab w:val="left" w:pos="321"/>
              </w:tabs>
              <w:spacing w:line="280" w:lineRule="atLeast"/>
              <w:ind w:left="37"/>
              <w:jc w:val="left"/>
              <w:rPr>
                <w:bCs/>
                <w:color w:val="005962"/>
                <w:szCs w:val="18"/>
                <w:lang w:val="cs-CZ"/>
              </w:rPr>
            </w:pPr>
            <w:r w:rsidRPr="00ED3950">
              <w:rPr>
                <w:color w:val="005962"/>
                <w:szCs w:val="18"/>
                <w:lang w:val="cs-CZ"/>
              </w:rPr>
              <w:t>O vztahu mezi uplatňováním zásady DNSH a legislativními rámci</w:t>
            </w:r>
          </w:p>
          <w:p w:rsidR="005840C5" w:rsidRPr="00ED3950" w:rsidRDefault="00ED3950">
            <w:pPr>
              <w:pStyle w:val="Odstavecseseznamem"/>
              <w:numPr>
                <w:ilvl w:val="0"/>
                <w:numId w:val="13"/>
              </w:numPr>
              <w:tabs>
                <w:tab w:val="clear" w:pos="851"/>
                <w:tab w:val="left" w:pos="321"/>
              </w:tabs>
              <w:spacing w:after="120" w:line="280" w:lineRule="atLeast"/>
              <w:ind w:left="321" w:hanging="284"/>
              <w:jc w:val="left"/>
              <w:rPr>
                <w:b w:val="0"/>
                <w:bCs/>
                <w:color w:val="000000" w:themeColor="text1"/>
                <w:szCs w:val="18"/>
                <w:lang w:val="cs-CZ"/>
              </w:rPr>
            </w:pPr>
            <w:r w:rsidRPr="00ED3950">
              <w:rPr>
                <w:b w:val="0"/>
                <w:bCs/>
                <w:color w:val="000000" w:themeColor="text1"/>
                <w:szCs w:val="18"/>
                <w:lang w:val="cs-CZ"/>
              </w:rPr>
              <w:t>Uvažuje váš členský stát o le</w:t>
            </w:r>
            <w:r w:rsidRPr="00ED3950">
              <w:rPr>
                <w:b w:val="0"/>
                <w:bCs/>
                <w:color w:val="000000" w:themeColor="text1"/>
                <w:szCs w:val="18"/>
                <w:lang w:val="cs-CZ"/>
              </w:rPr>
              <w:t>gislativních změnách s cílem lépe začlenit zásadu DNSH do práva životního prostředí</w:t>
            </w:r>
            <w:r w:rsidRPr="00ED3950">
              <w:rPr>
                <w:b w:val="0"/>
                <w:bCs/>
                <w:color w:val="000000" w:themeColor="text1"/>
                <w:szCs w:val="18"/>
                <w:lang w:val="cs-CZ"/>
              </w:rPr>
              <w:t>?</w:t>
            </w:r>
          </w:p>
          <w:p w:rsidR="005840C5" w:rsidRPr="00ED3950" w:rsidRDefault="00ED3950">
            <w:pPr>
              <w:tabs>
                <w:tab w:val="left" w:pos="321"/>
              </w:tabs>
              <w:spacing w:line="280" w:lineRule="atLeast"/>
              <w:ind w:left="37"/>
              <w:jc w:val="left"/>
              <w:rPr>
                <w:bCs/>
                <w:color w:val="005962"/>
                <w:szCs w:val="18"/>
                <w:lang w:val="cs-CZ"/>
              </w:rPr>
            </w:pPr>
            <w:r w:rsidRPr="00ED3950">
              <w:rPr>
                <w:color w:val="005962"/>
                <w:szCs w:val="18"/>
                <w:lang w:val="cs-CZ"/>
              </w:rPr>
              <w:t>O různých fázích aplikace DNSH</w:t>
            </w:r>
          </w:p>
          <w:p w:rsidR="005840C5" w:rsidRPr="00ED3950" w:rsidRDefault="00ED3950">
            <w:pPr>
              <w:pStyle w:val="Odstavecseseznamem"/>
              <w:numPr>
                <w:ilvl w:val="0"/>
                <w:numId w:val="13"/>
              </w:numPr>
              <w:tabs>
                <w:tab w:val="clear" w:pos="851"/>
                <w:tab w:val="left" w:pos="321"/>
              </w:tabs>
              <w:spacing w:after="120" w:line="280" w:lineRule="atLeast"/>
              <w:ind w:left="321" w:hanging="284"/>
              <w:jc w:val="left"/>
              <w:rPr>
                <w:b w:val="0"/>
                <w:bCs/>
                <w:color w:val="000000" w:themeColor="text1"/>
                <w:szCs w:val="18"/>
                <w:lang w:val="cs-CZ"/>
              </w:rPr>
            </w:pPr>
            <w:r w:rsidRPr="00ED3950">
              <w:rPr>
                <w:b w:val="0"/>
                <w:bCs/>
                <w:color w:val="auto"/>
                <w:szCs w:val="18"/>
                <w:lang w:val="cs-CZ"/>
              </w:rPr>
              <w:t xml:space="preserve">Vyvinuli jste nějaké opatření ke sledování uplatňování zásady DNSH nad rámec požadavků ve vašem národním RRP? S jakými problémy se potýkáte </w:t>
            </w:r>
            <w:r w:rsidRPr="00ED3950">
              <w:rPr>
                <w:b w:val="0"/>
                <w:bCs/>
                <w:color w:val="auto"/>
                <w:szCs w:val="18"/>
                <w:lang w:val="cs-CZ"/>
              </w:rPr>
              <w:t xml:space="preserve">(např. časový plán a četnost monitorování)? Jaké jsou dosavadní poznatky? </w:t>
            </w:r>
          </w:p>
        </w:tc>
      </w:tr>
    </w:tbl>
    <w:p w:rsidR="00D159E4" w:rsidRPr="00ED3950" w:rsidRDefault="00D159E4" w:rsidP="00D159E4">
      <w:pPr>
        <w:rPr>
          <w:lang w:val="cs-CZ"/>
        </w:rPr>
      </w:pPr>
    </w:p>
    <w:p w:rsidR="004443A0" w:rsidRPr="00ED3950" w:rsidRDefault="004443A0">
      <w:pPr>
        <w:spacing w:after="200" w:line="276" w:lineRule="auto"/>
        <w:ind w:left="0"/>
        <w:rPr>
          <w:lang w:val="cs-CZ"/>
        </w:rPr>
      </w:pPr>
      <w:r w:rsidRPr="00ED3950">
        <w:rPr>
          <w:lang w:val="cs-CZ"/>
        </w:rPr>
        <w:br w:type="page"/>
      </w:r>
    </w:p>
    <w:p w:rsidR="005840C5" w:rsidRPr="00ED3950" w:rsidRDefault="00ED3950">
      <w:pPr>
        <w:pStyle w:val="Nadpis3"/>
        <w:rPr>
          <w:lang w:val="cs-CZ"/>
        </w:rPr>
      </w:pPr>
      <w:bookmarkStart w:id="87" w:name="_Toc128382414"/>
      <w:bookmarkStart w:id="88" w:name="_Toc131757473"/>
      <w:bookmarkStart w:id="89" w:name="_Toc131775866"/>
      <w:r w:rsidRPr="00ED3950">
        <w:rPr>
          <w:lang w:val="cs-CZ"/>
        </w:rPr>
        <w:lastRenderedPageBreak/>
        <w:t>Webový seminář 3</w:t>
      </w:r>
      <w:bookmarkEnd w:id="87"/>
      <w:bookmarkEnd w:id="88"/>
      <w:bookmarkEnd w:id="89"/>
    </w:p>
    <w:p w:rsidR="005840C5" w:rsidRPr="00ED3950" w:rsidRDefault="00ED3950">
      <w:pPr>
        <w:pStyle w:val="Nadpis1"/>
        <w:numPr>
          <w:ilvl w:val="0"/>
          <w:numId w:val="0"/>
        </w:numPr>
        <w:spacing w:after="0" w:line="240" w:lineRule="auto"/>
        <w:ind w:left="567" w:hanging="567"/>
        <w:jc w:val="center"/>
        <w:rPr>
          <w:lang w:val="cs-CZ"/>
        </w:rPr>
      </w:pPr>
      <w:bookmarkStart w:id="90" w:name="_Toc128382415"/>
      <w:bookmarkStart w:id="91" w:name="_Toc131757474"/>
      <w:bookmarkStart w:id="92" w:name="_Toc131775867"/>
      <w:r w:rsidRPr="00ED3950">
        <w:rPr>
          <w:lang w:val="cs-CZ"/>
        </w:rPr>
        <w:t xml:space="preserve">Vzájemná výměna poznatků o stávajících postupech při uplatňování zásady DNSH </w:t>
      </w:r>
      <w:r w:rsidR="00A732E1" w:rsidRPr="00ED3950">
        <w:rPr>
          <w:lang w:val="cs-CZ"/>
        </w:rPr>
        <w:t>(III)</w:t>
      </w:r>
      <w:bookmarkEnd w:id="90"/>
      <w:bookmarkEnd w:id="91"/>
      <w:bookmarkEnd w:id="92"/>
    </w:p>
    <w:p w:rsidR="004443A0" w:rsidRPr="00ED3950" w:rsidRDefault="004443A0" w:rsidP="004443A0">
      <w:pPr>
        <w:spacing w:line="240" w:lineRule="auto"/>
        <w:rPr>
          <w:b/>
          <w:bCs/>
          <w:color w:val="005962" w:themeColor="accent1"/>
          <w:sz w:val="20"/>
          <w:szCs w:val="20"/>
          <w:lang w:val="cs-CZ"/>
        </w:rPr>
      </w:pPr>
    </w:p>
    <w:p w:rsidR="005840C5" w:rsidRPr="00ED3950" w:rsidRDefault="00ED3950">
      <w:pPr>
        <w:spacing w:line="240" w:lineRule="auto"/>
        <w:ind w:left="0"/>
        <w:rPr>
          <w:b/>
          <w:bCs/>
          <w:color w:val="005962" w:themeColor="accent1"/>
          <w:sz w:val="20"/>
          <w:szCs w:val="20"/>
          <w:lang w:val="cs-CZ"/>
        </w:rPr>
      </w:pPr>
      <w:proofErr w:type="spellStart"/>
      <w:r w:rsidRPr="00ED3950">
        <w:rPr>
          <w:b/>
          <w:bCs/>
          <w:color w:val="005962" w:themeColor="accent1"/>
          <w:sz w:val="20"/>
          <w:szCs w:val="20"/>
          <w:lang w:val="cs-CZ"/>
        </w:rPr>
        <w:t>Webinář</w:t>
      </w:r>
      <w:proofErr w:type="spellEnd"/>
      <w:r w:rsidRPr="00ED3950">
        <w:rPr>
          <w:b/>
          <w:bCs/>
          <w:color w:val="005962" w:themeColor="accent1"/>
          <w:sz w:val="20"/>
          <w:szCs w:val="20"/>
          <w:lang w:val="cs-CZ"/>
        </w:rPr>
        <w:t xml:space="preserve"> (MS </w:t>
      </w:r>
      <w:proofErr w:type="spellStart"/>
      <w:r w:rsidRPr="00ED3950">
        <w:rPr>
          <w:b/>
          <w:bCs/>
          <w:color w:val="005962" w:themeColor="accent1"/>
          <w:sz w:val="20"/>
          <w:szCs w:val="20"/>
          <w:lang w:val="cs-CZ"/>
        </w:rPr>
        <w:t>Teams</w:t>
      </w:r>
      <w:proofErr w:type="spellEnd"/>
      <w:r w:rsidRPr="00ED3950">
        <w:rPr>
          <w:b/>
          <w:bCs/>
          <w:color w:val="005962" w:themeColor="accent1"/>
          <w:sz w:val="20"/>
          <w:szCs w:val="20"/>
          <w:lang w:val="cs-CZ"/>
        </w:rPr>
        <w:t>)</w:t>
      </w:r>
      <w:r w:rsidRPr="00ED3950">
        <w:rPr>
          <w:b/>
          <w:bCs/>
          <w:color w:val="005962" w:themeColor="accent1"/>
          <w:sz w:val="20"/>
          <w:szCs w:val="20"/>
          <w:lang w:val="cs-CZ"/>
        </w:rPr>
        <w:t xml:space="preserve">: </w:t>
      </w:r>
      <w:r w:rsidRPr="00ED3950">
        <w:rPr>
          <w:b/>
          <w:bCs/>
          <w:color w:val="005962" w:themeColor="accent1"/>
          <w:sz w:val="20"/>
          <w:szCs w:val="20"/>
          <w:lang w:val="cs-CZ"/>
        </w:rPr>
        <w:t xml:space="preserve">Aplikace principu DNSH na </w:t>
      </w:r>
      <w:r w:rsidRPr="00ED3950">
        <w:rPr>
          <w:b/>
          <w:bCs/>
          <w:color w:val="005962" w:themeColor="accent1"/>
          <w:sz w:val="20"/>
          <w:szCs w:val="20"/>
          <w:lang w:val="cs-CZ"/>
        </w:rPr>
        <w:t xml:space="preserve">projekty </w:t>
      </w:r>
      <w:r w:rsidRPr="00ED3950">
        <w:rPr>
          <w:b/>
          <w:bCs/>
          <w:color w:val="005962" w:themeColor="accent1"/>
          <w:sz w:val="20"/>
          <w:szCs w:val="20"/>
          <w:lang w:val="cs-CZ"/>
        </w:rPr>
        <w:t>výzkumu a vývoje a zelené inovace</w:t>
      </w:r>
    </w:p>
    <w:p w:rsidR="004443A0" w:rsidRPr="00ED3950" w:rsidRDefault="004443A0" w:rsidP="004443A0">
      <w:pPr>
        <w:spacing w:line="240" w:lineRule="auto"/>
        <w:rPr>
          <w:color w:val="005962" w:themeColor="accent1"/>
          <w:sz w:val="20"/>
          <w:szCs w:val="20"/>
          <w:lang w:val="cs-CZ"/>
        </w:rPr>
      </w:pPr>
    </w:p>
    <w:tbl>
      <w:tblPr>
        <w:tblStyle w:val="Mkatabulky"/>
        <w:tblW w:w="0" w:type="auto"/>
        <w:tblLook w:val="04A0" w:firstRow="1" w:lastRow="0" w:firstColumn="1" w:lastColumn="0" w:noHBand="0" w:noVBand="1"/>
      </w:tblPr>
      <w:tblGrid>
        <w:gridCol w:w="1696"/>
        <w:gridCol w:w="2410"/>
        <w:gridCol w:w="4672"/>
      </w:tblGrid>
      <w:tr w:rsidR="004443A0" w:rsidRPr="00ED3950" w:rsidTr="00EA2D8D">
        <w:trPr>
          <w:trHeight w:val="255"/>
        </w:trPr>
        <w:tc>
          <w:tcPr>
            <w:tcW w:w="1696" w:type="dxa"/>
            <w:shd w:val="clear" w:color="auto" w:fill="auto"/>
          </w:tcPr>
          <w:p w:rsidR="005840C5" w:rsidRPr="00ED3950" w:rsidRDefault="00ED3950">
            <w:pPr>
              <w:spacing w:line="240" w:lineRule="auto"/>
              <w:ind w:left="0"/>
              <w:rPr>
                <w:color w:val="005962" w:themeColor="accent1"/>
                <w:lang w:val="cs-CZ"/>
              </w:rPr>
            </w:pPr>
            <w:r w:rsidRPr="00ED3950">
              <w:rPr>
                <w:b/>
                <w:bCs/>
                <w:color w:val="005962" w:themeColor="accent1"/>
                <w:lang w:val="cs-CZ"/>
              </w:rPr>
              <w:t xml:space="preserve">Datum: </w:t>
            </w:r>
            <w:r w:rsidRPr="00ED3950">
              <w:rPr>
                <w:color w:val="005962" w:themeColor="accent1"/>
                <w:lang w:val="cs-CZ"/>
              </w:rPr>
              <w:t>16/02/2023</w:t>
            </w:r>
          </w:p>
        </w:tc>
        <w:tc>
          <w:tcPr>
            <w:tcW w:w="2410" w:type="dxa"/>
            <w:shd w:val="clear" w:color="auto" w:fill="auto"/>
          </w:tcPr>
          <w:p w:rsidR="005840C5" w:rsidRPr="00ED3950" w:rsidRDefault="00ED3950">
            <w:pPr>
              <w:spacing w:line="240" w:lineRule="auto"/>
              <w:ind w:left="0"/>
              <w:rPr>
                <w:color w:val="005962" w:themeColor="accent1"/>
                <w:lang w:val="cs-CZ"/>
              </w:rPr>
            </w:pPr>
            <w:r w:rsidRPr="00ED3950">
              <w:rPr>
                <w:b/>
                <w:bCs/>
                <w:color w:val="005962" w:themeColor="accent1"/>
                <w:lang w:val="cs-CZ"/>
              </w:rPr>
              <w:t xml:space="preserve">Čas: </w:t>
            </w:r>
            <w:r w:rsidRPr="00ED3950">
              <w:rPr>
                <w:color w:val="005962" w:themeColor="accent1"/>
                <w:lang w:val="cs-CZ"/>
              </w:rPr>
              <w:t xml:space="preserve">10.00 - 12.30h </w:t>
            </w:r>
            <w:r w:rsidRPr="00ED3950">
              <w:rPr>
                <w:color w:val="005962" w:themeColor="accent1"/>
                <w:lang w:val="cs-CZ"/>
              </w:rPr>
              <w:t>CET</w:t>
            </w:r>
          </w:p>
        </w:tc>
        <w:tc>
          <w:tcPr>
            <w:tcW w:w="4672" w:type="dxa"/>
          </w:tcPr>
          <w:p w:rsidR="005840C5" w:rsidRPr="00ED3950" w:rsidRDefault="00ED3950">
            <w:pPr>
              <w:spacing w:line="240" w:lineRule="auto"/>
              <w:ind w:left="0"/>
              <w:rPr>
                <w:color w:val="005962" w:themeColor="accent1"/>
                <w:lang w:val="cs-CZ"/>
              </w:rPr>
            </w:pPr>
            <w:r w:rsidRPr="00ED3950">
              <w:rPr>
                <w:b/>
                <w:bCs/>
                <w:color w:val="005962" w:themeColor="accent1"/>
                <w:lang w:val="cs-CZ"/>
              </w:rPr>
              <w:t>Umístění</w:t>
            </w:r>
            <w:r w:rsidRPr="00ED3950">
              <w:rPr>
                <w:color w:val="005962" w:themeColor="accent1"/>
                <w:lang w:val="cs-CZ"/>
              </w:rPr>
              <w:t xml:space="preserve">: MS Týmy. </w:t>
            </w:r>
            <w:r w:rsidRPr="00ED3950">
              <w:rPr>
                <w:color w:val="005962" w:themeColor="accent1"/>
                <w:lang w:val="cs-CZ"/>
              </w:rPr>
              <w:t xml:space="preserve">Odkaz pro připojení se upraví automaticky poté, co se účastník zaregistruje </w:t>
            </w:r>
            <w:hyperlink r:id="rId24" w:history="1">
              <w:r w:rsidRPr="00ED3950">
                <w:rPr>
                  <w:rStyle w:val="Hypertextovodkaz"/>
                  <w:lang w:val="cs-CZ"/>
                </w:rPr>
                <w:t>zde</w:t>
              </w:r>
            </w:hyperlink>
          </w:p>
        </w:tc>
      </w:tr>
    </w:tbl>
    <w:p w:rsidR="004443A0" w:rsidRPr="00ED3950" w:rsidRDefault="004443A0" w:rsidP="004443A0">
      <w:pPr>
        <w:jc w:val="both"/>
        <w:rPr>
          <w:lang w:val="cs-CZ"/>
        </w:rPr>
      </w:pPr>
    </w:p>
    <w:p w:rsidR="005840C5" w:rsidRPr="00ED3950" w:rsidRDefault="00ED3950">
      <w:pPr>
        <w:pStyle w:val="Nadpis2"/>
        <w:numPr>
          <w:ilvl w:val="0"/>
          <w:numId w:val="0"/>
        </w:numPr>
        <w:rPr>
          <w:lang w:val="cs-CZ"/>
        </w:rPr>
      </w:pPr>
      <w:bookmarkStart w:id="93" w:name="_Toc128382416"/>
      <w:bookmarkStart w:id="94" w:name="_Toc131757475"/>
      <w:bookmarkStart w:id="95" w:name="_Toc131775868"/>
      <w:r w:rsidRPr="00ED3950">
        <w:rPr>
          <w:lang w:val="cs-CZ"/>
        </w:rPr>
        <w:t xml:space="preserve">O </w:t>
      </w:r>
      <w:r w:rsidRPr="00ED3950">
        <w:rPr>
          <w:lang w:val="cs-CZ"/>
        </w:rPr>
        <w:t>vzájemné výměně zkušeností</w:t>
      </w:r>
      <w:bookmarkEnd w:id="93"/>
      <w:bookmarkEnd w:id="94"/>
      <w:bookmarkEnd w:id="95"/>
    </w:p>
    <w:p w:rsidR="005840C5" w:rsidRPr="00ED3950" w:rsidRDefault="00ED3950">
      <w:pPr>
        <w:spacing w:line="240" w:lineRule="auto"/>
        <w:ind w:left="0"/>
        <w:rPr>
          <w:b/>
          <w:bCs/>
          <w:color w:val="F04E30" w:themeColor="accent2"/>
          <w:lang w:val="cs-CZ"/>
        </w:rPr>
      </w:pPr>
      <w:r w:rsidRPr="00ED3950">
        <w:rPr>
          <w:lang w:val="cs-CZ"/>
        </w:rPr>
        <w:t xml:space="preserve">Viz tento oddíl v koncepční poznámce k </w:t>
      </w:r>
      <w:proofErr w:type="spellStart"/>
      <w:r w:rsidRPr="00ED3950">
        <w:rPr>
          <w:lang w:val="cs-CZ"/>
        </w:rPr>
        <w:t>webináři</w:t>
      </w:r>
      <w:proofErr w:type="spellEnd"/>
      <w:r w:rsidRPr="00ED3950">
        <w:rPr>
          <w:lang w:val="cs-CZ"/>
        </w:rPr>
        <w:t xml:space="preserve"> 1.</w:t>
      </w:r>
    </w:p>
    <w:p w:rsidR="004443A0" w:rsidRPr="00ED3950" w:rsidRDefault="004443A0" w:rsidP="004443A0">
      <w:pPr>
        <w:jc w:val="both"/>
        <w:rPr>
          <w:lang w:val="cs-CZ"/>
        </w:rPr>
      </w:pPr>
    </w:p>
    <w:p w:rsidR="005840C5" w:rsidRPr="00ED3950" w:rsidRDefault="00ED3950">
      <w:pPr>
        <w:ind w:left="0"/>
        <w:rPr>
          <w:b/>
          <w:color w:val="005962"/>
          <w:sz w:val="24"/>
          <w:lang w:val="cs-CZ"/>
        </w:rPr>
      </w:pPr>
      <w:proofErr w:type="spellStart"/>
      <w:r w:rsidRPr="00ED3950">
        <w:rPr>
          <w:b/>
          <w:color w:val="005962"/>
          <w:sz w:val="24"/>
          <w:lang w:val="cs-CZ"/>
        </w:rPr>
        <w:t>Webinář</w:t>
      </w:r>
      <w:proofErr w:type="spellEnd"/>
      <w:r w:rsidRPr="00ED3950">
        <w:rPr>
          <w:b/>
          <w:color w:val="005962"/>
          <w:sz w:val="24"/>
          <w:lang w:val="cs-CZ"/>
        </w:rPr>
        <w:t xml:space="preserve"> 3: Uplatnění principu DNSH v </w:t>
      </w:r>
      <w:r w:rsidRPr="00ED3950">
        <w:rPr>
          <w:b/>
          <w:color w:val="005962"/>
          <w:sz w:val="24"/>
          <w:lang w:val="cs-CZ"/>
        </w:rPr>
        <w:t>projektech výzkumu a vývoje a ekologických inovací</w:t>
      </w:r>
    </w:p>
    <w:p w:rsidR="005840C5" w:rsidRPr="00ED3950" w:rsidRDefault="00ED3950">
      <w:pPr>
        <w:ind w:left="0"/>
        <w:rPr>
          <w:b/>
          <w:bCs/>
          <w:color w:val="F04E30" w:themeColor="accent2"/>
          <w:lang w:val="cs-CZ"/>
        </w:rPr>
      </w:pPr>
      <w:r w:rsidRPr="00ED3950">
        <w:rPr>
          <w:b/>
          <w:bCs/>
          <w:color w:val="F04E30" w:themeColor="accent2"/>
          <w:lang w:val="cs-CZ"/>
        </w:rPr>
        <w:t xml:space="preserve">O výzvě </w:t>
      </w:r>
    </w:p>
    <w:p w:rsidR="005840C5" w:rsidRPr="00ED3950" w:rsidRDefault="00ED3950">
      <w:pPr>
        <w:ind w:left="0"/>
        <w:jc w:val="both"/>
        <w:rPr>
          <w:lang w:val="cs-CZ"/>
        </w:rPr>
      </w:pPr>
      <w:r w:rsidRPr="00ED3950">
        <w:rPr>
          <w:lang w:val="cs-CZ"/>
        </w:rPr>
        <w:t xml:space="preserve">Na základě technických konzultací se zúčastněnými stranami v České republice a dalších členských státech EU se tento </w:t>
      </w:r>
      <w:r w:rsidRPr="00ED3950">
        <w:rPr>
          <w:b/>
          <w:lang w:val="cs-CZ"/>
        </w:rPr>
        <w:t xml:space="preserve">třetí a poslední </w:t>
      </w:r>
      <w:proofErr w:type="spellStart"/>
      <w:r w:rsidRPr="00ED3950">
        <w:rPr>
          <w:b/>
          <w:lang w:val="cs-CZ"/>
        </w:rPr>
        <w:t>webinář</w:t>
      </w:r>
      <w:proofErr w:type="spellEnd"/>
      <w:r w:rsidRPr="00ED3950">
        <w:rPr>
          <w:b/>
          <w:lang w:val="cs-CZ"/>
        </w:rPr>
        <w:t xml:space="preserve"> v </w:t>
      </w:r>
      <w:r w:rsidRPr="00ED3950">
        <w:rPr>
          <w:lang w:val="cs-CZ"/>
        </w:rPr>
        <w:t xml:space="preserve">rámci </w:t>
      </w:r>
      <w:r w:rsidRPr="00ED3950">
        <w:rPr>
          <w:lang w:val="cs-CZ"/>
        </w:rPr>
        <w:t xml:space="preserve">vzájemného učení zaměří na zkušenosti a postupy vybraných členských států při </w:t>
      </w:r>
      <w:r w:rsidRPr="00ED3950">
        <w:rPr>
          <w:b/>
          <w:lang w:val="cs-CZ"/>
        </w:rPr>
        <w:t>uplatňování DNSH na programy</w:t>
      </w:r>
      <w:r w:rsidRPr="00ED3950">
        <w:rPr>
          <w:b/>
          <w:lang w:val="cs-CZ"/>
        </w:rPr>
        <w:t xml:space="preserve"> a projekty, které postrádají technické pokyny v důsledku (</w:t>
      </w:r>
      <w:r w:rsidRPr="00ED3950">
        <w:rPr>
          <w:b/>
          <w:lang w:val="cs-CZ"/>
        </w:rPr>
        <w:t xml:space="preserve">rané fáze) </w:t>
      </w:r>
      <w:r w:rsidRPr="00ED3950">
        <w:rPr>
          <w:b/>
          <w:lang w:val="cs-CZ"/>
        </w:rPr>
        <w:t xml:space="preserve">inovačních aktivit, </w:t>
      </w:r>
      <w:r w:rsidRPr="00ED3950">
        <w:rPr>
          <w:b/>
          <w:bCs/>
          <w:lang w:val="cs-CZ"/>
        </w:rPr>
        <w:t xml:space="preserve">na něž </w:t>
      </w:r>
      <w:r w:rsidRPr="00ED3950" w:rsidDel="000D27D9">
        <w:rPr>
          <w:b/>
          <w:lang w:val="cs-CZ"/>
        </w:rPr>
        <w:t xml:space="preserve">se v </w:t>
      </w:r>
      <w:r w:rsidRPr="00ED3950">
        <w:rPr>
          <w:b/>
          <w:lang w:val="cs-CZ"/>
        </w:rPr>
        <w:t>současné době nevztahují akty v přenesené pravomoci v oblasti taxonomie</w:t>
      </w:r>
      <w:r w:rsidRPr="00ED3950">
        <w:rPr>
          <w:lang w:val="cs-CZ"/>
        </w:rPr>
        <w:t xml:space="preserve">. </w:t>
      </w:r>
      <w:proofErr w:type="spellStart"/>
      <w:r w:rsidRPr="00ED3950">
        <w:rPr>
          <w:lang w:val="cs-CZ"/>
        </w:rPr>
        <w:t>Webinář</w:t>
      </w:r>
      <w:proofErr w:type="spellEnd"/>
      <w:r w:rsidRPr="00ED3950">
        <w:rPr>
          <w:lang w:val="cs-CZ"/>
        </w:rPr>
        <w:t xml:space="preserve"> se zaměří zejména na </w:t>
      </w:r>
      <w:r w:rsidRPr="00ED3950">
        <w:rPr>
          <w:lang w:val="cs-CZ"/>
        </w:rPr>
        <w:t xml:space="preserve">hodnocení DNSH pro </w:t>
      </w:r>
      <w:r w:rsidRPr="00ED3950">
        <w:rPr>
          <w:b/>
          <w:lang w:val="cs-CZ"/>
        </w:rPr>
        <w:t xml:space="preserve">investice do </w:t>
      </w:r>
      <w:r w:rsidRPr="00ED3950">
        <w:rPr>
          <w:b/>
          <w:lang w:val="cs-CZ"/>
        </w:rPr>
        <w:t xml:space="preserve">výzkumu a vývoje a </w:t>
      </w:r>
      <w:r w:rsidRPr="00ED3950">
        <w:rPr>
          <w:b/>
          <w:lang w:val="cs-CZ"/>
        </w:rPr>
        <w:t>z</w:t>
      </w:r>
      <w:r w:rsidRPr="00ED3950">
        <w:rPr>
          <w:b/>
          <w:lang w:val="cs-CZ"/>
        </w:rPr>
        <w:t xml:space="preserve">elených </w:t>
      </w:r>
      <w:r w:rsidRPr="00ED3950">
        <w:rPr>
          <w:b/>
          <w:bCs/>
          <w:lang w:val="cs-CZ"/>
        </w:rPr>
        <w:t xml:space="preserve">(inovativních) </w:t>
      </w:r>
      <w:r w:rsidRPr="00ED3950">
        <w:rPr>
          <w:b/>
          <w:lang w:val="cs-CZ"/>
        </w:rPr>
        <w:t>technologií</w:t>
      </w:r>
      <w:r w:rsidRPr="00ED3950">
        <w:rPr>
          <w:lang w:val="cs-CZ"/>
        </w:rPr>
        <w:t xml:space="preserve">. </w:t>
      </w:r>
      <w:r w:rsidRPr="00ED3950">
        <w:rPr>
          <w:lang w:val="cs-CZ"/>
        </w:rPr>
        <w:t xml:space="preserve">Ačkoli jsou pro přechod na zelené technologie zásadní, </w:t>
      </w:r>
      <w:r w:rsidRPr="00ED3950">
        <w:rPr>
          <w:lang w:val="cs-CZ"/>
        </w:rPr>
        <w:t xml:space="preserve">ukázalo se, že pro členské státy je obtížné uplatňovat zásadu DNSH na tyto investice (zejména v rámci RRF) </w:t>
      </w:r>
      <w:r w:rsidRPr="00ED3950">
        <w:rPr>
          <w:lang w:val="cs-CZ"/>
        </w:rPr>
        <w:t xml:space="preserve">kvůli jejich inovační povaze </w:t>
      </w:r>
      <w:r w:rsidRPr="00ED3950">
        <w:rPr>
          <w:lang w:val="cs-CZ"/>
        </w:rPr>
        <w:t>a bez technických kritérií pr</w:t>
      </w:r>
      <w:r w:rsidRPr="00ED3950">
        <w:rPr>
          <w:lang w:val="cs-CZ"/>
        </w:rPr>
        <w:t>ověřování těchto činností podle nařízení o taxonomii</w:t>
      </w:r>
      <w:r w:rsidRPr="00ED3950">
        <w:rPr>
          <w:lang w:val="cs-CZ"/>
        </w:rPr>
        <w:t xml:space="preserve">. Na </w:t>
      </w:r>
      <w:proofErr w:type="spellStart"/>
      <w:r w:rsidRPr="00ED3950">
        <w:rPr>
          <w:lang w:val="cs-CZ"/>
        </w:rPr>
        <w:t>webináři</w:t>
      </w:r>
      <w:proofErr w:type="spellEnd"/>
      <w:r w:rsidRPr="00ED3950">
        <w:rPr>
          <w:lang w:val="cs-CZ"/>
        </w:rPr>
        <w:t xml:space="preserve"> </w:t>
      </w:r>
      <w:r w:rsidRPr="00ED3950">
        <w:rPr>
          <w:lang w:val="cs-CZ"/>
        </w:rPr>
        <w:t xml:space="preserve">se bude diskutovat o tom, jaké přístupy členské státy </w:t>
      </w:r>
      <w:r w:rsidRPr="00ED3950">
        <w:rPr>
          <w:lang w:val="cs-CZ"/>
        </w:rPr>
        <w:t xml:space="preserve">vyvinuly pro investice do zelených (inovativních) technologií, </w:t>
      </w:r>
      <w:r w:rsidRPr="00ED3950">
        <w:rPr>
          <w:lang w:val="cs-CZ"/>
        </w:rPr>
        <w:t xml:space="preserve">aby se </w:t>
      </w:r>
      <w:r w:rsidRPr="00ED3950">
        <w:rPr>
          <w:lang w:val="cs-CZ"/>
        </w:rPr>
        <w:t xml:space="preserve">zajistilo, že </w:t>
      </w:r>
      <w:r w:rsidRPr="00ED3950">
        <w:rPr>
          <w:lang w:val="cs-CZ"/>
        </w:rPr>
        <w:t>tyto investice neohrozí žádný z environmentálních cí</w:t>
      </w:r>
      <w:r w:rsidRPr="00ED3950">
        <w:rPr>
          <w:lang w:val="cs-CZ"/>
        </w:rPr>
        <w:t xml:space="preserve">lů </w:t>
      </w:r>
      <w:r w:rsidRPr="00ED3950">
        <w:rPr>
          <w:lang w:val="cs-CZ"/>
        </w:rPr>
        <w:t xml:space="preserve">EU. </w:t>
      </w:r>
    </w:p>
    <w:p w:rsidR="004443A0" w:rsidRPr="00ED3950" w:rsidRDefault="004443A0" w:rsidP="004443A0">
      <w:pPr>
        <w:ind w:left="0"/>
        <w:jc w:val="both"/>
        <w:rPr>
          <w:lang w:val="cs-CZ"/>
        </w:rPr>
      </w:pPr>
    </w:p>
    <w:p w:rsidR="005840C5" w:rsidRPr="00ED3950" w:rsidRDefault="00ED3950">
      <w:pPr>
        <w:ind w:left="0"/>
        <w:jc w:val="both"/>
        <w:rPr>
          <w:lang w:val="cs-CZ"/>
        </w:rPr>
      </w:pPr>
      <w:proofErr w:type="spellStart"/>
      <w:r w:rsidRPr="00ED3950">
        <w:rPr>
          <w:lang w:val="cs-CZ"/>
        </w:rPr>
        <w:t>Webinář</w:t>
      </w:r>
      <w:proofErr w:type="spellEnd"/>
      <w:r w:rsidRPr="00ED3950">
        <w:rPr>
          <w:lang w:val="cs-CZ"/>
        </w:rPr>
        <w:t xml:space="preserve"> se bude zabývat zejména následujícími výzvami: </w:t>
      </w:r>
    </w:p>
    <w:p w:rsidR="005840C5" w:rsidRPr="00ED3950" w:rsidRDefault="00ED3950">
      <w:pPr>
        <w:pStyle w:val="Odstavecseseznamem"/>
        <w:numPr>
          <w:ilvl w:val="0"/>
          <w:numId w:val="16"/>
        </w:numPr>
        <w:spacing w:before="120" w:after="120" w:line="280" w:lineRule="exact"/>
        <w:rPr>
          <w:lang w:val="cs-CZ"/>
        </w:rPr>
      </w:pPr>
      <w:r w:rsidRPr="00ED3950">
        <w:rPr>
          <w:lang w:val="cs-CZ"/>
        </w:rPr>
        <w:t xml:space="preserve">Vypracování </w:t>
      </w:r>
      <w:r w:rsidRPr="00ED3950">
        <w:rPr>
          <w:lang w:val="cs-CZ"/>
        </w:rPr>
        <w:t xml:space="preserve">metodik a definování alternativních kritérií pro hodnocení projektů, na které se nevztahují přesné pokyny DNSH a/nebo </w:t>
      </w:r>
      <w:r w:rsidR="009D089B" w:rsidRPr="00ED3950">
        <w:rPr>
          <w:lang w:val="cs-CZ"/>
        </w:rPr>
        <w:t xml:space="preserve">akty </w:t>
      </w:r>
      <w:r w:rsidRPr="00ED3950">
        <w:rPr>
          <w:lang w:val="cs-CZ"/>
        </w:rPr>
        <w:t>EU v přenesené pravomoci týkající se taxonomie;</w:t>
      </w:r>
    </w:p>
    <w:p w:rsidR="005840C5" w:rsidRPr="00ED3950" w:rsidRDefault="00ED3950">
      <w:pPr>
        <w:pStyle w:val="Odstavecseseznamem"/>
        <w:numPr>
          <w:ilvl w:val="0"/>
          <w:numId w:val="16"/>
        </w:numPr>
        <w:spacing w:before="120" w:after="120" w:line="280" w:lineRule="exact"/>
        <w:jc w:val="both"/>
        <w:rPr>
          <w:lang w:val="cs-CZ"/>
        </w:rPr>
      </w:pPr>
      <w:r w:rsidRPr="00ED3950">
        <w:rPr>
          <w:lang w:val="cs-CZ"/>
        </w:rPr>
        <w:t>Nalezení</w:t>
      </w:r>
      <w:r w:rsidRPr="00ED3950">
        <w:rPr>
          <w:lang w:val="cs-CZ"/>
        </w:rPr>
        <w:t xml:space="preserve"> rovnováhy mezi standardizací procesů a zohledněním </w:t>
      </w:r>
      <w:r w:rsidRPr="00ED3950">
        <w:rPr>
          <w:lang w:val="cs-CZ"/>
        </w:rPr>
        <w:t xml:space="preserve">specifik </w:t>
      </w:r>
      <w:r w:rsidRPr="00ED3950">
        <w:rPr>
          <w:lang w:val="cs-CZ"/>
        </w:rPr>
        <w:t>projektů;</w:t>
      </w:r>
    </w:p>
    <w:p w:rsidR="005840C5" w:rsidRPr="00ED3950" w:rsidRDefault="00ED3950">
      <w:pPr>
        <w:pStyle w:val="Odstavecseseznamem"/>
        <w:numPr>
          <w:ilvl w:val="0"/>
          <w:numId w:val="16"/>
        </w:numPr>
        <w:spacing w:before="120" w:after="120" w:line="280" w:lineRule="exact"/>
        <w:jc w:val="both"/>
        <w:rPr>
          <w:lang w:val="cs-CZ"/>
        </w:rPr>
      </w:pPr>
      <w:r w:rsidRPr="00ED3950">
        <w:rPr>
          <w:lang w:val="cs-CZ"/>
        </w:rPr>
        <w:t xml:space="preserve">Vypracování </w:t>
      </w:r>
      <w:r w:rsidRPr="00ED3950">
        <w:rPr>
          <w:lang w:val="cs-CZ"/>
        </w:rPr>
        <w:t xml:space="preserve">dalších </w:t>
      </w:r>
      <w:r w:rsidRPr="00ED3950">
        <w:rPr>
          <w:lang w:val="cs-CZ"/>
        </w:rPr>
        <w:t xml:space="preserve">a </w:t>
      </w:r>
      <w:r w:rsidRPr="00ED3950">
        <w:rPr>
          <w:lang w:val="cs-CZ"/>
        </w:rPr>
        <w:t xml:space="preserve">doplňkových politik a metodik (např. </w:t>
      </w:r>
      <w:r w:rsidRPr="00ED3950">
        <w:rPr>
          <w:lang w:val="cs-CZ"/>
        </w:rPr>
        <w:t xml:space="preserve">zelené rozpočtování) pro </w:t>
      </w:r>
      <w:r w:rsidRPr="00ED3950">
        <w:rPr>
          <w:lang w:val="cs-CZ"/>
        </w:rPr>
        <w:t xml:space="preserve">klasifikaci </w:t>
      </w:r>
      <w:r w:rsidRPr="00ED3950">
        <w:rPr>
          <w:lang w:val="cs-CZ"/>
        </w:rPr>
        <w:t xml:space="preserve">a měření </w:t>
      </w:r>
      <w:r w:rsidRPr="00ED3950">
        <w:rPr>
          <w:lang w:val="cs-CZ"/>
        </w:rPr>
        <w:t xml:space="preserve">investic do inovativních zelených technologií. </w:t>
      </w:r>
    </w:p>
    <w:p w:rsidR="005840C5" w:rsidRPr="00ED3950" w:rsidRDefault="00ED3950">
      <w:pPr>
        <w:ind w:left="0"/>
        <w:jc w:val="both"/>
        <w:rPr>
          <w:lang w:val="cs-CZ"/>
        </w:rPr>
      </w:pPr>
      <w:r w:rsidRPr="00ED3950">
        <w:rPr>
          <w:lang w:val="cs-CZ"/>
        </w:rPr>
        <w:t xml:space="preserve">Dále </w:t>
      </w:r>
      <w:r w:rsidRPr="00ED3950">
        <w:rPr>
          <w:lang w:val="cs-CZ"/>
        </w:rPr>
        <w:t xml:space="preserve">budou na </w:t>
      </w:r>
      <w:proofErr w:type="spellStart"/>
      <w:r w:rsidRPr="00ED3950">
        <w:rPr>
          <w:lang w:val="cs-CZ"/>
        </w:rPr>
        <w:t>webináři</w:t>
      </w:r>
      <w:proofErr w:type="spellEnd"/>
      <w:r w:rsidRPr="00ED3950">
        <w:rPr>
          <w:lang w:val="cs-CZ"/>
        </w:rPr>
        <w:t xml:space="preserve"> představeny a diskutovány </w:t>
      </w:r>
      <w:r w:rsidRPr="00ED3950">
        <w:rPr>
          <w:b/>
          <w:bCs/>
          <w:lang w:val="cs-CZ"/>
        </w:rPr>
        <w:t xml:space="preserve">alternativní metodiky, které byly vyvinuty v </w:t>
      </w:r>
      <w:r w:rsidRPr="00ED3950">
        <w:rPr>
          <w:b/>
          <w:bCs/>
          <w:lang w:val="cs-CZ"/>
        </w:rPr>
        <w:t xml:space="preserve">jiných členských státech EU </w:t>
      </w:r>
      <w:r w:rsidRPr="00ED3950">
        <w:rPr>
          <w:b/>
          <w:bCs/>
          <w:lang w:val="cs-CZ"/>
        </w:rPr>
        <w:t xml:space="preserve">pro identifikaci a investování do ekologických činností, </w:t>
      </w:r>
      <w:r w:rsidRPr="00ED3950">
        <w:rPr>
          <w:b/>
          <w:bCs/>
          <w:lang w:val="cs-CZ"/>
        </w:rPr>
        <w:t xml:space="preserve">jako je zelené rozpočtování, </w:t>
      </w:r>
      <w:r w:rsidRPr="00ED3950">
        <w:rPr>
          <w:lang w:val="cs-CZ"/>
        </w:rPr>
        <w:t>a související důsledky pro posuzování zásady DNSH u p</w:t>
      </w:r>
      <w:r w:rsidRPr="00ED3950">
        <w:rPr>
          <w:lang w:val="cs-CZ"/>
        </w:rPr>
        <w:t xml:space="preserve">rojektů, které nemají </w:t>
      </w:r>
      <w:r w:rsidRPr="00ED3950">
        <w:rPr>
          <w:lang w:val="cs-CZ"/>
        </w:rPr>
        <w:t>technické pokyny/kritéria prověřování</w:t>
      </w:r>
      <w:r w:rsidRPr="00ED3950">
        <w:rPr>
          <w:lang w:val="cs-CZ"/>
        </w:rPr>
        <w:t xml:space="preserve">. </w:t>
      </w:r>
    </w:p>
    <w:p w:rsidR="004443A0" w:rsidRPr="00ED3950" w:rsidRDefault="004443A0" w:rsidP="004443A0">
      <w:pPr>
        <w:rPr>
          <w:lang w:val="cs-CZ"/>
        </w:rPr>
      </w:pPr>
    </w:p>
    <w:p w:rsidR="005840C5" w:rsidRPr="00ED3950" w:rsidRDefault="00ED3950">
      <w:pPr>
        <w:pStyle w:val="Nadpis4"/>
        <w:ind w:firstLine="0"/>
        <w:rPr>
          <w:lang w:val="cs-CZ"/>
        </w:rPr>
      </w:pPr>
      <w:r w:rsidRPr="00ED3950">
        <w:rPr>
          <w:lang w:val="cs-CZ"/>
        </w:rPr>
        <w:t>Přístup použitý pro webové semináře</w:t>
      </w:r>
    </w:p>
    <w:p w:rsidR="005840C5" w:rsidRPr="00ED3950" w:rsidRDefault="00ED3950">
      <w:pPr>
        <w:ind w:left="0"/>
        <w:jc w:val="both"/>
        <w:rPr>
          <w:b/>
          <w:bCs/>
          <w:color w:val="005962" w:themeColor="accent1"/>
          <w:lang w:val="cs-CZ"/>
        </w:rPr>
      </w:pPr>
      <w:r w:rsidRPr="00ED3950">
        <w:rPr>
          <w:b/>
          <w:bCs/>
          <w:color w:val="005962" w:themeColor="accent1"/>
          <w:lang w:val="cs-CZ"/>
        </w:rPr>
        <w:t>Část I: Úvod a příprava scény</w:t>
      </w:r>
    </w:p>
    <w:p w:rsidR="005840C5" w:rsidRPr="00ED3950" w:rsidRDefault="00ED3950">
      <w:pPr>
        <w:ind w:left="0"/>
        <w:jc w:val="both"/>
        <w:rPr>
          <w:lang w:val="cs-CZ"/>
        </w:rPr>
      </w:pPr>
      <w:proofErr w:type="spellStart"/>
      <w:r w:rsidRPr="00ED3950">
        <w:rPr>
          <w:lang w:val="cs-CZ"/>
        </w:rPr>
        <w:t>Webinář</w:t>
      </w:r>
      <w:proofErr w:type="spellEnd"/>
      <w:r w:rsidRPr="00ED3950">
        <w:rPr>
          <w:lang w:val="cs-CZ"/>
        </w:rPr>
        <w:t xml:space="preserve"> </w:t>
      </w:r>
      <w:r w:rsidRPr="00ED3950">
        <w:rPr>
          <w:lang w:val="cs-CZ"/>
        </w:rPr>
        <w:t xml:space="preserve">bude zahájen krátkým </w:t>
      </w:r>
      <w:r w:rsidRPr="00ED3950">
        <w:rPr>
          <w:lang w:val="cs-CZ"/>
        </w:rPr>
        <w:t xml:space="preserve">úvodem </w:t>
      </w:r>
      <w:r w:rsidRPr="00ED3950">
        <w:rPr>
          <w:lang w:val="cs-CZ"/>
        </w:rPr>
        <w:t xml:space="preserve">o </w:t>
      </w:r>
      <w:r w:rsidRPr="00ED3950">
        <w:rPr>
          <w:b/>
          <w:lang w:val="cs-CZ"/>
        </w:rPr>
        <w:t xml:space="preserve">programu a cílech </w:t>
      </w:r>
      <w:proofErr w:type="spellStart"/>
      <w:r w:rsidRPr="00ED3950">
        <w:rPr>
          <w:b/>
          <w:lang w:val="cs-CZ"/>
        </w:rPr>
        <w:t>webináře</w:t>
      </w:r>
      <w:proofErr w:type="spellEnd"/>
      <w:r w:rsidRPr="00ED3950">
        <w:rPr>
          <w:b/>
          <w:lang w:val="cs-CZ"/>
        </w:rPr>
        <w:t xml:space="preserve"> </w:t>
      </w:r>
      <w:r w:rsidRPr="00ED3950">
        <w:rPr>
          <w:lang w:val="cs-CZ"/>
        </w:rPr>
        <w:t xml:space="preserve">a poté budou následovat prezentace </w:t>
      </w:r>
      <w:r w:rsidRPr="00ED3950">
        <w:rPr>
          <w:lang w:val="cs-CZ"/>
        </w:rPr>
        <w:t>projektového týmu a zástupc</w:t>
      </w:r>
      <w:r w:rsidRPr="00ED3950">
        <w:rPr>
          <w:lang w:val="cs-CZ"/>
        </w:rPr>
        <w:t xml:space="preserve">ů Česka, Rakouska </w:t>
      </w:r>
      <w:r w:rsidRPr="00ED3950">
        <w:rPr>
          <w:lang w:val="cs-CZ"/>
        </w:rPr>
        <w:t xml:space="preserve">a Finska </w:t>
      </w:r>
      <w:r w:rsidRPr="00ED3950">
        <w:rPr>
          <w:lang w:val="cs-CZ"/>
        </w:rPr>
        <w:t xml:space="preserve">o </w:t>
      </w:r>
      <w:r w:rsidRPr="00ED3950">
        <w:rPr>
          <w:lang w:val="cs-CZ"/>
        </w:rPr>
        <w:t xml:space="preserve">jejich </w:t>
      </w:r>
      <w:r w:rsidRPr="00ED3950">
        <w:rPr>
          <w:lang w:val="cs-CZ"/>
        </w:rPr>
        <w:t>konkrétní praxi ("</w:t>
      </w:r>
      <w:proofErr w:type="spellStart"/>
      <w:r w:rsidRPr="00ED3950">
        <w:rPr>
          <w:lang w:val="cs-CZ"/>
        </w:rPr>
        <w:t>focus</w:t>
      </w:r>
      <w:proofErr w:type="spellEnd"/>
      <w:r w:rsidRPr="00ED3950">
        <w:rPr>
          <w:lang w:val="cs-CZ"/>
        </w:rPr>
        <w:t xml:space="preserve"> case") ve vztahu k výzvě </w:t>
      </w:r>
      <w:proofErr w:type="spellStart"/>
      <w:r w:rsidRPr="00ED3950">
        <w:rPr>
          <w:lang w:val="cs-CZ"/>
        </w:rPr>
        <w:t>webináře</w:t>
      </w:r>
      <w:proofErr w:type="spellEnd"/>
      <w:r w:rsidRPr="00ED3950">
        <w:rPr>
          <w:lang w:val="cs-CZ"/>
        </w:rPr>
        <w:t xml:space="preserve">. </w:t>
      </w:r>
      <w:r w:rsidRPr="00ED3950">
        <w:rPr>
          <w:b/>
          <w:lang w:val="cs-CZ"/>
        </w:rPr>
        <w:t xml:space="preserve">Projektový tým </w:t>
      </w:r>
      <w:r w:rsidRPr="00ED3950">
        <w:rPr>
          <w:b/>
          <w:bCs/>
          <w:lang w:val="cs-CZ"/>
        </w:rPr>
        <w:t>(</w:t>
      </w:r>
      <w:proofErr w:type="spellStart"/>
      <w:r w:rsidRPr="00ED3950">
        <w:rPr>
          <w:b/>
          <w:bCs/>
          <w:lang w:val="cs-CZ"/>
        </w:rPr>
        <w:t>Trinomics</w:t>
      </w:r>
      <w:proofErr w:type="spellEnd"/>
      <w:r w:rsidRPr="00ED3950">
        <w:rPr>
          <w:b/>
          <w:bCs/>
          <w:lang w:val="cs-CZ"/>
        </w:rPr>
        <w:t xml:space="preserve">) </w:t>
      </w:r>
      <w:r w:rsidRPr="00ED3950">
        <w:rPr>
          <w:lang w:val="cs-CZ"/>
        </w:rPr>
        <w:t xml:space="preserve">začne připravovat scénu kolem výzvy tím, že ji zasadí do českého kontextu (na základě diagnostické analýzy provedené v roce 2022). </w:t>
      </w:r>
      <w:r w:rsidRPr="00ED3950">
        <w:rPr>
          <w:b/>
          <w:lang w:val="cs-CZ"/>
        </w:rPr>
        <w:t>Čes</w:t>
      </w:r>
      <w:r w:rsidRPr="00ED3950">
        <w:rPr>
          <w:b/>
          <w:lang w:val="cs-CZ"/>
        </w:rPr>
        <w:t xml:space="preserve">ko </w:t>
      </w:r>
      <w:r w:rsidRPr="00ED3950">
        <w:rPr>
          <w:lang w:val="cs-CZ"/>
        </w:rPr>
        <w:t xml:space="preserve">bude následovat s prezentací, která poskytne další podrobnosti o </w:t>
      </w:r>
      <w:r w:rsidRPr="00ED3950">
        <w:rPr>
          <w:lang w:val="cs-CZ"/>
        </w:rPr>
        <w:t xml:space="preserve">jejich zkušenostech, výzvách a poznatcích </w:t>
      </w:r>
      <w:r w:rsidRPr="00ED3950">
        <w:rPr>
          <w:lang w:val="cs-CZ"/>
        </w:rPr>
        <w:t xml:space="preserve">zabývajících se hodnocením programů </w:t>
      </w:r>
      <w:r w:rsidRPr="00ED3950">
        <w:rPr>
          <w:lang w:val="cs-CZ"/>
        </w:rPr>
        <w:lastRenderedPageBreak/>
        <w:t xml:space="preserve">DNSH zaměřených na </w:t>
      </w:r>
      <w:proofErr w:type="spellStart"/>
      <w:r w:rsidRPr="00ED3950">
        <w:rPr>
          <w:lang w:val="cs-CZ"/>
        </w:rPr>
        <w:t>VaV</w:t>
      </w:r>
      <w:proofErr w:type="spellEnd"/>
      <w:r w:rsidRPr="00ED3950">
        <w:rPr>
          <w:lang w:val="cs-CZ"/>
        </w:rPr>
        <w:t xml:space="preserve">, inovace a </w:t>
      </w:r>
      <w:proofErr w:type="gramStart"/>
      <w:r w:rsidRPr="00ED3950">
        <w:rPr>
          <w:lang w:val="cs-CZ"/>
        </w:rPr>
        <w:t xml:space="preserve">konkurenceschopnost </w:t>
      </w:r>
      <w:r w:rsidRPr="00ED3950">
        <w:rPr>
          <w:lang w:val="cs-CZ"/>
        </w:rPr>
        <w:t xml:space="preserve">. </w:t>
      </w:r>
      <w:r w:rsidRPr="00ED3950">
        <w:rPr>
          <w:b/>
          <w:lang w:val="cs-CZ"/>
        </w:rPr>
        <w:t>Finsko</w:t>
      </w:r>
      <w:proofErr w:type="gramEnd"/>
      <w:r w:rsidRPr="00ED3950">
        <w:rPr>
          <w:b/>
          <w:lang w:val="cs-CZ"/>
        </w:rPr>
        <w:t xml:space="preserve"> </w:t>
      </w:r>
      <w:r w:rsidRPr="00ED3950">
        <w:rPr>
          <w:lang w:val="cs-CZ"/>
        </w:rPr>
        <w:t xml:space="preserve">pak představí </w:t>
      </w:r>
      <w:r w:rsidRPr="00ED3950">
        <w:rPr>
          <w:b/>
          <w:lang w:val="cs-CZ"/>
        </w:rPr>
        <w:t>přístup Finského klimatického fon</w:t>
      </w:r>
      <w:r w:rsidRPr="00ED3950">
        <w:rPr>
          <w:b/>
          <w:lang w:val="cs-CZ"/>
        </w:rPr>
        <w:t xml:space="preserve">du k </w:t>
      </w:r>
      <w:r w:rsidRPr="00ED3950">
        <w:rPr>
          <w:lang w:val="cs-CZ"/>
        </w:rPr>
        <w:t xml:space="preserve">provádění (ex-ante) hodnocení DNSH </w:t>
      </w:r>
      <w:r w:rsidRPr="00ED3950">
        <w:rPr>
          <w:lang w:val="cs-CZ"/>
        </w:rPr>
        <w:t xml:space="preserve">(inovativních) </w:t>
      </w:r>
      <w:r w:rsidRPr="00ED3950">
        <w:rPr>
          <w:lang w:val="cs-CZ"/>
        </w:rPr>
        <w:t>investičních projektů v oblasti zelených technologií</w:t>
      </w:r>
      <w:r w:rsidRPr="00ED3950">
        <w:rPr>
          <w:lang w:val="cs-CZ"/>
        </w:rPr>
        <w:t xml:space="preserve">. </w:t>
      </w:r>
      <w:r w:rsidRPr="00ED3950">
        <w:rPr>
          <w:b/>
          <w:lang w:val="cs-CZ"/>
        </w:rPr>
        <w:t xml:space="preserve">Rakousko na </w:t>
      </w:r>
      <w:r w:rsidRPr="00ED3950">
        <w:rPr>
          <w:bCs/>
          <w:lang w:val="cs-CZ"/>
        </w:rPr>
        <w:t xml:space="preserve">závěr představí </w:t>
      </w:r>
      <w:r w:rsidRPr="00ED3950">
        <w:rPr>
          <w:b/>
          <w:lang w:val="cs-CZ"/>
        </w:rPr>
        <w:t xml:space="preserve">granulární přístup a metodiku pro </w:t>
      </w:r>
      <w:r w:rsidRPr="00ED3950">
        <w:rPr>
          <w:b/>
          <w:lang w:val="cs-CZ"/>
        </w:rPr>
        <w:t xml:space="preserve">zelené rozpočtování </w:t>
      </w:r>
      <w:r w:rsidRPr="00ED3950">
        <w:rPr>
          <w:b/>
          <w:lang w:val="cs-CZ"/>
        </w:rPr>
        <w:t xml:space="preserve">rakouského státního rozpočtu a </w:t>
      </w:r>
      <w:r w:rsidRPr="00ED3950">
        <w:rPr>
          <w:bCs/>
          <w:lang w:val="cs-CZ"/>
        </w:rPr>
        <w:t>obhájí význam této metodiky pro sp</w:t>
      </w:r>
      <w:r w:rsidRPr="00ED3950">
        <w:rPr>
          <w:bCs/>
          <w:lang w:val="cs-CZ"/>
        </w:rPr>
        <w:t>lnění požadavků DNSH.</w:t>
      </w:r>
    </w:p>
    <w:p w:rsidR="005840C5" w:rsidRPr="00ED3950" w:rsidRDefault="00ED3950">
      <w:pPr>
        <w:ind w:left="0"/>
        <w:jc w:val="both"/>
        <w:rPr>
          <w:b/>
          <w:bCs/>
          <w:color w:val="005962" w:themeColor="accent1"/>
          <w:lang w:val="cs-CZ"/>
        </w:rPr>
      </w:pPr>
      <w:r w:rsidRPr="00ED3950">
        <w:rPr>
          <w:b/>
          <w:bCs/>
          <w:color w:val="005962" w:themeColor="accent1"/>
          <w:lang w:val="cs-CZ"/>
        </w:rPr>
        <w:t xml:space="preserve">Část II: Panelová diskuse - </w:t>
      </w:r>
      <w:r w:rsidRPr="00ED3950">
        <w:rPr>
          <w:b/>
          <w:bCs/>
          <w:color w:val="005962" w:themeColor="accent1"/>
          <w:lang w:val="cs-CZ"/>
        </w:rPr>
        <w:t>Uplatnění principu DNSH na inovativní zelené technologie</w:t>
      </w:r>
    </w:p>
    <w:p w:rsidR="005840C5" w:rsidRPr="00ED3950" w:rsidRDefault="00ED3950">
      <w:pPr>
        <w:ind w:left="0"/>
        <w:jc w:val="both"/>
        <w:rPr>
          <w:lang w:val="cs-CZ"/>
        </w:rPr>
      </w:pPr>
      <w:r w:rsidRPr="00ED3950">
        <w:rPr>
          <w:lang w:val="cs-CZ"/>
        </w:rPr>
        <w:t xml:space="preserve">Prezentace členských států připraví půdu pro </w:t>
      </w:r>
      <w:r w:rsidRPr="00ED3950">
        <w:rPr>
          <w:b/>
          <w:lang w:val="cs-CZ"/>
        </w:rPr>
        <w:t xml:space="preserve">panelovou diskusi, </w:t>
      </w:r>
      <w:r w:rsidRPr="00ED3950">
        <w:rPr>
          <w:lang w:val="cs-CZ"/>
        </w:rPr>
        <w:t>která se bude řídit otevřenými otázkami vypracovanými na základě odborných konzultací se zúčastněnými stranami v České republice a dalších členských státech EU</w:t>
      </w:r>
      <w:r w:rsidRPr="00ED3950">
        <w:rPr>
          <w:lang w:val="cs-CZ"/>
        </w:rPr>
        <w:t>. Panelová diskuse rovněž umožní účastníkům klást otázky v souvislosti s postupy a příklady uvede</w:t>
      </w:r>
      <w:r w:rsidRPr="00ED3950">
        <w:rPr>
          <w:lang w:val="cs-CZ"/>
        </w:rPr>
        <w:t xml:space="preserve">nými v první části </w:t>
      </w:r>
      <w:proofErr w:type="spellStart"/>
      <w:r w:rsidRPr="00ED3950">
        <w:rPr>
          <w:lang w:val="cs-CZ"/>
        </w:rPr>
        <w:t>webináře</w:t>
      </w:r>
      <w:proofErr w:type="spellEnd"/>
      <w:r w:rsidRPr="00ED3950">
        <w:rPr>
          <w:lang w:val="cs-CZ"/>
        </w:rPr>
        <w:t xml:space="preserve">. Otázky pro panelovou diskusi byly vypracovány tak, aby členské státy mohly </w:t>
      </w:r>
      <w:r w:rsidRPr="00ED3950">
        <w:rPr>
          <w:lang w:val="cs-CZ"/>
        </w:rPr>
        <w:t xml:space="preserve">získat </w:t>
      </w:r>
      <w:r w:rsidRPr="00ED3950">
        <w:rPr>
          <w:b/>
          <w:lang w:val="cs-CZ"/>
        </w:rPr>
        <w:t xml:space="preserve">nové poznatky, nápady a pohledy na </w:t>
      </w:r>
      <w:r w:rsidRPr="00ED3950">
        <w:rPr>
          <w:lang w:val="cs-CZ"/>
        </w:rPr>
        <w:t xml:space="preserve">opatření, která je třeba přijmout, a na aktéry, které je třeba zapojit k překonání jednotlivých překážek </w:t>
      </w:r>
      <w:r w:rsidRPr="00ED3950">
        <w:rPr>
          <w:lang w:val="cs-CZ"/>
        </w:rPr>
        <w:t>souvi</w:t>
      </w:r>
      <w:r w:rsidRPr="00ED3950">
        <w:rPr>
          <w:lang w:val="cs-CZ"/>
        </w:rPr>
        <w:t xml:space="preserve">sejících se správou DNSH. </w:t>
      </w:r>
    </w:p>
    <w:p w:rsidR="004443A0" w:rsidRPr="00ED3950" w:rsidRDefault="004443A0" w:rsidP="004443A0">
      <w:pPr>
        <w:rPr>
          <w:lang w:val="cs-CZ"/>
        </w:rPr>
      </w:pPr>
    </w:p>
    <w:p w:rsidR="005840C5" w:rsidRPr="00ED3950" w:rsidRDefault="00ED3950">
      <w:pPr>
        <w:pStyle w:val="Nadpis4"/>
        <w:ind w:firstLine="0"/>
        <w:rPr>
          <w:lang w:val="cs-CZ"/>
        </w:rPr>
      </w:pPr>
      <w:r w:rsidRPr="00ED3950">
        <w:rPr>
          <w:lang w:val="cs-CZ"/>
        </w:rPr>
        <w:t>Program</w:t>
      </w:r>
    </w:p>
    <w:tbl>
      <w:tblPr>
        <w:tblStyle w:val="Mkatabulky"/>
        <w:tblW w:w="0" w:type="auto"/>
        <w:tblLook w:val="04A0" w:firstRow="1" w:lastRow="0" w:firstColumn="1" w:lastColumn="0" w:noHBand="0" w:noVBand="1"/>
      </w:tblPr>
      <w:tblGrid>
        <w:gridCol w:w="1271"/>
        <w:gridCol w:w="4820"/>
        <w:gridCol w:w="2687"/>
      </w:tblGrid>
      <w:tr w:rsidR="004443A0" w:rsidRPr="00ED3950">
        <w:trPr>
          <w:trHeight w:val="20"/>
        </w:trPr>
        <w:tc>
          <w:tcPr>
            <w:tcW w:w="0" w:type="auto"/>
            <w:gridSpan w:val="3"/>
            <w:shd w:val="clear" w:color="auto" w:fill="005962" w:themeFill="accent1"/>
          </w:tcPr>
          <w:p w:rsidR="005840C5" w:rsidRPr="00ED3950" w:rsidRDefault="00ED3950">
            <w:pPr>
              <w:spacing w:line="260" w:lineRule="atLeast"/>
              <w:ind w:left="0"/>
              <w:rPr>
                <w:b/>
                <w:bCs/>
                <w:color w:val="FFFFFF" w:themeColor="background1"/>
                <w:szCs w:val="18"/>
                <w:lang w:val="cs-CZ"/>
              </w:rPr>
            </w:pPr>
            <w:r w:rsidRPr="00ED3950">
              <w:rPr>
                <w:b/>
                <w:bCs/>
                <w:color w:val="FFFFFF" w:themeColor="background1"/>
                <w:szCs w:val="18"/>
                <w:lang w:val="cs-CZ"/>
              </w:rPr>
              <w:t>Část I: Úvod a příprava scény</w:t>
            </w:r>
          </w:p>
        </w:tc>
      </w:tr>
      <w:tr w:rsidR="004443A0" w:rsidRPr="00ED3950">
        <w:trPr>
          <w:trHeight w:val="277"/>
        </w:trPr>
        <w:tc>
          <w:tcPr>
            <w:tcW w:w="8778" w:type="dxa"/>
            <w:gridSpan w:val="3"/>
            <w:tcMar>
              <w:right w:w="57" w:type="dxa"/>
            </w:tcMar>
          </w:tcPr>
          <w:p w:rsidR="005840C5" w:rsidRPr="00ED3950" w:rsidRDefault="00ED3950">
            <w:pPr>
              <w:spacing w:line="260" w:lineRule="atLeast"/>
              <w:ind w:left="0"/>
              <w:rPr>
                <w:color w:val="000000" w:themeColor="text1"/>
                <w:szCs w:val="18"/>
                <w:lang w:val="cs-CZ"/>
              </w:rPr>
            </w:pPr>
            <w:r w:rsidRPr="00ED3950">
              <w:rPr>
                <w:b/>
                <w:bCs/>
                <w:color w:val="000000" w:themeColor="text1"/>
                <w:szCs w:val="18"/>
                <w:lang w:val="cs-CZ"/>
              </w:rPr>
              <w:t>Moderátor:</w:t>
            </w:r>
            <w:r w:rsidRPr="00ED3950">
              <w:rPr>
                <w:color w:val="000000" w:themeColor="text1"/>
                <w:szCs w:val="18"/>
                <w:lang w:val="cs-CZ"/>
              </w:rPr>
              <w:t xml:space="preserve"> Peter Janoška (</w:t>
            </w:r>
            <w:proofErr w:type="spellStart"/>
            <w:r w:rsidRPr="00ED3950">
              <w:rPr>
                <w:color w:val="000000" w:themeColor="text1"/>
                <w:szCs w:val="18"/>
                <w:lang w:val="cs-CZ"/>
              </w:rPr>
              <w:t>Trinomics</w:t>
            </w:r>
            <w:proofErr w:type="spellEnd"/>
            <w:r w:rsidRPr="00ED3950">
              <w:rPr>
                <w:color w:val="000000" w:themeColor="text1"/>
                <w:szCs w:val="18"/>
                <w:lang w:val="cs-CZ"/>
              </w:rPr>
              <w:t>)</w:t>
            </w:r>
          </w:p>
        </w:tc>
      </w:tr>
      <w:tr w:rsidR="004443A0" w:rsidRPr="00ED3950">
        <w:trPr>
          <w:trHeight w:val="409"/>
        </w:trPr>
        <w:tc>
          <w:tcPr>
            <w:tcW w:w="1271" w:type="dxa"/>
            <w:tcMar>
              <w:right w:w="57" w:type="dxa"/>
            </w:tcMar>
          </w:tcPr>
          <w:p w:rsidR="005840C5" w:rsidRPr="00ED3950" w:rsidRDefault="00ED3950">
            <w:pPr>
              <w:spacing w:line="260" w:lineRule="atLeast"/>
              <w:ind w:left="0"/>
              <w:rPr>
                <w:szCs w:val="18"/>
                <w:lang w:val="cs-CZ"/>
              </w:rPr>
            </w:pPr>
            <w:r w:rsidRPr="00ED3950">
              <w:rPr>
                <w:szCs w:val="18"/>
                <w:lang w:val="cs-CZ"/>
              </w:rPr>
              <w:t>10.00 - 10.05</w:t>
            </w:r>
          </w:p>
        </w:tc>
        <w:tc>
          <w:tcPr>
            <w:tcW w:w="4820" w:type="dxa"/>
          </w:tcPr>
          <w:p w:rsidR="005840C5" w:rsidRPr="00ED3950" w:rsidRDefault="00ED3950">
            <w:pPr>
              <w:spacing w:line="260" w:lineRule="atLeast"/>
              <w:ind w:left="0"/>
              <w:rPr>
                <w:szCs w:val="18"/>
                <w:lang w:val="cs-CZ"/>
              </w:rPr>
            </w:pPr>
            <w:r w:rsidRPr="00ED3950">
              <w:rPr>
                <w:szCs w:val="18"/>
                <w:lang w:val="cs-CZ"/>
              </w:rPr>
              <w:t>Pravidla hospodaření a prezentace agendy</w:t>
            </w:r>
          </w:p>
        </w:tc>
        <w:tc>
          <w:tcPr>
            <w:tcW w:w="2687" w:type="dxa"/>
          </w:tcPr>
          <w:p w:rsidR="005840C5" w:rsidRPr="00ED3950" w:rsidRDefault="00ED3950">
            <w:pPr>
              <w:spacing w:line="260" w:lineRule="atLeast"/>
              <w:ind w:left="0"/>
              <w:rPr>
                <w:color w:val="000000" w:themeColor="text1"/>
                <w:szCs w:val="18"/>
                <w:lang w:val="cs-CZ"/>
              </w:rPr>
            </w:pPr>
            <w:r w:rsidRPr="00ED3950">
              <w:rPr>
                <w:color w:val="000000" w:themeColor="text1"/>
                <w:szCs w:val="18"/>
                <w:lang w:val="cs-CZ"/>
              </w:rPr>
              <w:t xml:space="preserve">Peter </w:t>
            </w:r>
            <w:proofErr w:type="spellStart"/>
            <w:r w:rsidRPr="00ED3950">
              <w:rPr>
                <w:color w:val="000000" w:themeColor="text1"/>
                <w:szCs w:val="18"/>
                <w:lang w:val="cs-CZ"/>
              </w:rPr>
              <w:t>Janoska</w:t>
            </w:r>
            <w:proofErr w:type="spellEnd"/>
            <w:r w:rsidRPr="00ED3950">
              <w:rPr>
                <w:color w:val="000000" w:themeColor="text1"/>
                <w:szCs w:val="18"/>
                <w:lang w:val="cs-CZ"/>
              </w:rPr>
              <w:t xml:space="preserve"> (</w:t>
            </w:r>
            <w:proofErr w:type="spellStart"/>
            <w:r w:rsidRPr="00ED3950">
              <w:rPr>
                <w:color w:val="000000" w:themeColor="text1"/>
                <w:szCs w:val="18"/>
                <w:lang w:val="cs-CZ"/>
              </w:rPr>
              <w:t>Trinomics</w:t>
            </w:r>
            <w:proofErr w:type="spellEnd"/>
            <w:r w:rsidRPr="00ED3950">
              <w:rPr>
                <w:color w:val="000000" w:themeColor="text1"/>
                <w:szCs w:val="18"/>
                <w:lang w:val="cs-CZ"/>
              </w:rPr>
              <w:t>)</w:t>
            </w:r>
          </w:p>
        </w:tc>
      </w:tr>
      <w:tr w:rsidR="004443A0" w:rsidRPr="00ED3950">
        <w:trPr>
          <w:trHeight w:val="573"/>
        </w:trPr>
        <w:tc>
          <w:tcPr>
            <w:tcW w:w="1271" w:type="dxa"/>
            <w:tcMar>
              <w:right w:w="57" w:type="dxa"/>
            </w:tcMar>
          </w:tcPr>
          <w:p w:rsidR="005840C5" w:rsidRPr="00ED3950" w:rsidRDefault="00ED3950">
            <w:pPr>
              <w:spacing w:line="260" w:lineRule="atLeast"/>
              <w:ind w:left="0"/>
              <w:rPr>
                <w:szCs w:val="18"/>
                <w:lang w:val="cs-CZ"/>
              </w:rPr>
            </w:pPr>
            <w:r w:rsidRPr="00ED3950">
              <w:rPr>
                <w:szCs w:val="18"/>
                <w:lang w:val="cs-CZ"/>
              </w:rPr>
              <w:t>10.</w:t>
            </w:r>
            <w:r w:rsidRPr="00ED3950">
              <w:rPr>
                <w:szCs w:val="18"/>
                <w:lang w:val="cs-CZ"/>
              </w:rPr>
              <w:t>05 - 10.10</w:t>
            </w:r>
          </w:p>
        </w:tc>
        <w:tc>
          <w:tcPr>
            <w:tcW w:w="4820" w:type="dxa"/>
          </w:tcPr>
          <w:p w:rsidR="005840C5" w:rsidRPr="00ED3950" w:rsidRDefault="00ED3950">
            <w:pPr>
              <w:spacing w:line="260" w:lineRule="atLeast"/>
              <w:ind w:left="0"/>
              <w:rPr>
                <w:szCs w:val="18"/>
                <w:lang w:val="cs-CZ"/>
              </w:rPr>
            </w:pPr>
            <w:r w:rsidRPr="00ED3950">
              <w:rPr>
                <w:b/>
                <w:bCs/>
                <w:szCs w:val="18"/>
                <w:lang w:val="cs-CZ"/>
              </w:rPr>
              <w:t>Uvítání</w:t>
            </w:r>
            <w:r w:rsidRPr="00ED3950">
              <w:rPr>
                <w:szCs w:val="18"/>
                <w:lang w:val="cs-CZ"/>
              </w:rPr>
              <w:t xml:space="preserve">: představení </w:t>
            </w:r>
            <w:r w:rsidRPr="00ED3950">
              <w:rPr>
                <w:szCs w:val="18"/>
                <w:lang w:val="cs-CZ"/>
              </w:rPr>
              <w:t xml:space="preserve">výměny zkušeností EU </w:t>
            </w:r>
            <w:r w:rsidRPr="00ED3950">
              <w:rPr>
                <w:szCs w:val="18"/>
                <w:lang w:val="cs-CZ"/>
              </w:rPr>
              <w:t xml:space="preserve">a očekávaných výsledků </w:t>
            </w:r>
            <w:proofErr w:type="spellStart"/>
            <w:r w:rsidRPr="00ED3950">
              <w:rPr>
                <w:szCs w:val="18"/>
                <w:lang w:val="cs-CZ"/>
              </w:rPr>
              <w:t>webináře</w:t>
            </w:r>
            <w:proofErr w:type="spellEnd"/>
          </w:p>
        </w:tc>
        <w:tc>
          <w:tcPr>
            <w:tcW w:w="2687" w:type="dxa"/>
          </w:tcPr>
          <w:p w:rsidR="005840C5" w:rsidRPr="00ED3950" w:rsidRDefault="00ED3950">
            <w:pPr>
              <w:spacing w:line="260" w:lineRule="atLeast"/>
              <w:ind w:left="0"/>
              <w:rPr>
                <w:color w:val="000000" w:themeColor="text1"/>
                <w:szCs w:val="18"/>
                <w:lang w:val="cs-CZ"/>
              </w:rPr>
            </w:pPr>
            <w:proofErr w:type="spellStart"/>
            <w:r w:rsidRPr="00ED3950">
              <w:rPr>
                <w:color w:val="000000" w:themeColor="text1"/>
                <w:szCs w:val="18"/>
                <w:lang w:val="cs-CZ"/>
              </w:rPr>
              <w:t>Riikka</w:t>
            </w:r>
            <w:proofErr w:type="spellEnd"/>
            <w:r w:rsidRPr="00ED3950">
              <w:rPr>
                <w:color w:val="000000" w:themeColor="text1"/>
                <w:szCs w:val="18"/>
                <w:lang w:val="cs-CZ"/>
              </w:rPr>
              <w:t xml:space="preserve"> </w:t>
            </w:r>
            <w:proofErr w:type="spellStart"/>
            <w:r w:rsidRPr="00ED3950">
              <w:rPr>
                <w:color w:val="000000" w:themeColor="text1"/>
                <w:szCs w:val="18"/>
                <w:lang w:val="cs-CZ"/>
              </w:rPr>
              <w:t>Torppa</w:t>
            </w:r>
            <w:proofErr w:type="spellEnd"/>
            <w:r w:rsidRPr="00ED3950">
              <w:rPr>
                <w:color w:val="000000" w:themeColor="text1"/>
                <w:szCs w:val="18"/>
                <w:lang w:val="cs-CZ"/>
              </w:rPr>
              <w:t xml:space="preserve"> (Evropská komise, GŘ REFORM)</w:t>
            </w:r>
          </w:p>
        </w:tc>
      </w:tr>
      <w:tr w:rsidR="004443A0" w:rsidRPr="00ED3950">
        <w:trPr>
          <w:trHeight w:val="20"/>
        </w:trPr>
        <w:tc>
          <w:tcPr>
            <w:tcW w:w="1271" w:type="dxa"/>
            <w:tcMar>
              <w:right w:w="57" w:type="dxa"/>
            </w:tcMar>
          </w:tcPr>
          <w:p w:rsidR="005840C5" w:rsidRPr="00ED3950" w:rsidRDefault="00ED3950">
            <w:pPr>
              <w:spacing w:line="260" w:lineRule="atLeast"/>
              <w:ind w:left="0"/>
              <w:rPr>
                <w:szCs w:val="18"/>
                <w:lang w:val="cs-CZ"/>
              </w:rPr>
            </w:pPr>
            <w:r w:rsidRPr="00ED3950">
              <w:rPr>
                <w:szCs w:val="18"/>
                <w:lang w:val="cs-CZ"/>
              </w:rPr>
              <w:t>10.</w:t>
            </w:r>
            <w:r w:rsidRPr="00ED3950">
              <w:rPr>
                <w:szCs w:val="18"/>
                <w:lang w:val="cs-CZ"/>
              </w:rPr>
              <w:t xml:space="preserve">10 </w:t>
            </w:r>
            <w:r w:rsidRPr="00ED3950">
              <w:rPr>
                <w:szCs w:val="18"/>
                <w:lang w:val="cs-CZ"/>
              </w:rPr>
              <w:t xml:space="preserve">- </w:t>
            </w:r>
            <w:r w:rsidRPr="00ED3950">
              <w:rPr>
                <w:szCs w:val="18"/>
                <w:lang w:val="cs-CZ"/>
              </w:rPr>
              <w:t>10.15</w:t>
            </w:r>
          </w:p>
        </w:tc>
        <w:tc>
          <w:tcPr>
            <w:tcW w:w="4820" w:type="dxa"/>
          </w:tcPr>
          <w:p w:rsidR="005840C5" w:rsidRPr="00ED3950" w:rsidRDefault="00ED3950">
            <w:pPr>
              <w:spacing w:line="260" w:lineRule="atLeast"/>
              <w:ind w:left="0"/>
              <w:rPr>
                <w:szCs w:val="18"/>
                <w:lang w:val="cs-CZ"/>
              </w:rPr>
            </w:pPr>
            <w:r w:rsidRPr="00ED3950">
              <w:rPr>
                <w:b/>
                <w:bCs/>
                <w:szCs w:val="18"/>
                <w:lang w:val="cs-CZ"/>
              </w:rPr>
              <w:t xml:space="preserve">Úvod do problematiky: </w:t>
            </w:r>
            <w:r w:rsidRPr="00ED3950">
              <w:rPr>
                <w:szCs w:val="18"/>
                <w:lang w:val="cs-CZ"/>
              </w:rPr>
              <w:t xml:space="preserve">představení výzev spojených s </w:t>
            </w:r>
            <w:r w:rsidRPr="00ED3950">
              <w:rPr>
                <w:szCs w:val="18"/>
                <w:lang w:val="cs-CZ"/>
              </w:rPr>
              <w:t>uplatňováním zásady DNSH na inovativní ekologické technologie</w:t>
            </w:r>
          </w:p>
        </w:tc>
        <w:tc>
          <w:tcPr>
            <w:tcW w:w="2687" w:type="dxa"/>
          </w:tcPr>
          <w:p w:rsidR="005840C5" w:rsidRPr="00ED3950" w:rsidRDefault="00ED3950">
            <w:pPr>
              <w:spacing w:line="260" w:lineRule="atLeast"/>
              <w:ind w:left="0"/>
              <w:rPr>
                <w:color w:val="000000" w:themeColor="text1"/>
                <w:szCs w:val="18"/>
                <w:lang w:val="cs-CZ"/>
              </w:rPr>
            </w:pPr>
            <w:proofErr w:type="spellStart"/>
            <w:r w:rsidRPr="00ED3950">
              <w:rPr>
                <w:color w:val="000000" w:themeColor="text1"/>
                <w:szCs w:val="18"/>
                <w:lang w:val="cs-CZ"/>
              </w:rPr>
              <w:t>Jeroen</w:t>
            </w:r>
            <w:proofErr w:type="spellEnd"/>
            <w:r w:rsidRPr="00ED3950">
              <w:rPr>
                <w:color w:val="000000" w:themeColor="text1"/>
                <w:szCs w:val="18"/>
                <w:lang w:val="cs-CZ"/>
              </w:rPr>
              <w:t xml:space="preserve"> van der </w:t>
            </w:r>
            <w:proofErr w:type="spellStart"/>
            <w:r w:rsidRPr="00ED3950">
              <w:rPr>
                <w:color w:val="000000" w:themeColor="text1"/>
                <w:szCs w:val="18"/>
                <w:lang w:val="cs-CZ"/>
              </w:rPr>
              <w:t>Laan</w:t>
            </w:r>
            <w:proofErr w:type="spellEnd"/>
            <w:r w:rsidRPr="00ED3950">
              <w:rPr>
                <w:color w:val="000000" w:themeColor="text1"/>
                <w:szCs w:val="18"/>
                <w:lang w:val="cs-CZ"/>
              </w:rPr>
              <w:t xml:space="preserve"> (</w:t>
            </w:r>
            <w:proofErr w:type="spellStart"/>
            <w:r w:rsidRPr="00ED3950">
              <w:rPr>
                <w:color w:val="000000" w:themeColor="text1"/>
                <w:szCs w:val="18"/>
                <w:lang w:val="cs-CZ"/>
              </w:rPr>
              <w:t>Trinomics</w:t>
            </w:r>
            <w:proofErr w:type="spellEnd"/>
            <w:r w:rsidRPr="00ED3950">
              <w:rPr>
                <w:color w:val="000000" w:themeColor="text1"/>
                <w:szCs w:val="18"/>
                <w:lang w:val="cs-CZ"/>
              </w:rPr>
              <w:t>)</w:t>
            </w:r>
          </w:p>
        </w:tc>
      </w:tr>
      <w:tr w:rsidR="004443A0" w:rsidRPr="00ED3950">
        <w:trPr>
          <w:trHeight w:val="20"/>
        </w:trPr>
        <w:tc>
          <w:tcPr>
            <w:tcW w:w="1271" w:type="dxa"/>
            <w:tcMar>
              <w:right w:w="57" w:type="dxa"/>
            </w:tcMar>
          </w:tcPr>
          <w:p w:rsidR="005840C5" w:rsidRPr="00ED3950" w:rsidRDefault="00ED3950">
            <w:pPr>
              <w:spacing w:line="260" w:lineRule="atLeast"/>
              <w:ind w:left="0"/>
              <w:rPr>
                <w:szCs w:val="18"/>
                <w:lang w:val="cs-CZ"/>
              </w:rPr>
            </w:pPr>
            <w:r w:rsidRPr="00ED3950">
              <w:rPr>
                <w:szCs w:val="18"/>
                <w:lang w:val="cs-CZ"/>
              </w:rPr>
              <w:t>10.</w:t>
            </w:r>
            <w:r w:rsidRPr="00ED3950">
              <w:rPr>
                <w:szCs w:val="18"/>
                <w:lang w:val="cs-CZ"/>
              </w:rPr>
              <w:t xml:space="preserve">15 </w:t>
            </w:r>
            <w:r w:rsidRPr="00ED3950">
              <w:rPr>
                <w:szCs w:val="18"/>
                <w:lang w:val="cs-CZ"/>
              </w:rPr>
              <w:t xml:space="preserve">- </w:t>
            </w:r>
            <w:r w:rsidRPr="00ED3950">
              <w:rPr>
                <w:szCs w:val="18"/>
                <w:lang w:val="cs-CZ"/>
              </w:rPr>
              <w:t>10</w:t>
            </w:r>
            <w:r w:rsidRPr="00ED3950">
              <w:rPr>
                <w:szCs w:val="18"/>
                <w:lang w:val="cs-CZ"/>
              </w:rPr>
              <w:t>.</w:t>
            </w:r>
            <w:r w:rsidRPr="00ED3950">
              <w:rPr>
                <w:szCs w:val="18"/>
                <w:lang w:val="cs-CZ"/>
              </w:rPr>
              <w:t>30</w:t>
            </w:r>
          </w:p>
        </w:tc>
        <w:tc>
          <w:tcPr>
            <w:tcW w:w="4820" w:type="dxa"/>
          </w:tcPr>
          <w:p w:rsidR="005840C5" w:rsidRPr="00ED3950" w:rsidRDefault="00ED3950">
            <w:pPr>
              <w:spacing w:line="260" w:lineRule="atLeast"/>
              <w:ind w:left="0"/>
              <w:rPr>
                <w:color w:val="000000" w:themeColor="text1"/>
                <w:szCs w:val="18"/>
                <w:lang w:val="cs-CZ"/>
              </w:rPr>
            </w:pPr>
            <w:r w:rsidRPr="00ED3950">
              <w:rPr>
                <w:b/>
                <w:bCs/>
                <w:color w:val="000000" w:themeColor="text1"/>
                <w:szCs w:val="18"/>
                <w:lang w:val="cs-CZ"/>
              </w:rPr>
              <w:t xml:space="preserve">Kontext v Česku: </w:t>
            </w:r>
            <w:r w:rsidRPr="00ED3950">
              <w:rPr>
                <w:color w:val="000000" w:themeColor="text1"/>
                <w:szCs w:val="18"/>
                <w:lang w:val="cs-CZ"/>
              </w:rPr>
              <w:t xml:space="preserve">představení jejich zkušeností, výzev a poznatků </w:t>
            </w:r>
          </w:p>
        </w:tc>
        <w:tc>
          <w:tcPr>
            <w:tcW w:w="2687" w:type="dxa"/>
          </w:tcPr>
          <w:p w:rsidR="005840C5" w:rsidRPr="00ED3950" w:rsidRDefault="00ED3950">
            <w:pPr>
              <w:spacing w:line="260" w:lineRule="atLeast"/>
              <w:ind w:left="0"/>
              <w:rPr>
                <w:color w:val="000000" w:themeColor="text1"/>
                <w:szCs w:val="18"/>
                <w:lang w:val="cs-CZ"/>
              </w:rPr>
            </w:pPr>
            <w:r w:rsidRPr="00ED3950">
              <w:rPr>
                <w:color w:val="000000" w:themeColor="text1"/>
                <w:szCs w:val="18"/>
                <w:lang w:val="cs-CZ"/>
              </w:rPr>
              <w:t xml:space="preserve">Ivana </w:t>
            </w:r>
            <w:r w:rsidRPr="00ED3950">
              <w:rPr>
                <w:color w:val="000000" w:themeColor="text1"/>
                <w:lang w:val="cs-CZ" w:eastAsia="en-GB"/>
              </w:rPr>
              <w:t>Ptáčková</w:t>
            </w:r>
            <w:r w:rsidRPr="00ED3950">
              <w:rPr>
                <w:color w:val="000000" w:themeColor="text1"/>
                <w:szCs w:val="18"/>
                <w:lang w:val="cs-CZ"/>
              </w:rPr>
              <w:t xml:space="preserve">, Ministerstvo průmyslu a obchodu (Česko) </w:t>
            </w:r>
          </w:p>
        </w:tc>
      </w:tr>
      <w:tr w:rsidR="004443A0" w:rsidRPr="00ED3950">
        <w:trPr>
          <w:trHeight w:val="20"/>
        </w:trPr>
        <w:tc>
          <w:tcPr>
            <w:tcW w:w="1271" w:type="dxa"/>
            <w:tcMar>
              <w:right w:w="57" w:type="dxa"/>
            </w:tcMar>
          </w:tcPr>
          <w:p w:rsidR="005840C5" w:rsidRPr="00ED3950" w:rsidRDefault="00ED3950">
            <w:pPr>
              <w:spacing w:line="260" w:lineRule="atLeast"/>
              <w:ind w:left="0"/>
              <w:rPr>
                <w:szCs w:val="18"/>
                <w:lang w:val="cs-CZ"/>
              </w:rPr>
            </w:pPr>
            <w:r w:rsidRPr="00ED3950">
              <w:rPr>
                <w:szCs w:val="18"/>
                <w:lang w:val="cs-CZ"/>
              </w:rPr>
              <w:t>10.30 - 10.</w:t>
            </w:r>
            <w:r w:rsidRPr="00ED3950" w:rsidDel="004B3E58">
              <w:rPr>
                <w:szCs w:val="18"/>
                <w:lang w:val="cs-CZ"/>
              </w:rPr>
              <w:t>45</w:t>
            </w:r>
          </w:p>
        </w:tc>
        <w:tc>
          <w:tcPr>
            <w:tcW w:w="4820" w:type="dxa"/>
          </w:tcPr>
          <w:p w:rsidR="005840C5" w:rsidRPr="00ED3950" w:rsidRDefault="00ED3950">
            <w:pPr>
              <w:spacing w:line="260" w:lineRule="atLeast"/>
              <w:ind w:left="0"/>
              <w:rPr>
                <w:lang w:val="cs-CZ"/>
              </w:rPr>
            </w:pPr>
            <w:r w:rsidRPr="00ED3950">
              <w:rPr>
                <w:b/>
                <w:bCs/>
                <w:lang w:val="cs-CZ"/>
              </w:rPr>
              <w:t xml:space="preserve">Případ 1: </w:t>
            </w:r>
            <w:r w:rsidRPr="00ED3950">
              <w:rPr>
                <w:lang w:val="cs-CZ"/>
              </w:rPr>
              <w:t>Přístup k hodnocení DNSH pro ekologické inovační technologie</w:t>
            </w:r>
          </w:p>
        </w:tc>
        <w:tc>
          <w:tcPr>
            <w:tcW w:w="2687" w:type="dxa"/>
          </w:tcPr>
          <w:p w:rsidR="005840C5" w:rsidRPr="00ED3950" w:rsidRDefault="00ED3950">
            <w:pPr>
              <w:spacing w:line="260" w:lineRule="atLeast"/>
              <w:ind w:left="0"/>
              <w:rPr>
                <w:szCs w:val="18"/>
                <w:highlight w:val="yellow"/>
                <w:lang w:val="cs-CZ"/>
              </w:rPr>
            </w:pPr>
            <w:proofErr w:type="spellStart"/>
            <w:r w:rsidRPr="00ED3950">
              <w:rPr>
                <w:szCs w:val="18"/>
                <w:lang w:val="cs-CZ"/>
              </w:rPr>
              <w:t>Juha</w:t>
            </w:r>
            <w:proofErr w:type="spellEnd"/>
            <w:r w:rsidRPr="00ED3950">
              <w:rPr>
                <w:szCs w:val="18"/>
                <w:lang w:val="cs-CZ"/>
              </w:rPr>
              <w:t xml:space="preserve"> </w:t>
            </w:r>
            <w:proofErr w:type="spellStart"/>
            <w:r w:rsidRPr="00ED3950">
              <w:rPr>
                <w:szCs w:val="18"/>
                <w:lang w:val="cs-CZ"/>
              </w:rPr>
              <w:t>Ollikainen</w:t>
            </w:r>
            <w:proofErr w:type="spellEnd"/>
            <w:r w:rsidRPr="00ED3950">
              <w:rPr>
                <w:szCs w:val="18"/>
                <w:lang w:val="cs-CZ"/>
              </w:rPr>
              <w:t>, Finský klimatický fond (Finsko)</w:t>
            </w:r>
          </w:p>
        </w:tc>
      </w:tr>
      <w:tr w:rsidR="004443A0" w:rsidRPr="00ED3950">
        <w:trPr>
          <w:trHeight w:val="20"/>
        </w:trPr>
        <w:tc>
          <w:tcPr>
            <w:tcW w:w="1271" w:type="dxa"/>
            <w:tcMar>
              <w:right w:w="57" w:type="dxa"/>
            </w:tcMar>
          </w:tcPr>
          <w:p w:rsidR="005840C5" w:rsidRPr="00ED3950" w:rsidRDefault="00ED3950">
            <w:pPr>
              <w:spacing w:line="260" w:lineRule="atLeast"/>
              <w:ind w:left="0"/>
              <w:rPr>
                <w:szCs w:val="18"/>
                <w:lang w:val="cs-CZ"/>
              </w:rPr>
            </w:pPr>
            <w:r w:rsidRPr="00ED3950">
              <w:rPr>
                <w:szCs w:val="18"/>
                <w:lang w:val="cs-CZ"/>
              </w:rPr>
              <w:t>10</w:t>
            </w:r>
            <w:r w:rsidRPr="00ED3950">
              <w:rPr>
                <w:szCs w:val="18"/>
                <w:lang w:val="cs-CZ"/>
              </w:rPr>
              <w:t>.</w:t>
            </w:r>
            <w:r w:rsidRPr="00ED3950" w:rsidDel="004B3E58">
              <w:rPr>
                <w:szCs w:val="18"/>
                <w:lang w:val="cs-CZ"/>
              </w:rPr>
              <w:t xml:space="preserve">45 </w:t>
            </w:r>
            <w:r w:rsidRPr="00ED3950">
              <w:rPr>
                <w:szCs w:val="18"/>
                <w:lang w:val="cs-CZ"/>
              </w:rPr>
              <w:t xml:space="preserve">- </w:t>
            </w:r>
            <w:r w:rsidRPr="00ED3950">
              <w:rPr>
                <w:szCs w:val="18"/>
                <w:lang w:val="cs-CZ"/>
              </w:rPr>
              <w:t>11</w:t>
            </w:r>
            <w:r w:rsidRPr="00ED3950">
              <w:rPr>
                <w:szCs w:val="18"/>
                <w:lang w:val="cs-CZ"/>
              </w:rPr>
              <w:t>.</w:t>
            </w:r>
            <w:r w:rsidRPr="00ED3950">
              <w:rPr>
                <w:szCs w:val="18"/>
                <w:lang w:val="cs-CZ"/>
              </w:rPr>
              <w:t>00</w:t>
            </w:r>
          </w:p>
        </w:tc>
        <w:tc>
          <w:tcPr>
            <w:tcW w:w="4820" w:type="dxa"/>
          </w:tcPr>
          <w:p w:rsidR="005840C5" w:rsidRPr="00ED3950" w:rsidRDefault="00ED3950">
            <w:pPr>
              <w:spacing w:line="260" w:lineRule="atLeast"/>
              <w:ind w:left="0"/>
              <w:rPr>
                <w:lang w:val="cs-CZ"/>
              </w:rPr>
            </w:pPr>
            <w:r w:rsidRPr="00ED3950">
              <w:rPr>
                <w:b/>
                <w:bCs/>
                <w:lang w:val="cs-CZ"/>
              </w:rPr>
              <w:t>Případ 2</w:t>
            </w:r>
            <w:r w:rsidRPr="00ED3950">
              <w:rPr>
                <w:lang w:val="cs-CZ"/>
              </w:rPr>
              <w:t xml:space="preserve">: </w:t>
            </w:r>
            <w:r w:rsidRPr="00ED3950">
              <w:rPr>
                <w:lang w:val="cs-CZ"/>
              </w:rPr>
              <w:t xml:space="preserve">Přístup a metodika pro </w:t>
            </w:r>
            <w:r w:rsidRPr="00ED3950">
              <w:rPr>
                <w:lang w:val="cs-CZ"/>
              </w:rPr>
              <w:t xml:space="preserve">ekologizaci </w:t>
            </w:r>
            <w:r w:rsidRPr="00ED3950">
              <w:rPr>
                <w:lang w:val="cs-CZ"/>
              </w:rPr>
              <w:t xml:space="preserve">státního rozpočtu </w:t>
            </w:r>
            <w:r w:rsidRPr="00ED3950">
              <w:rPr>
                <w:lang w:val="cs-CZ"/>
              </w:rPr>
              <w:t>v Rakousku</w:t>
            </w:r>
          </w:p>
        </w:tc>
        <w:tc>
          <w:tcPr>
            <w:tcW w:w="2687" w:type="dxa"/>
          </w:tcPr>
          <w:p w:rsidR="005840C5" w:rsidRPr="00ED3950" w:rsidRDefault="00ED3950">
            <w:pPr>
              <w:spacing w:line="260" w:lineRule="atLeast"/>
              <w:ind w:left="0"/>
              <w:rPr>
                <w:szCs w:val="18"/>
                <w:lang w:val="cs-CZ"/>
              </w:rPr>
            </w:pPr>
            <w:proofErr w:type="spellStart"/>
            <w:r w:rsidRPr="00ED3950">
              <w:rPr>
                <w:color w:val="000000" w:themeColor="text1"/>
                <w:szCs w:val="18"/>
                <w:lang w:val="cs-CZ"/>
              </w:rPr>
              <w:t>Kerstin</w:t>
            </w:r>
            <w:proofErr w:type="spellEnd"/>
            <w:r w:rsidRPr="00ED3950">
              <w:rPr>
                <w:color w:val="000000" w:themeColor="text1"/>
                <w:szCs w:val="18"/>
                <w:lang w:val="cs-CZ"/>
              </w:rPr>
              <w:t xml:space="preserve"> </w:t>
            </w:r>
            <w:proofErr w:type="spellStart"/>
            <w:r w:rsidRPr="00ED3950">
              <w:rPr>
                <w:color w:val="000000" w:themeColor="text1"/>
                <w:szCs w:val="18"/>
                <w:lang w:val="cs-CZ"/>
              </w:rPr>
              <w:t>Haider</w:t>
            </w:r>
            <w:proofErr w:type="spellEnd"/>
            <w:r w:rsidRPr="00ED3950">
              <w:rPr>
                <w:color w:val="000000" w:themeColor="text1"/>
                <w:szCs w:val="18"/>
                <w:lang w:val="cs-CZ"/>
              </w:rPr>
              <w:t>, Ministerstvo financí (Rakousko)</w:t>
            </w:r>
          </w:p>
        </w:tc>
      </w:tr>
      <w:tr w:rsidR="004443A0" w:rsidRPr="00ED3950">
        <w:trPr>
          <w:trHeight w:val="20"/>
        </w:trPr>
        <w:tc>
          <w:tcPr>
            <w:tcW w:w="1271" w:type="dxa"/>
            <w:tcMar>
              <w:right w:w="57" w:type="dxa"/>
            </w:tcMar>
          </w:tcPr>
          <w:p w:rsidR="005840C5" w:rsidRPr="00ED3950" w:rsidRDefault="00ED3950">
            <w:pPr>
              <w:spacing w:line="260" w:lineRule="atLeast"/>
              <w:ind w:left="0"/>
              <w:rPr>
                <w:i/>
                <w:iCs/>
                <w:szCs w:val="18"/>
                <w:lang w:val="cs-CZ"/>
              </w:rPr>
            </w:pPr>
            <w:r w:rsidRPr="00ED3950">
              <w:rPr>
                <w:i/>
                <w:iCs/>
                <w:szCs w:val="18"/>
                <w:lang w:val="cs-CZ"/>
              </w:rPr>
              <w:t>11.</w:t>
            </w:r>
            <w:r w:rsidRPr="00ED3950">
              <w:rPr>
                <w:i/>
                <w:iCs/>
                <w:szCs w:val="18"/>
                <w:lang w:val="cs-CZ"/>
              </w:rPr>
              <w:t xml:space="preserve">00 </w:t>
            </w:r>
            <w:r w:rsidRPr="00ED3950">
              <w:rPr>
                <w:i/>
                <w:iCs/>
                <w:szCs w:val="18"/>
                <w:lang w:val="cs-CZ"/>
              </w:rPr>
              <w:t>- 11.</w:t>
            </w:r>
            <w:r w:rsidRPr="00ED3950">
              <w:rPr>
                <w:i/>
                <w:iCs/>
                <w:szCs w:val="18"/>
                <w:lang w:val="cs-CZ"/>
              </w:rPr>
              <w:t>15</w:t>
            </w:r>
          </w:p>
        </w:tc>
        <w:tc>
          <w:tcPr>
            <w:tcW w:w="7507" w:type="dxa"/>
            <w:gridSpan w:val="2"/>
          </w:tcPr>
          <w:p w:rsidR="005840C5" w:rsidRPr="00ED3950" w:rsidRDefault="00ED3950">
            <w:pPr>
              <w:spacing w:line="260" w:lineRule="atLeast"/>
              <w:ind w:left="0"/>
              <w:rPr>
                <w:i/>
                <w:iCs/>
                <w:szCs w:val="18"/>
                <w:lang w:val="cs-CZ"/>
              </w:rPr>
            </w:pPr>
            <w:r w:rsidRPr="00ED3950">
              <w:rPr>
                <w:i/>
                <w:iCs/>
                <w:szCs w:val="18"/>
                <w:lang w:val="cs-CZ"/>
              </w:rPr>
              <w:t>Přestávka na kávu</w:t>
            </w:r>
          </w:p>
        </w:tc>
      </w:tr>
      <w:tr w:rsidR="004443A0" w:rsidRPr="00ED3950">
        <w:trPr>
          <w:trHeight w:val="20"/>
        </w:trPr>
        <w:tc>
          <w:tcPr>
            <w:tcW w:w="0" w:type="auto"/>
            <w:gridSpan w:val="3"/>
            <w:shd w:val="clear" w:color="auto" w:fill="005962" w:themeFill="accent1"/>
            <w:tcMar>
              <w:right w:w="57" w:type="dxa"/>
            </w:tcMar>
          </w:tcPr>
          <w:p w:rsidR="005840C5" w:rsidRPr="00ED3950" w:rsidRDefault="00ED3950">
            <w:pPr>
              <w:spacing w:line="260" w:lineRule="atLeast"/>
              <w:ind w:left="0"/>
              <w:rPr>
                <w:b/>
                <w:bCs/>
                <w:color w:val="FFFFFF" w:themeColor="background1"/>
                <w:szCs w:val="18"/>
                <w:lang w:val="cs-CZ"/>
              </w:rPr>
            </w:pPr>
            <w:r w:rsidRPr="00ED3950">
              <w:rPr>
                <w:b/>
                <w:bCs/>
                <w:color w:val="FFFFFF" w:themeColor="background1"/>
                <w:szCs w:val="18"/>
                <w:lang w:val="cs-CZ"/>
              </w:rPr>
              <w:t xml:space="preserve">Část II: Panelová diskuse </w:t>
            </w:r>
            <w:r w:rsidRPr="00ED3950">
              <w:rPr>
                <w:b/>
                <w:bCs/>
                <w:color w:val="FFFFFF" w:themeColor="background1"/>
                <w:szCs w:val="18"/>
                <w:lang w:val="cs-CZ"/>
              </w:rPr>
              <w:t xml:space="preserve">- </w:t>
            </w:r>
            <w:r w:rsidRPr="00ED3950">
              <w:rPr>
                <w:b/>
                <w:bCs/>
                <w:color w:val="FFFFFF" w:themeColor="background1"/>
                <w:szCs w:val="18"/>
                <w:lang w:val="cs-CZ"/>
              </w:rPr>
              <w:t xml:space="preserve">Uplatnění </w:t>
            </w:r>
            <w:r w:rsidRPr="00ED3950">
              <w:rPr>
                <w:b/>
                <w:bCs/>
                <w:color w:val="FFFFFF" w:themeColor="background1"/>
                <w:szCs w:val="18"/>
                <w:lang w:val="cs-CZ"/>
              </w:rPr>
              <w:t xml:space="preserve">principu DNSH </w:t>
            </w:r>
            <w:r w:rsidRPr="00ED3950">
              <w:rPr>
                <w:b/>
                <w:bCs/>
                <w:color w:val="FFFFFF" w:themeColor="background1"/>
                <w:szCs w:val="18"/>
                <w:lang w:val="cs-CZ"/>
              </w:rPr>
              <w:t>na inovativní zelené technologie</w:t>
            </w:r>
          </w:p>
        </w:tc>
      </w:tr>
      <w:tr w:rsidR="004443A0" w:rsidRPr="00ED3950">
        <w:trPr>
          <w:trHeight w:val="20"/>
        </w:trPr>
        <w:tc>
          <w:tcPr>
            <w:tcW w:w="1271" w:type="dxa"/>
            <w:tcMar>
              <w:right w:w="57" w:type="dxa"/>
            </w:tcMar>
          </w:tcPr>
          <w:p w:rsidR="005840C5" w:rsidRPr="00ED3950" w:rsidRDefault="00ED3950">
            <w:pPr>
              <w:spacing w:line="260" w:lineRule="atLeast"/>
              <w:ind w:left="0"/>
              <w:rPr>
                <w:szCs w:val="18"/>
                <w:lang w:val="cs-CZ"/>
              </w:rPr>
            </w:pPr>
            <w:r w:rsidRPr="00ED3950">
              <w:rPr>
                <w:szCs w:val="18"/>
                <w:lang w:val="cs-CZ"/>
              </w:rPr>
              <w:t>11</w:t>
            </w:r>
            <w:r w:rsidRPr="00ED3950">
              <w:rPr>
                <w:szCs w:val="18"/>
                <w:lang w:val="cs-CZ"/>
              </w:rPr>
              <w:t>.</w:t>
            </w:r>
            <w:r w:rsidRPr="00ED3950">
              <w:rPr>
                <w:szCs w:val="18"/>
                <w:lang w:val="cs-CZ"/>
              </w:rPr>
              <w:t xml:space="preserve">15 </w:t>
            </w:r>
            <w:r w:rsidRPr="00ED3950">
              <w:rPr>
                <w:szCs w:val="18"/>
                <w:lang w:val="cs-CZ"/>
              </w:rPr>
              <w:t>- 12.</w:t>
            </w:r>
            <w:r w:rsidRPr="00ED3950">
              <w:rPr>
                <w:szCs w:val="18"/>
                <w:lang w:val="cs-CZ"/>
              </w:rPr>
              <w:t>20</w:t>
            </w:r>
          </w:p>
        </w:tc>
        <w:tc>
          <w:tcPr>
            <w:tcW w:w="7507" w:type="dxa"/>
            <w:gridSpan w:val="2"/>
          </w:tcPr>
          <w:p w:rsidR="005840C5" w:rsidRPr="00ED3950" w:rsidRDefault="00ED3950">
            <w:pPr>
              <w:spacing w:line="260" w:lineRule="atLeast"/>
              <w:ind w:left="0"/>
              <w:rPr>
                <w:lang w:val="cs-CZ"/>
              </w:rPr>
            </w:pPr>
            <w:r w:rsidRPr="00ED3950">
              <w:rPr>
                <w:b/>
                <w:lang w:val="cs-CZ"/>
              </w:rPr>
              <w:t>Moderátor</w:t>
            </w:r>
            <w:r w:rsidRPr="00ED3950">
              <w:rPr>
                <w:lang w:val="cs-CZ"/>
              </w:rPr>
              <w:t xml:space="preserve">: </w:t>
            </w:r>
            <w:r w:rsidRPr="00ED3950">
              <w:rPr>
                <w:color w:val="000000" w:themeColor="text1"/>
                <w:lang w:val="cs-CZ"/>
              </w:rPr>
              <w:t xml:space="preserve">Linda </w:t>
            </w:r>
            <w:proofErr w:type="spellStart"/>
            <w:r w:rsidRPr="00ED3950">
              <w:rPr>
                <w:color w:val="000000" w:themeColor="text1"/>
                <w:lang w:val="cs-CZ"/>
              </w:rPr>
              <w:t>Zeilina</w:t>
            </w:r>
            <w:proofErr w:type="spellEnd"/>
            <w:r w:rsidRPr="00ED3950">
              <w:rPr>
                <w:color w:val="000000" w:themeColor="text1"/>
                <w:lang w:val="cs-CZ"/>
              </w:rPr>
              <w:t xml:space="preserve"> (ISFC)</w:t>
            </w:r>
          </w:p>
          <w:p w:rsidR="005840C5" w:rsidRPr="00ED3950" w:rsidRDefault="00ED3950">
            <w:pPr>
              <w:spacing w:line="260" w:lineRule="atLeast"/>
              <w:ind w:left="0"/>
              <w:rPr>
                <w:szCs w:val="18"/>
                <w:lang w:val="cs-CZ"/>
              </w:rPr>
            </w:pPr>
            <w:r w:rsidRPr="00ED3950">
              <w:rPr>
                <w:b/>
                <w:bCs/>
                <w:szCs w:val="18"/>
                <w:lang w:val="cs-CZ"/>
              </w:rPr>
              <w:t>Členové panelu</w:t>
            </w:r>
            <w:r w:rsidRPr="00ED3950">
              <w:rPr>
                <w:szCs w:val="18"/>
                <w:lang w:val="cs-CZ"/>
              </w:rPr>
              <w:t xml:space="preserve">: </w:t>
            </w:r>
          </w:p>
          <w:p w:rsidR="005840C5" w:rsidRPr="00ED3950" w:rsidRDefault="00ED3950">
            <w:pPr>
              <w:pStyle w:val="Odstavecseseznamem"/>
              <w:numPr>
                <w:ilvl w:val="0"/>
                <w:numId w:val="14"/>
              </w:numPr>
              <w:tabs>
                <w:tab w:val="clear" w:pos="851"/>
                <w:tab w:val="left" w:pos="181"/>
              </w:tabs>
              <w:spacing w:line="260" w:lineRule="atLeast"/>
              <w:ind w:left="181" w:hanging="181"/>
              <w:rPr>
                <w:color w:val="000000" w:themeColor="text1"/>
                <w:szCs w:val="18"/>
                <w:lang w:val="cs-CZ"/>
              </w:rPr>
            </w:pPr>
            <w:r w:rsidRPr="00ED3950">
              <w:rPr>
                <w:color w:val="000000" w:themeColor="text1"/>
                <w:szCs w:val="18"/>
                <w:lang w:val="cs-CZ"/>
              </w:rPr>
              <w:t xml:space="preserve">Ivana </w:t>
            </w:r>
            <w:r w:rsidRPr="00ED3950">
              <w:rPr>
                <w:color w:val="000000" w:themeColor="text1"/>
                <w:lang w:val="cs-CZ" w:eastAsia="en-GB"/>
              </w:rPr>
              <w:t>Ptáčková</w:t>
            </w:r>
            <w:r w:rsidRPr="00ED3950">
              <w:rPr>
                <w:color w:val="000000" w:themeColor="text1"/>
                <w:szCs w:val="18"/>
                <w:lang w:val="cs-CZ"/>
              </w:rPr>
              <w:t>, Ministerstvo průmyslu a obchodu (Česko)</w:t>
            </w:r>
          </w:p>
          <w:p w:rsidR="005840C5" w:rsidRPr="00ED3950" w:rsidRDefault="00ED3950">
            <w:pPr>
              <w:pStyle w:val="Odstavecseseznamem"/>
              <w:numPr>
                <w:ilvl w:val="0"/>
                <w:numId w:val="14"/>
              </w:numPr>
              <w:tabs>
                <w:tab w:val="clear" w:pos="851"/>
                <w:tab w:val="left" w:pos="181"/>
              </w:tabs>
              <w:spacing w:line="260" w:lineRule="atLeast"/>
              <w:ind w:left="181" w:hanging="181"/>
              <w:rPr>
                <w:szCs w:val="18"/>
                <w:lang w:val="cs-CZ"/>
              </w:rPr>
            </w:pPr>
            <w:proofErr w:type="spellStart"/>
            <w:r w:rsidRPr="00ED3950">
              <w:rPr>
                <w:szCs w:val="18"/>
                <w:lang w:val="cs-CZ"/>
              </w:rPr>
              <w:t>Kerstin</w:t>
            </w:r>
            <w:proofErr w:type="spellEnd"/>
            <w:r w:rsidRPr="00ED3950">
              <w:rPr>
                <w:szCs w:val="18"/>
                <w:lang w:val="cs-CZ"/>
              </w:rPr>
              <w:t xml:space="preserve"> </w:t>
            </w:r>
            <w:proofErr w:type="spellStart"/>
            <w:r w:rsidRPr="00ED3950">
              <w:rPr>
                <w:szCs w:val="18"/>
                <w:lang w:val="cs-CZ"/>
              </w:rPr>
              <w:t>Haider</w:t>
            </w:r>
            <w:proofErr w:type="spellEnd"/>
            <w:r w:rsidRPr="00ED3950">
              <w:rPr>
                <w:szCs w:val="18"/>
                <w:lang w:val="cs-CZ"/>
              </w:rPr>
              <w:t>, Ministerstvo financí (Rakousko)</w:t>
            </w:r>
          </w:p>
          <w:p w:rsidR="005840C5" w:rsidRPr="00ED3950" w:rsidRDefault="00ED3950">
            <w:pPr>
              <w:pStyle w:val="Odstavecseseznamem"/>
              <w:numPr>
                <w:ilvl w:val="0"/>
                <w:numId w:val="14"/>
              </w:numPr>
              <w:tabs>
                <w:tab w:val="clear" w:pos="851"/>
                <w:tab w:val="left" w:pos="181"/>
              </w:tabs>
              <w:spacing w:line="260" w:lineRule="atLeast"/>
              <w:ind w:left="181" w:hanging="181"/>
              <w:rPr>
                <w:szCs w:val="18"/>
                <w:lang w:val="cs-CZ"/>
              </w:rPr>
            </w:pPr>
            <w:proofErr w:type="spellStart"/>
            <w:r w:rsidRPr="00ED3950">
              <w:rPr>
                <w:szCs w:val="18"/>
                <w:lang w:val="cs-CZ"/>
              </w:rPr>
              <w:t>Juha</w:t>
            </w:r>
            <w:proofErr w:type="spellEnd"/>
            <w:r w:rsidRPr="00ED3950">
              <w:rPr>
                <w:szCs w:val="18"/>
                <w:lang w:val="cs-CZ"/>
              </w:rPr>
              <w:t xml:space="preserve"> </w:t>
            </w:r>
            <w:proofErr w:type="spellStart"/>
            <w:r w:rsidRPr="00ED3950">
              <w:rPr>
                <w:szCs w:val="18"/>
                <w:lang w:val="cs-CZ"/>
              </w:rPr>
              <w:t>Ollikainen</w:t>
            </w:r>
            <w:proofErr w:type="spellEnd"/>
            <w:r w:rsidRPr="00ED3950">
              <w:rPr>
                <w:szCs w:val="18"/>
                <w:lang w:val="cs-CZ"/>
              </w:rPr>
              <w:t>, Finský klimatický fond (Finsko)</w:t>
            </w:r>
          </w:p>
          <w:p w:rsidR="005840C5" w:rsidRPr="00ED3950" w:rsidRDefault="00ED3950">
            <w:pPr>
              <w:pStyle w:val="Odstavecseseznamem"/>
              <w:numPr>
                <w:ilvl w:val="0"/>
                <w:numId w:val="14"/>
              </w:numPr>
              <w:tabs>
                <w:tab w:val="clear" w:pos="851"/>
                <w:tab w:val="left" w:pos="181"/>
              </w:tabs>
              <w:spacing w:line="260" w:lineRule="atLeast"/>
              <w:ind w:left="181" w:hanging="181"/>
              <w:rPr>
                <w:szCs w:val="18"/>
                <w:lang w:val="cs-CZ"/>
              </w:rPr>
            </w:pPr>
            <w:proofErr w:type="spellStart"/>
            <w:r w:rsidRPr="00ED3950">
              <w:rPr>
                <w:szCs w:val="18"/>
                <w:lang w:val="cs-CZ"/>
              </w:rPr>
              <w:t>Lucía</w:t>
            </w:r>
            <w:proofErr w:type="spellEnd"/>
            <w:r w:rsidRPr="00ED3950">
              <w:rPr>
                <w:szCs w:val="18"/>
                <w:lang w:val="cs-CZ"/>
              </w:rPr>
              <w:t xml:space="preserve"> </w:t>
            </w:r>
            <w:proofErr w:type="spellStart"/>
            <w:r w:rsidRPr="00ED3950">
              <w:rPr>
                <w:szCs w:val="18"/>
                <w:lang w:val="cs-CZ"/>
              </w:rPr>
              <w:t>Cobo</w:t>
            </w:r>
            <w:proofErr w:type="spellEnd"/>
            <w:r w:rsidRPr="00ED3950">
              <w:rPr>
                <w:szCs w:val="18"/>
                <w:lang w:val="cs-CZ"/>
              </w:rPr>
              <w:t xml:space="preserve">, Ministerstvo pro ekologický přechod a demografické výzvy </w:t>
            </w:r>
            <w:r w:rsidRPr="00ED3950">
              <w:rPr>
                <w:szCs w:val="18"/>
                <w:lang w:val="cs-CZ"/>
              </w:rPr>
              <w:t xml:space="preserve">(Španělsko) </w:t>
            </w:r>
            <w:r w:rsidRPr="00ED3950">
              <w:rPr>
                <w:i/>
                <w:iCs/>
                <w:szCs w:val="18"/>
                <w:lang w:val="cs-CZ"/>
              </w:rPr>
              <w:t>(tbc)</w:t>
            </w:r>
          </w:p>
          <w:p w:rsidR="005840C5" w:rsidRPr="00ED3950" w:rsidRDefault="00ED3950">
            <w:pPr>
              <w:pStyle w:val="Odstavecseseznamem"/>
              <w:numPr>
                <w:ilvl w:val="0"/>
                <w:numId w:val="14"/>
              </w:numPr>
              <w:tabs>
                <w:tab w:val="clear" w:pos="851"/>
                <w:tab w:val="left" w:pos="181"/>
              </w:tabs>
              <w:spacing w:line="260" w:lineRule="atLeast"/>
              <w:ind w:left="181" w:hanging="181"/>
              <w:rPr>
                <w:szCs w:val="18"/>
                <w:lang w:val="cs-CZ"/>
              </w:rPr>
            </w:pPr>
            <w:proofErr w:type="spellStart"/>
            <w:r w:rsidRPr="00ED3950">
              <w:rPr>
                <w:rStyle w:val="ui-provider"/>
                <w:lang w:val="cs-CZ"/>
              </w:rPr>
              <w:t>Siina</w:t>
            </w:r>
            <w:proofErr w:type="spellEnd"/>
            <w:r w:rsidRPr="00ED3950">
              <w:rPr>
                <w:rStyle w:val="ui-provider"/>
                <w:lang w:val="cs-CZ"/>
              </w:rPr>
              <w:t xml:space="preserve"> </w:t>
            </w:r>
            <w:proofErr w:type="spellStart"/>
            <w:r w:rsidRPr="00ED3950">
              <w:rPr>
                <w:lang w:val="cs-CZ" w:eastAsia="fi-FI"/>
              </w:rPr>
              <w:t>Lepola-Lång</w:t>
            </w:r>
            <w:proofErr w:type="spellEnd"/>
            <w:r w:rsidRPr="00ED3950">
              <w:rPr>
                <w:rStyle w:val="ui-provider"/>
                <w:lang w:val="cs-CZ"/>
              </w:rPr>
              <w:t xml:space="preserve">, Ministerstvo hospodářství a zaměstnanosti (Finsko) </w:t>
            </w:r>
            <w:r w:rsidRPr="00ED3950">
              <w:rPr>
                <w:rStyle w:val="ui-provider"/>
                <w:i/>
                <w:iCs/>
                <w:lang w:val="cs-CZ"/>
              </w:rPr>
              <w:t>(tbc</w:t>
            </w:r>
            <w:r w:rsidRPr="00ED3950">
              <w:rPr>
                <w:rStyle w:val="ui-provider"/>
                <w:i/>
                <w:lang w:val="cs-CZ"/>
              </w:rPr>
              <w:t>)</w:t>
            </w:r>
          </w:p>
        </w:tc>
      </w:tr>
      <w:tr w:rsidR="004443A0" w:rsidRPr="00ED3950">
        <w:trPr>
          <w:trHeight w:val="20"/>
        </w:trPr>
        <w:tc>
          <w:tcPr>
            <w:tcW w:w="1271" w:type="dxa"/>
            <w:tcMar>
              <w:right w:w="57" w:type="dxa"/>
            </w:tcMar>
          </w:tcPr>
          <w:p w:rsidR="005840C5" w:rsidRPr="00ED3950" w:rsidRDefault="00ED3950">
            <w:pPr>
              <w:spacing w:line="260" w:lineRule="atLeast"/>
              <w:ind w:left="0"/>
              <w:rPr>
                <w:szCs w:val="18"/>
                <w:lang w:val="cs-CZ"/>
              </w:rPr>
            </w:pPr>
            <w:r w:rsidRPr="00ED3950">
              <w:rPr>
                <w:szCs w:val="18"/>
                <w:lang w:val="cs-CZ"/>
              </w:rPr>
              <w:t>12.</w:t>
            </w:r>
            <w:r w:rsidRPr="00ED3950">
              <w:rPr>
                <w:szCs w:val="18"/>
                <w:lang w:val="cs-CZ"/>
              </w:rPr>
              <w:t xml:space="preserve">20 - 12.25 </w:t>
            </w:r>
          </w:p>
        </w:tc>
        <w:tc>
          <w:tcPr>
            <w:tcW w:w="4820" w:type="dxa"/>
          </w:tcPr>
          <w:p w:rsidR="005840C5" w:rsidRPr="00ED3950" w:rsidRDefault="00ED3950">
            <w:pPr>
              <w:spacing w:line="260" w:lineRule="atLeast"/>
              <w:ind w:left="0"/>
              <w:rPr>
                <w:szCs w:val="18"/>
                <w:lang w:val="cs-CZ"/>
              </w:rPr>
            </w:pPr>
            <w:r w:rsidRPr="00ED3950">
              <w:rPr>
                <w:szCs w:val="18"/>
                <w:lang w:val="cs-CZ"/>
              </w:rPr>
              <w:t>Úvahy</w:t>
            </w:r>
            <w:r w:rsidRPr="00ED3950">
              <w:rPr>
                <w:szCs w:val="18"/>
                <w:lang w:val="cs-CZ"/>
              </w:rPr>
              <w:t xml:space="preserve"> o hlavních poznatcích </w:t>
            </w:r>
            <w:r w:rsidRPr="00ED3950">
              <w:rPr>
                <w:szCs w:val="18"/>
                <w:lang w:val="cs-CZ"/>
              </w:rPr>
              <w:t>a dalších krocích z české perspektivy</w:t>
            </w:r>
          </w:p>
        </w:tc>
        <w:tc>
          <w:tcPr>
            <w:tcW w:w="2687" w:type="dxa"/>
          </w:tcPr>
          <w:p w:rsidR="005840C5" w:rsidRPr="00ED3950" w:rsidRDefault="00ED3950">
            <w:pPr>
              <w:spacing w:line="260" w:lineRule="atLeast"/>
              <w:ind w:left="0"/>
              <w:rPr>
                <w:szCs w:val="18"/>
                <w:lang w:val="cs-CZ"/>
              </w:rPr>
            </w:pPr>
            <w:r w:rsidRPr="00ED3950">
              <w:rPr>
                <w:szCs w:val="18"/>
                <w:lang w:val="cs-CZ"/>
              </w:rPr>
              <w:t xml:space="preserve">Nikola </w:t>
            </w:r>
            <w:proofErr w:type="spellStart"/>
            <w:r w:rsidRPr="00ED3950">
              <w:rPr>
                <w:szCs w:val="18"/>
                <w:lang w:val="cs-CZ"/>
              </w:rPr>
              <w:t>Blokešová</w:t>
            </w:r>
            <w:proofErr w:type="spellEnd"/>
            <w:r w:rsidRPr="00ED3950">
              <w:rPr>
                <w:szCs w:val="18"/>
                <w:lang w:val="cs-CZ"/>
              </w:rPr>
              <w:t>, Úřad vlády (Česko)</w:t>
            </w:r>
          </w:p>
        </w:tc>
      </w:tr>
      <w:tr w:rsidR="004443A0" w:rsidRPr="00ED3950">
        <w:trPr>
          <w:trHeight w:val="20"/>
        </w:trPr>
        <w:tc>
          <w:tcPr>
            <w:tcW w:w="1271" w:type="dxa"/>
            <w:tcMar>
              <w:right w:w="57" w:type="dxa"/>
            </w:tcMar>
          </w:tcPr>
          <w:p w:rsidR="005840C5" w:rsidRPr="00ED3950" w:rsidRDefault="00ED3950">
            <w:pPr>
              <w:spacing w:line="260" w:lineRule="atLeast"/>
              <w:ind w:left="0"/>
              <w:rPr>
                <w:szCs w:val="18"/>
                <w:lang w:val="cs-CZ"/>
              </w:rPr>
            </w:pPr>
            <w:r w:rsidRPr="00ED3950">
              <w:rPr>
                <w:szCs w:val="18"/>
                <w:lang w:val="cs-CZ"/>
              </w:rPr>
              <w:t>12</w:t>
            </w:r>
            <w:r w:rsidRPr="00ED3950">
              <w:rPr>
                <w:szCs w:val="18"/>
                <w:lang w:val="cs-CZ"/>
              </w:rPr>
              <w:t>.</w:t>
            </w:r>
            <w:r w:rsidRPr="00ED3950">
              <w:rPr>
                <w:szCs w:val="18"/>
                <w:lang w:val="cs-CZ"/>
              </w:rPr>
              <w:t>25 - 12.30</w:t>
            </w:r>
          </w:p>
        </w:tc>
        <w:tc>
          <w:tcPr>
            <w:tcW w:w="4820" w:type="dxa"/>
          </w:tcPr>
          <w:p w:rsidR="005840C5" w:rsidRPr="00ED3950" w:rsidRDefault="00ED3950">
            <w:pPr>
              <w:spacing w:line="260" w:lineRule="atLeast"/>
              <w:ind w:left="0"/>
              <w:rPr>
                <w:szCs w:val="18"/>
                <w:lang w:val="cs-CZ"/>
              </w:rPr>
            </w:pPr>
            <w:r w:rsidRPr="00ED3950">
              <w:rPr>
                <w:szCs w:val="18"/>
                <w:lang w:val="cs-CZ"/>
              </w:rPr>
              <w:t>Závěrečné a závěrečné webové semináře vzájemného učení</w:t>
            </w:r>
          </w:p>
        </w:tc>
        <w:tc>
          <w:tcPr>
            <w:tcW w:w="2687" w:type="dxa"/>
          </w:tcPr>
          <w:p w:rsidR="005840C5" w:rsidRPr="00ED3950" w:rsidRDefault="00ED3950">
            <w:pPr>
              <w:spacing w:line="260" w:lineRule="atLeast"/>
              <w:ind w:left="0"/>
              <w:rPr>
                <w:szCs w:val="18"/>
                <w:lang w:val="cs-CZ"/>
              </w:rPr>
            </w:pPr>
            <w:r w:rsidRPr="00ED3950">
              <w:rPr>
                <w:color w:val="000000" w:themeColor="text1"/>
                <w:szCs w:val="18"/>
                <w:lang w:val="cs-CZ"/>
              </w:rPr>
              <w:t xml:space="preserve">Peter </w:t>
            </w:r>
            <w:proofErr w:type="spellStart"/>
            <w:r w:rsidRPr="00ED3950">
              <w:rPr>
                <w:color w:val="000000" w:themeColor="text1"/>
                <w:szCs w:val="18"/>
                <w:lang w:val="cs-CZ"/>
              </w:rPr>
              <w:t>Janoska</w:t>
            </w:r>
            <w:proofErr w:type="spellEnd"/>
            <w:r w:rsidRPr="00ED3950">
              <w:rPr>
                <w:color w:val="000000" w:themeColor="text1"/>
                <w:szCs w:val="18"/>
                <w:lang w:val="cs-CZ"/>
              </w:rPr>
              <w:t xml:space="preserve"> (</w:t>
            </w:r>
            <w:proofErr w:type="spellStart"/>
            <w:r w:rsidRPr="00ED3950">
              <w:rPr>
                <w:color w:val="000000" w:themeColor="text1"/>
                <w:szCs w:val="18"/>
                <w:lang w:val="cs-CZ"/>
              </w:rPr>
              <w:t>Trinomics</w:t>
            </w:r>
            <w:proofErr w:type="spellEnd"/>
            <w:r w:rsidRPr="00ED3950">
              <w:rPr>
                <w:color w:val="000000" w:themeColor="text1"/>
                <w:szCs w:val="18"/>
                <w:lang w:val="cs-CZ"/>
              </w:rPr>
              <w:t>)</w:t>
            </w:r>
          </w:p>
        </w:tc>
      </w:tr>
    </w:tbl>
    <w:p w:rsidR="004443A0" w:rsidRPr="00ED3950" w:rsidRDefault="004443A0" w:rsidP="004443A0">
      <w:pPr>
        <w:rPr>
          <w:lang w:val="cs-CZ"/>
        </w:rPr>
      </w:pPr>
    </w:p>
    <w:p w:rsidR="005840C5" w:rsidRPr="00ED3950" w:rsidRDefault="00ED3950">
      <w:pPr>
        <w:pStyle w:val="Nadpis4"/>
        <w:ind w:firstLine="0"/>
        <w:rPr>
          <w:lang w:val="cs-CZ"/>
        </w:rPr>
      </w:pPr>
      <w:r w:rsidRPr="00ED3950">
        <w:rPr>
          <w:lang w:val="cs-CZ"/>
        </w:rPr>
        <w:t xml:space="preserve">Řídící otázky pro </w:t>
      </w:r>
      <w:r w:rsidRPr="00ED3950">
        <w:rPr>
          <w:lang w:val="cs-CZ"/>
        </w:rPr>
        <w:t>panelovou diskusi</w:t>
      </w:r>
    </w:p>
    <w:tbl>
      <w:tblPr>
        <w:tblStyle w:val="Table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3A5" w:themeFill="accent4"/>
        <w:tblLook w:val="04A0" w:firstRow="1" w:lastRow="0" w:firstColumn="1" w:lastColumn="0" w:noHBand="0" w:noVBand="1"/>
      </w:tblPr>
      <w:tblGrid>
        <w:gridCol w:w="8778"/>
      </w:tblGrid>
      <w:tr w:rsidR="004443A0" w:rsidRPr="00ED39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8" w:type="dxa"/>
            <w:shd w:val="clear" w:color="auto" w:fill="FFE3A5" w:themeFill="accent4"/>
          </w:tcPr>
          <w:p w:rsidR="005840C5" w:rsidRPr="00ED3950" w:rsidRDefault="00ED3950">
            <w:pPr>
              <w:spacing w:line="280" w:lineRule="atLeast"/>
              <w:rPr>
                <w:color w:val="005962" w:themeColor="accent1"/>
                <w:szCs w:val="18"/>
                <w:lang w:val="cs-CZ"/>
              </w:rPr>
            </w:pPr>
            <w:r w:rsidRPr="00ED3950">
              <w:rPr>
                <w:color w:val="005962" w:themeColor="accent1"/>
                <w:szCs w:val="18"/>
                <w:lang w:val="cs-CZ"/>
              </w:rPr>
              <w:t>O metodikách hodnocení principů DNSH u projektů výzkumu a vývoje a ekologických inovací</w:t>
            </w:r>
          </w:p>
          <w:p w:rsidR="005840C5" w:rsidRPr="00ED3950" w:rsidRDefault="00ED3950">
            <w:pPr>
              <w:pStyle w:val="Odstavecseseznamem"/>
              <w:numPr>
                <w:ilvl w:val="0"/>
                <w:numId w:val="13"/>
              </w:numPr>
              <w:tabs>
                <w:tab w:val="clear" w:pos="851"/>
                <w:tab w:val="left" w:pos="321"/>
              </w:tabs>
              <w:spacing w:line="280" w:lineRule="atLeast"/>
              <w:ind w:left="321" w:hanging="284"/>
              <w:jc w:val="left"/>
              <w:rPr>
                <w:b w:val="0"/>
                <w:color w:val="auto"/>
                <w:szCs w:val="18"/>
                <w:lang w:val="cs-CZ"/>
              </w:rPr>
            </w:pPr>
            <w:r w:rsidRPr="00ED3950">
              <w:rPr>
                <w:b w:val="0"/>
                <w:color w:val="auto"/>
                <w:szCs w:val="18"/>
                <w:lang w:val="cs-CZ"/>
              </w:rPr>
              <w:t xml:space="preserve">Jaký postup je zaveden, když řídicí orgán dojde k závěru, že projekt nebo program nemá DNSH TSC? Jsou tyto případy upraveny v řídicí struktuře posuzování DNSH? </w:t>
            </w:r>
          </w:p>
          <w:p w:rsidR="005840C5" w:rsidRPr="00ED3950" w:rsidRDefault="00ED3950">
            <w:pPr>
              <w:pStyle w:val="Odstavecseseznamem"/>
              <w:numPr>
                <w:ilvl w:val="0"/>
                <w:numId w:val="13"/>
              </w:numPr>
              <w:tabs>
                <w:tab w:val="clear" w:pos="851"/>
                <w:tab w:val="left" w:pos="321"/>
              </w:tabs>
              <w:spacing w:line="280" w:lineRule="atLeast"/>
              <w:ind w:left="321" w:hanging="284"/>
              <w:jc w:val="left"/>
              <w:rPr>
                <w:b w:val="0"/>
                <w:color w:val="auto"/>
                <w:szCs w:val="18"/>
                <w:lang w:val="cs-CZ"/>
              </w:rPr>
            </w:pPr>
            <w:r w:rsidRPr="00ED3950">
              <w:rPr>
                <w:b w:val="0"/>
                <w:color w:val="auto"/>
                <w:szCs w:val="18"/>
                <w:lang w:val="cs-CZ"/>
              </w:rPr>
              <w:t>Jak pos</w:t>
            </w:r>
            <w:r w:rsidRPr="00ED3950">
              <w:rPr>
                <w:b w:val="0"/>
                <w:color w:val="auto"/>
                <w:szCs w:val="18"/>
                <w:lang w:val="cs-CZ"/>
              </w:rPr>
              <w:t xml:space="preserve">uzujete zásadu DNSH u projektů a programů, kde neexistují pokyny, zejména u projektů v oblasti zelených technologií? </w:t>
            </w:r>
          </w:p>
          <w:p w:rsidR="005840C5" w:rsidRPr="00ED3950" w:rsidRDefault="00ED3950">
            <w:pPr>
              <w:pStyle w:val="Odstavecseseznamem"/>
              <w:numPr>
                <w:ilvl w:val="0"/>
                <w:numId w:val="13"/>
              </w:numPr>
              <w:tabs>
                <w:tab w:val="clear" w:pos="851"/>
                <w:tab w:val="left" w:pos="321"/>
              </w:tabs>
              <w:spacing w:line="280" w:lineRule="atLeast"/>
              <w:ind w:left="321" w:hanging="284"/>
              <w:jc w:val="left"/>
              <w:rPr>
                <w:b w:val="0"/>
                <w:color w:val="auto"/>
                <w:szCs w:val="18"/>
                <w:lang w:val="cs-CZ"/>
              </w:rPr>
            </w:pPr>
            <w:r w:rsidRPr="00ED3950">
              <w:rPr>
                <w:b w:val="0"/>
                <w:color w:val="auto"/>
                <w:szCs w:val="18"/>
                <w:lang w:val="cs-CZ"/>
              </w:rPr>
              <w:t>Identifikovali jste alternativní nebo jiné relevantní metodiky/postupy/, které s tím souvisejí</w:t>
            </w:r>
            <w:r w:rsidRPr="00ED3950">
              <w:rPr>
                <w:lang w:val="cs-CZ"/>
              </w:rPr>
              <w:t xml:space="preserve">? </w:t>
            </w:r>
          </w:p>
          <w:p w:rsidR="005840C5" w:rsidRPr="00ED3950" w:rsidRDefault="00ED3950">
            <w:pPr>
              <w:pStyle w:val="Odstavecseseznamem"/>
              <w:numPr>
                <w:ilvl w:val="0"/>
                <w:numId w:val="13"/>
              </w:numPr>
              <w:tabs>
                <w:tab w:val="clear" w:pos="851"/>
                <w:tab w:val="left" w:pos="321"/>
              </w:tabs>
              <w:spacing w:line="280" w:lineRule="atLeast"/>
              <w:ind w:left="321" w:hanging="284"/>
              <w:jc w:val="left"/>
              <w:rPr>
                <w:b w:val="0"/>
                <w:color w:val="auto"/>
                <w:szCs w:val="18"/>
                <w:lang w:val="cs-CZ"/>
              </w:rPr>
            </w:pPr>
            <w:r w:rsidRPr="00ED3950">
              <w:rPr>
                <w:b w:val="0"/>
                <w:color w:val="auto"/>
                <w:szCs w:val="18"/>
                <w:lang w:val="cs-CZ"/>
              </w:rPr>
              <w:lastRenderedPageBreak/>
              <w:t>Vypracování kritérií pro konkrétní projek</w:t>
            </w:r>
            <w:r w:rsidRPr="00ED3950">
              <w:rPr>
                <w:b w:val="0"/>
                <w:color w:val="auto"/>
                <w:szCs w:val="18"/>
                <w:lang w:val="cs-CZ"/>
              </w:rPr>
              <w:t xml:space="preserve">t nebo program může vyvolat problémy spojené se standardizací a zajištěním kvality. Jak se k tomuto problému postavíte? </w:t>
            </w:r>
          </w:p>
          <w:p w:rsidR="005840C5" w:rsidRPr="00ED3950" w:rsidRDefault="00ED3950">
            <w:pPr>
              <w:pStyle w:val="Odstavecseseznamem"/>
              <w:numPr>
                <w:ilvl w:val="0"/>
                <w:numId w:val="13"/>
              </w:numPr>
              <w:tabs>
                <w:tab w:val="clear" w:pos="851"/>
                <w:tab w:val="left" w:pos="321"/>
              </w:tabs>
              <w:spacing w:line="280" w:lineRule="atLeast"/>
              <w:ind w:left="321" w:hanging="284"/>
              <w:jc w:val="left"/>
              <w:rPr>
                <w:b w:val="0"/>
                <w:color w:val="auto"/>
                <w:szCs w:val="18"/>
                <w:lang w:val="cs-CZ"/>
              </w:rPr>
            </w:pPr>
            <w:r w:rsidRPr="00ED3950">
              <w:rPr>
                <w:b w:val="0"/>
                <w:color w:val="auto"/>
                <w:szCs w:val="18"/>
                <w:lang w:val="cs-CZ"/>
              </w:rPr>
              <w:t>Jak reagujete na případy, kdy dílčí složka vyžaduje důkladnější posouzení DNSH (např. větší podíl investic do infrastruktury)?</w:t>
            </w:r>
          </w:p>
          <w:p w:rsidR="005840C5" w:rsidRPr="00ED3950" w:rsidRDefault="00ED3950">
            <w:pPr>
              <w:pStyle w:val="Odstavecseseznamem"/>
              <w:numPr>
                <w:ilvl w:val="0"/>
                <w:numId w:val="13"/>
              </w:numPr>
              <w:tabs>
                <w:tab w:val="clear" w:pos="851"/>
                <w:tab w:val="left" w:pos="321"/>
              </w:tabs>
              <w:spacing w:after="120" w:line="280" w:lineRule="atLeast"/>
              <w:ind w:left="321" w:hanging="284"/>
              <w:jc w:val="left"/>
              <w:rPr>
                <w:b w:val="0"/>
                <w:color w:val="auto"/>
                <w:szCs w:val="18"/>
                <w:lang w:val="cs-CZ"/>
              </w:rPr>
            </w:pPr>
            <w:r w:rsidRPr="00ED3950">
              <w:rPr>
                <w:b w:val="0"/>
                <w:color w:val="auto"/>
                <w:szCs w:val="18"/>
                <w:lang w:val="cs-CZ"/>
              </w:rPr>
              <w:t>Jak spolu souvisí uplatňování principu DNSH a zelené značení?</w:t>
            </w:r>
          </w:p>
        </w:tc>
      </w:tr>
      <w:bookmarkEnd w:id="52"/>
      <w:bookmarkEnd w:id="53"/>
    </w:tbl>
    <w:p w:rsidR="00066612" w:rsidRPr="00ED3950" w:rsidRDefault="00066612" w:rsidP="00223722">
      <w:pPr>
        <w:ind w:left="0"/>
        <w:rPr>
          <w:b/>
          <w:bCs/>
          <w:lang w:val="cs-CZ"/>
        </w:rPr>
      </w:pPr>
    </w:p>
    <w:p w:rsidR="001105BE" w:rsidRPr="00ED3950" w:rsidRDefault="001105BE" w:rsidP="007608BA">
      <w:pPr>
        <w:rPr>
          <w:lang w:val="cs-CZ"/>
        </w:rPr>
      </w:pPr>
    </w:p>
    <w:p w:rsidR="001105BE" w:rsidRPr="00ED3950" w:rsidRDefault="001105BE" w:rsidP="007608BA">
      <w:pPr>
        <w:rPr>
          <w:lang w:val="cs-CZ"/>
        </w:rPr>
      </w:pPr>
    </w:p>
    <w:p w:rsidR="001105BE" w:rsidRPr="00ED3950" w:rsidRDefault="001105BE" w:rsidP="007608BA">
      <w:pPr>
        <w:rPr>
          <w:lang w:val="cs-CZ"/>
        </w:rPr>
      </w:pPr>
    </w:p>
    <w:p w:rsidR="001105BE" w:rsidRPr="00ED3950" w:rsidRDefault="001105BE" w:rsidP="007608BA">
      <w:pPr>
        <w:rPr>
          <w:lang w:val="cs-CZ"/>
        </w:rPr>
      </w:pPr>
    </w:p>
    <w:p w:rsidR="001105BE" w:rsidRPr="00ED3950" w:rsidRDefault="001105BE" w:rsidP="001105BE">
      <w:pPr>
        <w:rPr>
          <w:b/>
          <w:bCs/>
          <w:lang w:val="cs-CZ"/>
        </w:rPr>
      </w:pPr>
    </w:p>
    <w:p w:rsidR="001105BE" w:rsidRPr="00ED3950" w:rsidRDefault="001105BE" w:rsidP="001105BE">
      <w:pPr>
        <w:tabs>
          <w:tab w:val="left" w:pos="6565"/>
        </w:tabs>
        <w:rPr>
          <w:b/>
          <w:bCs/>
          <w:lang w:val="cs-CZ"/>
        </w:rPr>
        <w:sectPr w:rsidR="001105BE" w:rsidRPr="00ED3950" w:rsidSect="00B710F6">
          <w:footerReference w:type="default" r:id="rId25"/>
          <w:type w:val="oddPage"/>
          <w:pgSz w:w="11906" w:h="16838"/>
          <w:pgMar w:top="1440" w:right="1440" w:bottom="1440" w:left="1440" w:header="709" w:footer="567" w:gutter="0"/>
          <w:pgNumType w:start="1"/>
          <w:cols w:space="708"/>
          <w:docGrid w:linePitch="360"/>
        </w:sectPr>
      </w:pPr>
      <w:r w:rsidRPr="00ED3950">
        <w:rPr>
          <w:b/>
          <w:bCs/>
          <w:lang w:val="cs-CZ"/>
        </w:rPr>
        <w:tab/>
      </w:r>
    </w:p>
    <w:p w:rsidR="005840C5" w:rsidRPr="00ED3950" w:rsidRDefault="00ED3950">
      <w:pPr>
        <w:pStyle w:val="Nadpis1"/>
        <w:numPr>
          <w:ilvl w:val="0"/>
          <w:numId w:val="0"/>
        </w:numPr>
        <w:ind w:left="927" w:hanging="360"/>
        <w:rPr>
          <w:lang w:val="cs-CZ"/>
        </w:rPr>
      </w:pPr>
      <w:bookmarkStart w:id="96" w:name="_Toc131775869"/>
      <w:r w:rsidRPr="00ED3950">
        <w:rPr>
          <w:lang w:val="cs-CZ"/>
        </w:rPr>
        <w:lastRenderedPageBreak/>
        <w:t xml:space="preserve">Příloha C - Zápis z </w:t>
      </w:r>
      <w:proofErr w:type="spellStart"/>
      <w:r w:rsidRPr="00ED3950">
        <w:rPr>
          <w:lang w:val="cs-CZ"/>
        </w:rPr>
        <w:t>webináře</w:t>
      </w:r>
      <w:proofErr w:type="spellEnd"/>
      <w:r w:rsidRPr="00ED3950">
        <w:rPr>
          <w:lang w:val="cs-CZ"/>
        </w:rPr>
        <w:t xml:space="preserve"> </w:t>
      </w:r>
      <w:r w:rsidR="00C52545" w:rsidRPr="00ED3950">
        <w:rPr>
          <w:lang w:val="cs-CZ"/>
        </w:rPr>
        <w:t>1:</w:t>
      </w:r>
      <w:bookmarkStart w:id="97" w:name="_Toc127978726"/>
      <w:r w:rsidR="00C52545" w:rsidRPr="00ED3950">
        <w:rPr>
          <w:lang w:val="cs-CZ"/>
        </w:rPr>
        <w:t xml:space="preserve"> Řídicí postupy pro uplatňování zásady DNSH</w:t>
      </w:r>
      <w:bookmarkEnd w:id="96"/>
      <w:bookmarkEnd w:id="97"/>
    </w:p>
    <w:p w:rsidR="005840C5" w:rsidRPr="00ED3950" w:rsidRDefault="00ED3950">
      <w:pPr>
        <w:pStyle w:val="Nadpis2"/>
        <w:numPr>
          <w:ilvl w:val="0"/>
          <w:numId w:val="0"/>
        </w:numPr>
        <w:ind w:left="567"/>
        <w:rPr>
          <w:lang w:val="cs-CZ"/>
        </w:rPr>
      </w:pPr>
      <w:bookmarkStart w:id="98" w:name="_Toc127978728"/>
      <w:bookmarkStart w:id="99" w:name="_Toc131757477"/>
      <w:bookmarkStart w:id="100" w:name="_Toc131775870"/>
      <w:r w:rsidRPr="00ED3950">
        <w:rPr>
          <w:lang w:val="cs-CZ"/>
        </w:rPr>
        <w:t>Příprava scény (Julian Toth, ISFC)</w:t>
      </w:r>
      <w:bookmarkEnd w:id="98"/>
      <w:bookmarkEnd w:id="99"/>
      <w:bookmarkEnd w:id="100"/>
    </w:p>
    <w:p w:rsidR="005840C5" w:rsidRPr="00ED3950" w:rsidRDefault="00ED3950">
      <w:pPr>
        <w:rPr>
          <w:rFonts w:eastAsia="Calibri" w:cs="Arial"/>
          <w:lang w:val="cs-CZ"/>
        </w:rPr>
      </w:pPr>
      <w:r w:rsidRPr="00ED3950">
        <w:rPr>
          <w:rFonts w:eastAsia="Calibri" w:cs="Arial"/>
          <w:lang w:val="cs-CZ"/>
        </w:rPr>
        <w:t xml:space="preserve">Téma </w:t>
      </w:r>
      <w:proofErr w:type="spellStart"/>
      <w:r w:rsidRPr="00ED3950">
        <w:rPr>
          <w:rFonts w:eastAsia="Calibri" w:cs="Arial"/>
          <w:lang w:val="cs-CZ"/>
        </w:rPr>
        <w:t>webináře</w:t>
      </w:r>
      <w:proofErr w:type="spellEnd"/>
      <w:r w:rsidRPr="00ED3950">
        <w:rPr>
          <w:rFonts w:eastAsia="Calibri" w:cs="Arial"/>
          <w:lang w:val="cs-CZ"/>
        </w:rPr>
        <w:t xml:space="preserve"> bylo určeno na základě konzultací a </w:t>
      </w:r>
      <w:proofErr w:type="spellStart"/>
      <w:r w:rsidR="00AD0FB6" w:rsidRPr="00ED3950">
        <w:rPr>
          <w:rFonts w:eastAsia="Calibri" w:cs="Arial"/>
          <w:lang w:val="cs-CZ"/>
        </w:rPr>
        <w:t>desk</w:t>
      </w:r>
      <w:proofErr w:type="spellEnd"/>
      <w:r w:rsidR="00AD0FB6" w:rsidRPr="00ED3950">
        <w:rPr>
          <w:rFonts w:eastAsia="Calibri" w:cs="Arial"/>
          <w:lang w:val="cs-CZ"/>
        </w:rPr>
        <w:t xml:space="preserve"> </w:t>
      </w:r>
      <w:proofErr w:type="spellStart"/>
      <w:r w:rsidR="00AD0FB6" w:rsidRPr="00ED3950">
        <w:rPr>
          <w:rFonts w:eastAsia="Calibri" w:cs="Arial"/>
          <w:lang w:val="cs-CZ"/>
        </w:rPr>
        <w:t>research</w:t>
      </w:r>
      <w:proofErr w:type="spellEnd"/>
      <w:r w:rsidRPr="00ED3950">
        <w:rPr>
          <w:rFonts w:eastAsia="Calibri" w:cs="Arial"/>
          <w:lang w:val="cs-CZ"/>
        </w:rPr>
        <w:t>.</w:t>
      </w:r>
    </w:p>
    <w:p w:rsidR="005840C5" w:rsidRPr="00ED3950" w:rsidRDefault="00ED3950">
      <w:pPr>
        <w:rPr>
          <w:rFonts w:eastAsia="Calibri" w:cs="Arial"/>
          <w:lang w:val="cs-CZ"/>
        </w:rPr>
      </w:pPr>
      <w:r w:rsidRPr="00ED3950">
        <w:rPr>
          <w:rFonts w:eastAsia="Calibri" w:cs="Arial"/>
          <w:lang w:val="cs-CZ"/>
        </w:rPr>
        <w:t>Procesy správy lze definovat jako procesy, postupy a praktiky orgánů pro sdílení odpovědnosti za údaje a uplatňování zásady DNSH.</w:t>
      </w:r>
    </w:p>
    <w:p w:rsidR="00C52545" w:rsidRPr="00ED3950" w:rsidRDefault="00C52545" w:rsidP="00C52545">
      <w:pPr>
        <w:rPr>
          <w:rFonts w:eastAsia="Calibri" w:cs="Arial"/>
          <w:lang w:val="cs-CZ"/>
        </w:rPr>
      </w:pPr>
    </w:p>
    <w:p w:rsidR="005840C5" w:rsidRPr="00ED3950" w:rsidRDefault="00ED3950">
      <w:pPr>
        <w:rPr>
          <w:rFonts w:eastAsia="Calibri" w:cs="Arial"/>
          <w:lang w:val="cs-CZ"/>
        </w:rPr>
      </w:pPr>
      <w:r w:rsidRPr="00ED3950">
        <w:rPr>
          <w:rFonts w:eastAsia="Calibri" w:cs="Arial"/>
          <w:lang w:val="cs-CZ"/>
        </w:rPr>
        <w:t>K důležitým bodům pro pochopení kontextu v Česku patří:</w:t>
      </w:r>
    </w:p>
    <w:p w:rsidR="005840C5" w:rsidRPr="00ED3950" w:rsidRDefault="00ED3950">
      <w:pPr>
        <w:pStyle w:val="lp11"/>
        <w:numPr>
          <w:ilvl w:val="0"/>
          <w:numId w:val="8"/>
        </w:numPr>
        <w:rPr>
          <w:lang w:val="cs-CZ"/>
        </w:rPr>
      </w:pPr>
      <w:r w:rsidRPr="00ED3950">
        <w:rPr>
          <w:lang w:val="cs-CZ"/>
        </w:rPr>
        <w:t>Více</w:t>
      </w:r>
      <w:r w:rsidRPr="00ED3950">
        <w:rPr>
          <w:lang w:val="cs-CZ"/>
        </w:rPr>
        <w:t xml:space="preserve"> programů na </w:t>
      </w:r>
      <w:r w:rsidRPr="00ED3950">
        <w:rPr>
          <w:lang w:val="cs-CZ"/>
        </w:rPr>
        <w:t>národní</w:t>
      </w:r>
      <w:r w:rsidRPr="00ED3950">
        <w:rPr>
          <w:lang w:val="cs-CZ"/>
        </w:rPr>
        <w:t xml:space="preserve"> úrovni, které jsou řízeny různými orgány a operačními programy;</w:t>
      </w:r>
    </w:p>
    <w:p w:rsidR="005840C5" w:rsidRPr="00ED3950" w:rsidRDefault="00ED3950">
      <w:pPr>
        <w:pStyle w:val="lp11"/>
        <w:numPr>
          <w:ilvl w:val="0"/>
          <w:numId w:val="8"/>
        </w:numPr>
        <w:rPr>
          <w:lang w:val="cs-CZ"/>
        </w:rPr>
      </w:pPr>
      <w:r w:rsidRPr="00ED3950">
        <w:rPr>
          <w:lang w:val="cs-CZ"/>
        </w:rPr>
        <w:t>DNSH a CP jsou nedávné pojmy, s nimiž jsou omezené zkušenosti a pro něž je třeba ještě vypracovat pokyny. V prezentaci, kterou přednese Richard Juřík, budou představeny vý</w:t>
      </w:r>
      <w:r w:rsidRPr="00ED3950">
        <w:rPr>
          <w:lang w:val="cs-CZ"/>
        </w:rPr>
        <w:t>sledky takového dokazování a vývoje;</w:t>
      </w:r>
    </w:p>
    <w:p w:rsidR="005840C5" w:rsidRPr="00ED3950" w:rsidRDefault="00ED3950">
      <w:pPr>
        <w:pStyle w:val="lp11"/>
        <w:numPr>
          <w:ilvl w:val="0"/>
          <w:numId w:val="8"/>
        </w:numPr>
        <w:rPr>
          <w:lang w:val="cs-CZ"/>
        </w:rPr>
      </w:pPr>
      <w:r w:rsidRPr="00ED3950">
        <w:rPr>
          <w:lang w:val="cs-CZ"/>
        </w:rPr>
        <w:t>Mezi jednotlivými úřady existují nesrovnalosti.</w:t>
      </w:r>
    </w:p>
    <w:p w:rsidR="00C52545" w:rsidRPr="00ED3950" w:rsidRDefault="00C52545" w:rsidP="00C52545">
      <w:pPr>
        <w:tabs>
          <w:tab w:val="left" w:pos="851"/>
        </w:tabs>
        <w:ind w:left="1647"/>
        <w:contextualSpacing/>
        <w:rPr>
          <w:rFonts w:eastAsia="Calibri" w:cs="Arial"/>
          <w:lang w:val="cs-CZ"/>
        </w:rPr>
      </w:pPr>
    </w:p>
    <w:p w:rsidR="005840C5" w:rsidRPr="00ED3950" w:rsidRDefault="00ED3950">
      <w:pPr>
        <w:rPr>
          <w:rFonts w:eastAsia="Calibri" w:cs="Arial"/>
          <w:lang w:val="cs-CZ"/>
        </w:rPr>
      </w:pPr>
      <w:r w:rsidRPr="00ED3950">
        <w:rPr>
          <w:rFonts w:eastAsia="Calibri" w:cs="Arial"/>
          <w:lang w:val="cs-CZ"/>
        </w:rPr>
        <w:t>Celkově čelí Česko čtyřem hlavním výzvám:</w:t>
      </w:r>
    </w:p>
    <w:p w:rsidR="005840C5" w:rsidRPr="00ED3950" w:rsidRDefault="00ED3950">
      <w:pPr>
        <w:pStyle w:val="lp11"/>
        <w:numPr>
          <w:ilvl w:val="0"/>
          <w:numId w:val="8"/>
        </w:numPr>
        <w:rPr>
          <w:lang w:val="cs-CZ"/>
        </w:rPr>
      </w:pPr>
      <w:r w:rsidRPr="00ED3950">
        <w:rPr>
          <w:i/>
          <w:iCs/>
          <w:lang w:val="cs-CZ"/>
        </w:rPr>
        <w:t>Decentralizace a rizika nesrovnalostí</w:t>
      </w:r>
      <w:r w:rsidRPr="00ED3950">
        <w:rPr>
          <w:lang w:val="cs-CZ"/>
        </w:rPr>
        <w:t>. Není jasné rozdělení rolí při identifikaci a sdělování požadavků žadatelům. Některé orgán</w:t>
      </w:r>
      <w:r w:rsidRPr="00ED3950">
        <w:rPr>
          <w:lang w:val="cs-CZ"/>
        </w:rPr>
        <w:t>y tak činí na úrovni programu, jiné pouze předkládají požadavky jako takové žadatelům, takže ti nemusí koncepci DNSH rozumět, aby ji mohli dodržovat.</w:t>
      </w:r>
    </w:p>
    <w:p w:rsidR="005840C5" w:rsidRPr="00ED3950" w:rsidRDefault="00ED3950">
      <w:pPr>
        <w:pStyle w:val="lp11"/>
        <w:numPr>
          <w:ilvl w:val="0"/>
          <w:numId w:val="8"/>
        </w:numPr>
        <w:rPr>
          <w:lang w:val="cs-CZ"/>
        </w:rPr>
      </w:pPr>
      <w:r w:rsidRPr="00ED3950">
        <w:rPr>
          <w:i/>
          <w:iCs/>
          <w:lang w:val="cs-CZ"/>
        </w:rPr>
        <w:t>Složitost</w:t>
      </w:r>
      <w:r w:rsidRPr="00ED3950">
        <w:rPr>
          <w:lang w:val="cs-CZ"/>
        </w:rPr>
        <w:t xml:space="preserve">. K </w:t>
      </w:r>
      <w:r w:rsidRPr="00ED3950">
        <w:rPr>
          <w:lang w:val="cs-CZ"/>
        </w:rPr>
        <w:t xml:space="preserve">prvnímu </w:t>
      </w:r>
      <w:r w:rsidRPr="00ED3950">
        <w:rPr>
          <w:lang w:val="cs-CZ"/>
        </w:rPr>
        <w:t>problému se přidává administrativní složitost. Žadatelé se obvykle setkávají s různým</w:t>
      </w:r>
      <w:r w:rsidRPr="00ED3950">
        <w:rPr>
          <w:lang w:val="cs-CZ"/>
        </w:rPr>
        <w:t>i požadavky a formuláři na různých úřadech.</w:t>
      </w:r>
    </w:p>
    <w:p w:rsidR="005840C5" w:rsidRPr="00ED3950" w:rsidRDefault="00ED3950">
      <w:pPr>
        <w:pStyle w:val="lp11"/>
        <w:numPr>
          <w:ilvl w:val="0"/>
          <w:numId w:val="8"/>
        </w:numPr>
        <w:rPr>
          <w:lang w:val="cs-CZ"/>
        </w:rPr>
      </w:pPr>
      <w:r w:rsidRPr="00ED3950">
        <w:rPr>
          <w:i/>
          <w:iCs/>
          <w:lang w:val="cs-CZ"/>
        </w:rPr>
        <w:t xml:space="preserve">Komunikace </w:t>
      </w:r>
      <w:r w:rsidRPr="00ED3950">
        <w:rPr>
          <w:lang w:val="cs-CZ"/>
        </w:rPr>
        <w:t xml:space="preserve">mezi </w:t>
      </w:r>
      <w:r w:rsidRPr="00ED3950">
        <w:rPr>
          <w:i/>
          <w:iCs/>
          <w:lang w:val="cs-CZ"/>
        </w:rPr>
        <w:t>řídicími orgány</w:t>
      </w:r>
      <w:r w:rsidRPr="00ED3950">
        <w:rPr>
          <w:lang w:val="cs-CZ"/>
        </w:rPr>
        <w:t xml:space="preserve">. Aplikace DNSH je roztříštěná, ačkoli s postupujícím projektem </w:t>
      </w:r>
      <w:r w:rsidRPr="00ED3950">
        <w:rPr>
          <w:lang w:val="cs-CZ"/>
        </w:rPr>
        <w:t xml:space="preserve">TSI </w:t>
      </w:r>
      <w:r w:rsidRPr="00ED3950">
        <w:rPr>
          <w:lang w:val="cs-CZ"/>
        </w:rPr>
        <w:t>se to daří lépe zvládat.</w:t>
      </w:r>
    </w:p>
    <w:p w:rsidR="005840C5" w:rsidRPr="00ED3950" w:rsidRDefault="00ED3950">
      <w:pPr>
        <w:pStyle w:val="lp11"/>
        <w:numPr>
          <w:ilvl w:val="0"/>
          <w:numId w:val="8"/>
        </w:numPr>
        <w:rPr>
          <w:lang w:val="cs-CZ"/>
        </w:rPr>
      </w:pPr>
      <w:r w:rsidRPr="00ED3950">
        <w:rPr>
          <w:i/>
          <w:iCs/>
          <w:lang w:val="cs-CZ"/>
        </w:rPr>
        <w:t xml:space="preserve">Přístup k </w:t>
      </w:r>
      <w:r w:rsidRPr="00ED3950">
        <w:rPr>
          <w:i/>
          <w:iCs/>
          <w:lang w:val="cs-CZ"/>
        </w:rPr>
        <w:t>údajům a informacím</w:t>
      </w:r>
      <w:r w:rsidRPr="00ED3950">
        <w:rPr>
          <w:lang w:val="cs-CZ"/>
        </w:rPr>
        <w:t>. Řešení pro sběr, sdílení a využití existujících dat jsou omezená, i když pozorujeme, že české orgány se postupně snaží tuto problematiku zvládnout.</w:t>
      </w:r>
    </w:p>
    <w:p w:rsidR="00C52545" w:rsidRPr="00ED3950" w:rsidRDefault="00C52545" w:rsidP="00C52545">
      <w:pPr>
        <w:tabs>
          <w:tab w:val="left" w:pos="851"/>
        </w:tabs>
        <w:ind w:left="1647"/>
        <w:contextualSpacing/>
        <w:rPr>
          <w:rFonts w:eastAsia="Calibri" w:cs="Arial"/>
          <w:lang w:val="cs-CZ"/>
        </w:rPr>
      </w:pPr>
    </w:p>
    <w:p w:rsidR="005840C5" w:rsidRPr="00ED3950" w:rsidRDefault="00ED3950">
      <w:pPr>
        <w:pStyle w:val="Nadpis2"/>
        <w:numPr>
          <w:ilvl w:val="0"/>
          <w:numId w:val="0"/>
        </w:numPr>
        <w:ind w:left="567"/>
        <w:rPr>
          <w:lang w:val="cs-CZ"/>
        </w:rPr>
      </w:pPr>
      <w:bookmarkStart w:id="101" w:name="_Toc127978729"/>
      <w:bookmarkStart w:id="102" w:name="_Toc131757478"/>
      <w:bookmarkStart w:id="103" w:name="_Toc131775871"/>
      <w:r w:rsidRPr="00ED3950">
        <w:rPr>
          <w:lang w:val="cs-CZ"/>
        </w:rPr>
        <w:t>Richard Juřík - Ministerstvo životního prostředí (Česko)</w:t>
      </w:r>
      <w:bookmarkEnd w:id="101"/>
      <w:bookmarkEnd w:id="102"/>
      <w:bookmarkEnd w:id="103"/>
    </w:p>
    <w:p w:rsidR="005840C5" w:rsidRPr="00ED3950" w:rsidRDefault="00ED3950">
      <w:pPr>
        <w:pStyle w:val="Nadpis3"/>
        <w:numPr>
          <w:ilvl w:val="0"/>
          <w:numId w:val="0"/>
        </w:numPr>
        <w:ind w:left="567"/>
        <w:rPr>
          <w:lang w:val="cs-CZ"/>
        </w:rPr>
      </w:pPr>
      <w:bookmarkStart w:id="104" w:name="_Toc127978730"/>
      <w:bookmarkStart w:id="105" w:name="_Toc131757479"/>
      <w:bookmarkStart w:id="106" w:name="_Toc131775872"/>
      <w:r w:rsidRPr="00ED3950">
        <w:rPr>
          <w:lang w:val="cs-CZ"/>
        </w:rPr>
        <w:t>Kontext</w:t>
      </w:r>
      <w:bookmarkEnd w:id="104"/>
      <w:bookmarkEnd w:id="105"/>
      <w:bookmarkEnd w:id="106"/>
    </w:p>
    <w:p w:rsidR="005840C5" w:rsidRPr="00ED3950" w:rsidRDefault="00ED3950">
      <w:pPr>
        <w:rPr>
          <w:lang w:val="cs-CZ"/>
        </w:rPr>
      </w:pPr>
      <w:r w:rsidRPr="00ED3950">
        <w:rPr>
          <w:lang w:val="cs-CZ"/>
        </w:rPr>
        <w:t xml:space="preserve">Koncept DNSH je </w:t>
      </w:r>
      <w:r w:rsidRPr="00ED3950">
        <w:rPr>
          <w:lang w:val="cs-CZ"/>
        </w:rPr>
        <w:t xml:space="preserve">pro </w:t>
      </w:r>
      <w:r w:rsidRPr="00ED3950">
        <w:rPr>
          <w:lang w:val="cs-CZ"/>
        </w:rPr>
        <w:t>ministerstva a odbor</w:t>
      </w:r>
      <w:r w:rsidRPr="00ED3950">
        <w:rPr>
          <w:lang w:val="cs-CZ"/>
        </w:rPr>
        <w:t>níky nový</w:t>
      </w:r>
      <w:r w:rsidRPr="00ED3950">
        <w:rPr>
          <w:lang w:val="cs-CZ"/>
        </w:rPr>
        <w:t xml:space="preserve">. Praxe </w:t>
      </w:r>
      <w:r w:rsidRPr="00ED3950">
        <w:rPr>
          <w:lang w:val="cs-CZ"/>
        </w:rPr>
        <w:t xml:space="preserve">MŽP a česká legislativa s ním zatím nejsou sladěny. V současné době </w:t>
      </w:r>
      <w:r w:rsidRPr="00ED3950">
        <w:rPr>
          <w:lang w:val="cs-CZ"/>
        </w:rPr>
        <w:t xml:space="preserve">se </w:t>
      </w:r>
      <w:r w:rsidRPr="00ED3950">
        <w:rPr>
          <w:lang w:val="cs-CZ"/>
        </w:rPr>
        <w:t xml:space="preserve">MŽP snaží </w:t>
      </w:r>
      <w:r w:rsidRPr="00ED3950">
        <w:rPr>
          <w:lang w:val="cs-CZ"/>
        </w:rPr>
        <w:t xml:space="preserve">definovat </w:t>
      </w:r>
      <w:r w:rsidRPr="00ED3950">
        <w:rPr>
          <w:lang w:val="cs-CZ"/>
        </w:rPr>
        <w:t xml:space="preserve">společná doporučení pro začlenění </w:t>
      </w:r>
      <w:r w:rsidRPr="00ED3950">
        <w:rPr>
          <w:lang w:val="cs-CZ"/>
        </w:rPr>
        <w:t xml:space="preserve">principu DNSH a principů PK </w:t>
      </w:r>
      <w:r w:rsidRPr="00ED3950">
        <w:rPr>
          <w:lang w:val="cs-CZ"/>
        </w:rPr>
        <w:t xml:space="preserve">do </w:t>
      </w:r>
      <w:r w:rsidRPr="00ED3950">
        <w:rPr>
          <w:lang w:val="cs-CZ"/>
        </w:rPr>
        <w:t xml:space="preserve">české </w:t>
      </w:r>
      <w:r w:rsidRPr="00ED3950">
        <w:rPr>
          <w:lang w:val="cs-CZ"/>
        </w:rPr>
        <w:t xml:space="preserve">legislativy. </w:t>
      </w:r>
    </w:p>
    <w:p w:rsidR="005840C5" w:rsidRPr="00ED3950" w:rsidRDefault="00ED3950">
      <w:pPr>
        <w:rPr>
          <w:rFonts w:eastAsia="Calibri" w:cs="Arial"/>
          <w:lang w:val="cs-CZ"/>
        </w:rPr>
      </w:pPr>
      <w:r w:rsidRPr="00ED3950">
        <w:rPr>
          <w:rFonts w:eastAsia="Calibri" w:cs="Arial"/>
          <w:lang w:val="cs-CZ"/>
        </w:rPr>
        <w:t>Překrývání mezi fondy politiky soudržnosti</w:t>
      </w:r>
      <w:r w:rsidRPr="00ED3950">
        <w:rPr>
          <w:rFonts w:eastAsia="Calibri" w:cs="Arial"/>
          <w:lang w:val="cs-CZ"/>
        </w:rPr>
        <w:t xml:space="preserve">, RRF a </w:t>
      </w:r>
      <w:proofErr w:type="spellStart"/>
      <w:r w:rsidRPr="00ED3950">
        <w:rPr>
          <w:rFonts w:eastAsia="Calibri" w:cs="Arial"/>
          <w:lang w:val="cs-CZ"/>
        </w:rPr>
        <w:t>InvestEU</w:t>
      </w:r>
      <w:proofErr w:type="spellEnd"/>
      <w:r w:rsidRPr="00ED3950">
        <w:rPr>
          <w:rFonts w:eastAsia="Calibri" w:cs="Arial"/>
          <w:lang w:val="cs-CZ"/>
        </w:rPr>
        <w:t xml:space="preserve"> zpom</w:t>
      </w:r>
      <w:r w:rsidRPr="00ED3950">
        <w:rPr>
          <w:rFonts w:eastAsia="Calibri" w:cs="Arial"/>
          <w:lang w:val="cs-CZ"/>
        </w:rPr>
        <w:t xml:space="preserve">aluje </w:t>
      </w:r>
      <w:r w:rsidRPr="00ED3950">
        <w:rPr>
          <w:rFonts w:eastAsia="Calibri" w:cs="Arial"/>
          <w:lang w:val="cs-CZ"/>
        </w:rPr>
        <w:t>proces integrace.</w:t>
      </w:r>
    </w:p>
    <w:p w:rsidR="00C52545" w:rsidRPr="00ED3950" w:rsidRDefault="00C52545" w:rsidP="00C52545">
      <w:pPr>
        <w:rPr>
          <w:rFonts w:eastAsia="Calibri" w:cs="Arial"/>
          <w:lang w:val="cs-CZ"/>
        </w:rPr>
      </w:pPr>
    </w:p>
    <w:p w:rsidR="005840C5" w:rsidRPr="00ED3950" w:rsidRDefault="00ED3950">
      <w:pPr>
        <w:numPr>
          <w:ilvl w:val="2"/>
          <w:numId w:val="0"/>
        </w:numPr>
        <w:tabs>
          <w:tab w:val="left" w:pos="851"/>
        </w:tabs>
        <w:ind w:left="1134" w:hanging="567"/>
        <w:contextualSpacing/>
        <w:outlineLvl w:val="2"/>
        <w:rPr>
          <w:rFonts w:eastAsia="Calibri" w:cs="Arial"/>
          <w:b/>
          <w:i/>
          <w:color w:val="F04E30"/>
          <w:lang w:val="cs-CZ"/>
        </w:rPr>
      </w:pPr>
      <w:bookmarkStart w:id="107" w:name="_Toc127978731"/>
      <w:bookmarkStart w:id="108" w:name="_Toc131757480"/>
      <w:bookmarkStart w:id="109" w:name="_Toc131775873"/>
      <w:r w:rsidRPr="00ED3950">
        <w:rPr>
          <w:rFonts w:eastAsia="Calibri" w:cs="Arial"/>
          <w:b/>
          <w:i/>
          <w:color w:val="F04E30"/>
          <w:lang w:val="cs-CZ"/>
        </w:rPr>
        <w:t>Představení systému řízení</w:t>
      </w:r>
      <w:bookmarkEnd w:id="107"/>
      <w:bookmarkEnd w:id="108"/>
      <w:bookmarkEnd w:id="109"/>
    </w:p>
    <w:p w:rsidR="005840C5" w:rsidRPr="00ED3950" w:rsidRDefault="00ED3950">
      <w:pPr>
        <w:rPr>
          <w:rFonts w:eastAsia="Calibri" w:cs="Arial"/>
          <w:lang w:val="cs-CZ"/>
        </w:rPr>
      </w:pPr>
      <w:r w:rsidRPr="00ED3950">
        <w:rPr>
          <w:rFonts w:eastAsia="Calibri" w:cs="Arial"/>
          <w:lang w:val="cs-CZ"/>
        </w:rPr>
        <w:t xml:space="preserve">Správa DNSH je v Česku decentralizovaná. Odpovědnosti spadají pod řídicí orgány. To činí strukturu složitou. Řídicí orgány </w:t>
      </w:r>
      <w:r w:rsidRPr="00ED3950">
        <w:rPr>
          <w:rFonts w:eastAsia="Calibri" w:cs="Arial"/>
          <w:lang w:val="cs-CZ"/>
        </w:rPr>
        <w:t xml:space="preserve">musí </w:t>
      </w:r>
      <w:r w:rsidRPr="00ED3950">
        <w:rPr>
          <w:rFonts w:eastAsia="Calibri" w:cs="Arial"/>
          <w:lang w:val="cs-CZ"/>
        </w:rPr>
        <w:t xml:space="preserve">provádět jak </w:t>
      </w:r>
      <w:r w:rsidRPr="00ED3950">
        <w:rPr>
          <w:rFonts w:eastAsia="Calibri" w:cs="Arial"/>
          <w:lang w:val="cs-CZ"/>
        </w:rPr>
        <w:t xml:space="preserve">hodnocení </w:t>
      </w:r>
      <w:r w:rsidRPr="00ED3950">
        <w:rPr>
          <w:rFonts w:eastAsia="Calibri" w:cs="Arial"/>
          <w:lang w:val="cs-CZ"/>
        </w:rPr>
        <w:t xml:space="preserve">DNSH, tak </w:t>
      </w:r>
      <w:r w:rsidRPr="00ED3950">
        <w:rPr>
          <w:rFonts w:eastAsia="Calibri" w:cs="Arial"/>
          <w:lang w:val="cs-CZ"/>
        </w:rPr>
        <w:t xml:space="preserve">- v příslušných </w:t>
      </w:r>
      <w:r w:rsidRPr="00ED3950">
        <w:rPr>
          <w:rFonts w:eastAsia="Calibri" w:cs="Arial"/>
          <w:lang w:val="cs-CZ"/>
        </w:rPr>
        <w:t>případech</w:t>
      </w:r>
      <w:r w:rsidRPr="00ED3950">
        <w:rPr>
          <w:rFonts w:eastAsia="Calibri" w:cs="Arial"/>
          <w:lang w:val="cs-CZ"/>
        </w:rPr>
        <w:t xml:space="preserve"> - KP na </w:t>
      </w:r>
      <w:r w:rsidRPr="00ED3950">
        <w:rPr>
          <w:rFonts w:eastAsia="Calibri" w:cs="Arial"/>
          <w:lang w:val="cs-CZ"/>
        </w:rPr>
        <w:t>úrovni vý</w:t>
      </w:r>
      <w:r w:rsidRPr="00ED3950">
        <w:rPr>
          <w:rFonts w:eastAsia="Calibri" w:cs="Arial"/>
          <w:lang w:val="cs-CZ"/>
        </w:rPr>
        <w:t xml:space="preserve">zev nebo </w:t>
      </w:r>
      <w:r w:rsidRPr="00ED3950">
        <w:rPr>
          <w:rFonts w:eastAsia="Calibri" w:cs="Arial"/>
          <w:lang w:val="cs-CZ"/>
        </w:rPr>
        <w:t xml:space="preserve">na </w:t>
      </w:r>
      <w:r w:rsidRPr="00ED3950">
        <w:rPr>
          <w:rFonts w:eastAsia="Calibri" w:cs="Arial"/>
          <w:lang w:val="cs-CZ"/>
        </w:rPr>
        <w:t xml:space="preserve">vyšší, strategičtější úrovni. Žadatelé </w:t>
      </w:r>
      <w:r w:rsidRPr="00ED3950">
        <w:rPr>
          <w:rFonts w:eastAsia="Calibri" w:cs="Arial"/>
          <w:lang w:val="cs-CZ"/>
        </w:rPr>
        <w:t xml:space="preserve">jsou </w:t>
      </w:r>
      <w:r w:rsidRPr="00ED3950">
        <w:rPr>
          <w:rFonts w:eastAsia="Calibri" w:cs="Arial"/>
          <w:lang w:val="cs-CZ"/>
        </w:rPr>
        <w:t xml:space="preserve">informováni o konkrétních technických požadavcích, které mají být v </w:t>
      </w:r>
      <w:r w:rsidRPr="00ED3950">
        <w:rPr>
          <w:rFonts w:eastAsia="Calibri" w:cs="Arial"/>
          <w:lang w:val="cs-CZ"/>
        </w:rPr>
        <w:t xml:space="preserve">jejich </w:t>
      </w:r>
      <w:r w:rsidRPr="00ED3950">
        <w:rPr>
          <w:rFonts w:eastAsia="Calibri" w:cs="Arial"/>
          <w:lang w:val="cs-CZ"/>
        </w:rPr>
        <w:t xml:space="preserve">projektech realizovány. </w:t>
      </w:r>
      <w:r w:rsidRPr="00ED3950">
        <w:rPr>
          <w:rFonts w:eastAsia="Calibri" w:cs="Arial"/>
          <w:lang w:val="cs-CZ"/>
        </w:rPr>
        <w:t xml:space="preserve">V současné době je </w:t>
      </w:r>
      <w:r w:rsidRPr="00ED3950">
        <w:rPr>
          <w:rFonts w:eastAsia="Calibri" w:cs="Arial"/>
          <w:lang w:val="cs-CZ"/>
        </w:rPr>
        <w:t xml:space="preserve">seznam požadavků </w:t>
      </w:r>
      <w:r w:rsidRPr="00ED3950">
        <w:rPr>
          <w:rFonts w:eastAsia="Calibri" w:cs="Arial"/>
          <w:lang w:val="cs-CZ"/>
        </w:rPr>
        <w:t>nedostatečný pro dodržení zásady DNSH</w:t>
      </w:r>
      <w:r w:rsidRPr="00ED3950">
        <w:rPr>
          <w:rFonts w:eastAsia="Calibri" w:cs="Arial"/>
          <w:lang w:val="cs-CZ"/>
        </w:rPr>
        <w:t xml:space="preserve">. </w:t>
      </w:r>
    </w:p>
    <w:p w:rsidR="00C52545" w:rsidRPr="00ED3950" w:rsidRDefault="00C52545" w:rsidP="00C52545">
      <w:pPr>
        <w:rPr>
          <w:rFonts w:eastAsia="Calibri" w:cs="Arial"/>
          <w:lang w:val="cs-CZ"/>
        </w:rPr>
      </w:pPr>
    </w:p>
    <w:p w:rsidR="005840C5" w:rsidRPr="00ED3950" w:rsidRDefault="00ED3950">
      <w:pPr>
        <w:rPr>
          <w:rFonts w:eastAsia="Calibri" w:cs="Arial"/>
          <w:lang w:val="cs-CZ"/>
        </w:rPr>
      </w:pPr>
      <w:r w:rsidRPr="00ED3950">
        <w:rPr>
          <w:rFonts w:eastAsia="Calibri" w:cs="Arial"/>
          <w:lang w:val="cs-CZ"/>
        </w:rPr>
        <w:t xml:space="preserve">Metodické pokyny </w:t>
      </w:r>
      <w:r w:rsidRPr="00ED3950">
        <w:rPr>
          <w:rFonts w:eastAsia="Calibri" w:cs="Arial"/>
          <w:lang w:val="cs-CZ"/>
        </w:rPr>
        <w:t xml:space="preserve">Ministerstva životního prostředí </w:t>
      </w:r>
      <w:r w:rsidRPr="00ED3950">
        <w:rPr>
          <w:rFonts w:eastAsia="Calibri" w:cs="Arial"/>
          <w:lang w:val="cs-CZ"/>
        </w:rPr>
        <w:t>k DNSH pro RRF zahrnují:</w:t>
      </w:r>
    </w:p>
    <w:p w:rsidR="005840C5" w:rsidRPr="00ED3950" w:rsidRDefault="00ED3950">
      <w:pPr>
        <w:pStyle w:val="lp11"/>
        <w:numPr>
          <w:ilvl w:val="0"/>
          <w:numId w:val="52"/>
        </w:numPr>
        <w:rPr>
          <w:lang w:val="cs-CZ"/>
        </w:rPr>
      </w:pPr>
      <w:r w:rsidRPr="00ED3950">
        <w:rPr>
          <w:b/>
          <w:bCs/>
          <w:lang w:val="cs-CZ"/>
        </w:rPr>
        <w:lastRenderedPageBreak/>
        <w:t>Fáze hodnocení</w:t>
      </w:r>
      <w:r w:rsidRPr="00ED3950">
        <w:rPr>
          <w:lang w:val="cs-CZ"/>
        </w:rPr>
        <w:t xml:space="preserve">: Fáze </w:t>
      </w:r>
      <w:r w:rsidRPr="00ED3950">
        <w:rPr>
          <w:lang w:val="cs-CZ"/>
        </w:rPr>
        <w:t xml:space="preserve">hodnocení: </w:t>
      </w:r>
      <w:r w:rsidRPr="00ED3950">
        <w:rPr>
          <w:lang w:val="cs-CZ"/>
        </w:rPr>
        <w:t xml:space="preserve">sebehodnocení DNSH </w:t>
      </w:r>
      <w:r w:rsidRPr="00ED3950">
        <w:rPr>
          <w:lang w:val="cs-CZ"/>
        </w:rPr>
        <w:t xml:space="preserve">na </w:t>
      </w:r>
      <w:r w:rsidRPr="00ED3950">
        <w:rPr>
          <w:lang w:val="cs-CZ"/>
        </w:rPr>
        <w:t xml:space="preserve">úrovni </w:t>
      </w:r>
      <w:r w:rsidRPr="00ED3950">
        <w:rPr>
          <w:lang w:val="cs-CZ"/>
        </w:rPr>
        <w:t xml:space="preserve">programové </w:t>
      </w:r>
      <w:r w:rsidRPr="00ED3950">
        <w:rPr>
          <w:lang w:val="cs-CZ"/>
        </w:rPr>
        <w:t>složky a jednání s EK</w:t>
      </w:r>
      <w:r w:rsidRPr="00ED3950">
        <w:rPr>
          <w:lang w:val="cs-CZ"/>
        </w:rPr>
        <w:t>;</w:t>
      </w:r>
    </w:p>
    <w:p w:rsidR="005840C5" w:rsidRPr="00ED3950" w:rsidRDefault="00ED3950">
      <w:pPr>
        <w:pStyle w:val="lp11"/>
        <w:numPr>
          <w:ilvl w:val="0"/>
          <w:numId w:val="52"/>
        </w:numPr>
        <w:rPr>
          <w:lang w:val="cs-CZ"/>
        </w:rPr>
      </w:pPr>
      <w:r w:rsidRPr="00ED3950">
        <w:rPr>
          <w:b/>
          <w:bCs/>
          <w:lang w:val="cs-CZ"/>
        </w:rPr>
        <w:t xml:space="preserve">Fáze identifikace: na </w:t>
      </w:r>
      <w:r w:rsidRPr="00ED3950">
        <w:rPr>
          <w:lang w:val="cs-CZ"/>
        </w:rPr>
        <w:t xml:space="preserve">základě </w:t>
      </w:r>
      <w:r w:rsidRPr="00ED3950">
        <w:rPr>
          <w:lang w:val="cs-CZ"/>
        </w:rPr>
        <w:t xml:space="preserve">CID, operativních </w:t>
      </w:r>
      <w:r w:rsidRPr="00ED3950">
        <w:rPr>
          <w:lang w:val="cs-CZ"/>
        </w:rPr>
        <w:t xml:space="preserve">dohod a </w:t>
      </w:r>
      <w:r w:rsidRPr="00ED3950">
        <w:rPr>
          <w:lang w:val="cs-CZ"/>
        </w:rPr>
        <w:t>vnitrostátní dokumentace</w:t>
      </w:r>
      <w:r w:rsidRPr="00ED3950">
        <w:rPr>
          <w:lang w:val="cs-CZ"/>
        </w:rPr>
        <w:t>;</w:t>
      </w:r>
    </w:p>
    <w:p w:rsidR="005840C5" w:rsidRPr="00ED3950" w:rsidRDefault="00ED3950">
      <w:pPr>
        <w:pStyle w:val="lp11"/>
        <w:numPr>
          <w:ilvl w:val="0"/>
          <w:numId w:val="52"/>
        </w:numPr>
        <w:rPr>
          <w:lang w:val="cs-CZ"/>
        </w:rPr>
      </w:pPr>
      <w:r w:rsidRPr="00ED3950">
        <w:rPr>
          <w:b/>
          <w:bCs/>
          <w:lang w:val="cs-CZ"/>
        </w:rPr>
        <w:t xml:space="preserve">Realizační fáze: </w:t>
      </w:r>
      <w:r w:rsidRPr="00ED3950">
        <w:rPr>
          <w:lang w:val="cs-CZ"/>
        </w:rPr>
        <w:t>správa grantů a veřejných zakázek</w:t>
      </w:r>
      <w:r w:rsidRPr="00ED3950">
        <w:rPr>
          <w:lang w:val="cs-CZ"/>
        </w:rPr>
        <w:t>;</w:t>
      </w:r>
    </w:p>
    <w:p w:rsidR="005840C5" w:rsidRPr="00ED3950" w:rsidRDefault="00ED3950">
      <w:pPr>
        <w:pStyle w:val="lp11"/>
        <w:numPr>
          <w:ilvl w:val="0"/>
          <w:numId w:val="52"/>
        </w:numPr>
        <w:rPr>
          <w:lang w:val="cs-CZ"/>
        </w:rPr>
      </w:pPr>
      <w:r w:rsidRPr="00ED3950">
        <w:rPr>
          <w:b/>
          <w:bCs/>
          <w:lang w:val="cs-CZ"/>
        </w:rPr>
        <w:t xml:space="preserve">Kontrola ex-post </w:t>
      </w:r>
      <w:r w:rsidRPr="00ED3950">
        <w:rPr>
          <w:lang w:val="cs-CZ"/>
        </w:rPr>
        <w:t xml:space="preserve">před </w:t>
      </w:r>
      <w:r w:rsidRPr="00ED3950">
        <w:rPr>
          <w:lang w:val="cs-CZ"/>
        </w:rPr>
        <w:t>předložením žádostí o</w:t>
      </w:r>
      <w:r w:rsidRPr="00ED3950">
        <w:rPr>
          <w:lang w:val="cs-CZ"/>
        </w:rPr>
        <w:t xml:space="preserve"> platbu EK</w:t>
      </w:r>
      <w:r w:rsidRPr="00ED3950">
        <w:rPr>
          <w:lang w:val="cs-CZ"/>
        </w:rPr>
        <w:t>.</w:t>
      </w:r>
    </w:p>
    <w:p w:rsidR="005840C5" w:rsidRPr="00ED3950" w:rsidRDefault="00ED3950">
      <w:pPr>
        <w:rPr>
          <w:rFonts w:eastAsia="Calibri" w:cs="Arial"/>
          <w:lang w:val="cs-CZ"/>
        </w:rPr>
      </w:pPr>
      <w:r w:rsidRPr="00ED3950">
        <w:rPr>
          <w:rFonts w:eastAsia="Calibri" w:cs="Arial"/>
          <w:lang w:val="cs-CZ"/>
        </w:rPr>
        <w:t xml:space="preserve">Ministerstvo průmyslu a obchodu koordinuje proces </w:t>
      </w:r>
      <w:r w:rsidRPr="00ED3950">
        <w:rPr>
          <w:rFonts w:eastAsia="Calibri" w:cs="Arial"/>
          <w:lang w:val="cs-CZ"/>
        </w:rPr>
        <w:t xml:space="preserve">a formalizuje </w:t>
      </w:r>
      <w:r w:rsidRPr="00ED3950">
        <w:rPr>
          <w:rFonts w:eastAsia="Calibri" w:cs="Arial"/>
          <w:lang w:val="cs-CZ"/>
        </w:rPr>
        <w:t xml:space="preserve">jednotlivé kroky cyklu </w:t>
      </w:r>
      <w:r w:rsidRPr="00ED3950">
        <w:rPr>
          <w:rFonts w:eastAsia="Calibri" w:cs="Arial"/>
          <w:lang w:val="cs-CZ"/>
        </w:rPr>
        <w:t xml:space="preserve">zavádění </w:t>
      </w:r>
      <w:r w:rsidRPr="00ED3950">
        <w:rPr>
          <w:rFonts w:eastAsia="Calibri" w:cs="Arial"/>
          <w:lang w:val="cs-CZ"/>
        </w:rPr>
        <w:t>DNSH</w:t>
      </w:r>
      <w:r w:rsidRPr="00ED3950">
        <w:rPr>
          <w:rFonts w:eastAsia="Calibri" w:cs="Arial"/>
          <w:lang w:val="cs-CZ"/>
        </w:rPr>
        <w:t xml:space="preserve">. </w:t>
      </w:r>
      <w:r w:rsidRPr="00ED3950">
        <w:rPr>
          <w:rFonts w:eastAsia="Calibri" w:cs="Arial"/>
          <w:lang w:val="cs-CZ"/>
        </w:rPr>
        <w:t xml:space="preserve">Ad hoc konzultace probíhají </w:t>
      </w:r>
      <w:r w:rsidRPr="00ED3950">
        <w:rPr>
          <w:rFonts w:eastAsia="Calibri" w:cs="Arial"/>
          <w:lang w:val="cs-CZ"/>
        </w:rPr>
        <w:t xml:space="preserve">také </w:t>
      </w:r>
      <w:r w:rsidRPr="00ED3950">
        <w:rPr>
          <w:rFonts w:eastAsia="Calibri" w:cs="Arial"/>
          <w:lang w:val="cs-CZ"/>
        </w:rPr>
        <w:t>s Ministerstvem životního prost</w:t>
      </w:r>
      <w:r w:rsidRPr="00ED3950">
        <w:rPr>
          <w:rFonts w:eastAsia="Calibri" w:cs="Arial"/>
          <w:lang w:val="cs-CZ"/>
        </w:rPr>
        <w:t>ředí.</w:t>
      </w:r>
    </w:p>
    <w:p w:rsidR="005840C5" w:rsidRPr="00ED3950" w:rsidRDefault="00ED3950">
      <w:pPr>
        <w:rPr>
          <w:rFonts w:eastAsia="Calibri" w:cs="Arial"/>
          <w:lang w:val="cs-CZ"/>
        </w:rPr>
      </w:pPr>
      <w:r w:rsidRPr="00ED3950">
        <w:rPr>
          <w:rFonts w:eastAsia="Calibri" w:cs="Arial"/>
          <w:lang w:val="cs-CZ"/>
        </w:rPr>
        <w:t xml:space="preserve">Pokud jde o fondy politiky soudržnosti, upřednostňuje se zjednodušený jednofázový přístup pro </w:t>
      </w:r>
      <w:r w:rsidRPr="00ED3950">
        <w:rPr>
          <w:rFonts w:eastAsia="Calibri" w:cs="Arial"/>
          <w:lang w:val="cs-CZ"/>
        </w:rPr>
        <w:t xml:space="preserve">každý program. </w:t>
      </w:r>
    </w:p>
    <w:p w:rsidR="005840C5" w:rsidRPr="00ED3950" w:rsidRDefault="00ED3950">
      <w:pPr>
        <w:rPr>
          <w:rFonts w:eastAsia="Calibri" w:cs="Arial"/>
          <w:lang w:val="cs-CZ"/>
        </w:rPr>
      </w:pPr>
      <w:r w:rsidRPr="00ED3950">
        <w:rPr>
          <w:rFonts w:eastAsia="Calibri" w:cs="Arial"/>
          <w:lang w:val="cs-CZ"/>
        </w:rPr>
        <w:t>Realizační fáze spočívá ve správě grantů.</w:t>
      </w:r>
    </w:p>
    <w:p w:rsidR="00C52545" w:rsidRPr="00ED3950" w:rsidRDefault="00C52545" w:rsidP="00C52545">
      <w:pPr>
        <w:rPr>
          <w:rFonts w:eastAsia="Calibri" w:cs="Arial"/>
          <w:lang w:val="cs-CZ"/>
        </w:rPr>
      </w:pPr>
    </w:p>
    <w:p w:rsidR="005840C5" w:rsidRPr="00ED3950" w:rsidRDefault="00ED3950">
      <w:pPr>
        <w:rPr>
          <w:rFonts w:eastAsia="Calibri" w:cs="Arial"/>
          <w:lang w:val="cs-CZ"/>
        </w:rPr>
      </w:pPr>
      <w:r w:rsidRPr="00ED3950">
        <w:rPr>
          <w:rFonts w:eastAsia="Calibri" w:cs="Arial"/>
          <w:lang w:val="cs-CZ"/>
        </w:rPr>
        <w:t xml:space="preserve">EK </w:t>
      </w:r>
      <w:r w:rsidRPr="00ED3950">
        <w:rPr>
          <w:rFonts w:eastAsia="Calibri" w:cs="Arial"/>
          <w:lang w:val="cs-CZ"/>
        </w:rPr>
        <w:t xml:space="preserve">ověřila tento přístup v každém programu prostřednictvím monitorovacího výboru. </w:t>
      </w:r>
      <w:r w:rsidRPr="00ED3950">
        <w:rPr>
          <w:rFonts w:eastAsia="Calibri" w:cs="Arial"/>
          <w:lang w:val="cs-CZ"/>
        </w:rPr>
        <w:t>Na základě zpět</w:t>
      </w:r>
      <w:r w:rsidRPr="00ED3950">
        <w:rPr>
          <w:rFonts w:eastAsia="Calibri" w:cs="Arial"/>
          <w:lang w:val="cs-CZ"/>
        </w:rPr>
        <w:t xml:space="preserve">né vazby od řídicích orgánů (především ministerstev) bude postupně upřesňován. Je třeba poznamenat, že </w:t>
      </w:r>
      <w:r w:rsidRPr="00ED3950">
        <w:rPr>
          <w:rFonts w:eastAsia="Calibri" w:cs="Arial"/>
          <w:lang w:val="cs-CZ"/>
        </w:rPr>
        <w:t xml:space="preserve">doporučení vypracovaná </w:t>
      </w:r>
      <w:r w:rsidRPr="00ED3950">
        <w:rPr>
          <w:rFonts w:eastAsia="Calibri" w:cs="Arial"/>
          <w:lang w:val="cs-CZ"/>
        </w:rPr>
        <w:t xml:space="preserve">v pokynech </w:t>
      </w:r>
      <w:r w:rsidRPr="00ED3950">
        <w:rPr>
          <w:rFonts w:eastAsia="Calibri" w:cs="Arial"/>
          <w:lang w:val="cs-CZ"/>
        </w:rPr>
        <w:t xml:space="preserve">jsou </w:t>
      </w:r>
      <w:r w:rsidRPr="00ED3950">
        <w:rPr>
          <w:rFonts w:eastAsia="Calibri" w:cs="Arial"/>
          <w:lang w:val="cs-CZ"/>
        </w:rPr>
        <w:t xml:space="preserve">v současné době </w:t>
      </w:r>
      <w:r w:rsidRPr="00ED3950">
        <w:rPr>
          <w:rFonts w:eastAsia="Calibri" w:cs="Arial"/>
          <w:lang w:val="cs-CZ"/>
        </w:rPr>
        <w:t>nepovinná</w:t>
      </w:r>
      <w:r w:rsidRPr="00ED3950">
        <w:rPr>
          <w:rFonts w:eastAsia="Calibri" w:cs="Arial"/>
          <w:lang w:val="cs-CZ"/>
        </w:rPr>
        <w:t>.</w:t>
      </w:r>
    </w:p>
    <w:p w:rsidR="00C52545" w:rsidRPr="00ED3950" w:rsidRDefault="00C52545" w:rsidP="00C52545">
      <w:pPr>
        <w:rPr>
          <w:rFonts w:eastAsia="Calibri" w:cs="Arial"/>
          <w:lang w:val="cs-CZ"/>
        </w:rPr>
      </w:pPr>
    </w:p>
    <w:p w:rsidR="005840C5" w:rsidRPr="00ED3950" w:rsidRDefault="00ED3950">
      <w:pPr>
        <w:numPr>
          <w:ilvl w:val="2"/>
          <w:numId w:val="0"/>
        </w:numPr>
        <w:tabs>
          <w:tab w:val="left" w:pos="851"/>
        </w:tabs>
        <w:ind w:left="1134" w:hanging="567"/>
        <w:contextualSpacing/>
        <w:outlineLvl w:val="2"/>
        <w:rPr>
          <w:rFonts w:eastAsia="Calibri" w:cs="Arial"/>
          <w:b/>
          <w:i/>
          <w:color w:val="F04E30"/>
          <w:lang w:val="cs-CZ"/>
        </w:rPr>
      </w:pPr>
      <w:bookmarkStart w:id="110" w:name="_Toc127978732"/>
      <w:bookmarkStart w:id="111" w:name="_Toc131757481"/>
      <w:bookmarkStart w:id="112" w:name="_Toc131775874"/>
      <w:r w:rsidRPr="00ED3950">
        <w:rPr>
          <w:rFonts w:eastAsia="Calibri" w:cs="Arial"/>
          <w:b/>
          <w:i/>
          <w:color w:val="F04E30"/>
          <w:lang w:val="cs-CZ"/>
        </w:rPr>
        <w:t>Získané zkušenosti</w:t>
      </w:r>
      <w:bookmarkEnd w:id="110"/>
      <w:bookmarkEnd w:id="111"/>
      <w:bookmarkEnd w:id="112"/>
    </w:p>
    <w:p w:rsidR="005840C5" w:rsidRPr="00ED3950" w:rsidRDefault="00ED3950">
      <w:pPr>
        <w:pStyle w:val="lp11"/>
        <w:ind w:left="567" w:firstLine="0"/>
        <w:rPr>
          <w:lang w:val="cs-CZ"/>
        </w:rPr>
      </w:pPr>
      <w:r w:rsidRPr="00ED3950">
        <w:rPr>
          <w:lang w:val="cs-CZ"/>
        </w:rPr>
        <w:t>Z toho lze vyvodit řadu poučení:</w:t>
      </w:r>
    </w:p>
    <w:p w:rsidR="005840C5" w:rsidRPr="00ED3950" w:rsidRDefault="00ED3950">
      <w:pPr>
        <w:pStyle w:val="lp11"/>
        <w:numPr>
          <w:ilvl w:val="0"/>
          <w:numId w:val="8"/>
        </w:numPr>
        <w:rPr>
          <w:lang w:val="cs-CZ"/>
        </w:rPr>
      </w:pPr>
      <w:r w:rsidRPr="00ED3950">
        <w:rPr>
          <w:lang w:val="cs-CZ"/>
        </w:rPr>
        <w:t xml:space="preserve">Žadatelé </w:t>
      </w:r>
      <w:r w:rsidRPr="00ED3950">
        <w:rPr>
          <w:lang w:val="cs-CZ"/>
        </w:rPr>
        <w:t xml:space="preserve">by neměli </w:t>
      </w:r>
      <w:r w:rsidRPr="00ED3950">
        <w:rPr>
          <w:lang w:val="cs-CZ"/>
        </w:rPr>
        <w:t xml:space="preserve">nést </w:t>
      </w:r>
      <w:r w:rsidRPr="00ED3950">
        <w:rPr>
          <w:lang w:val="cs-CZ"/>
        </w:rPr>
        <w:t>zátěž spoj</w:t>
      </w:r>
      <w:r w:rsidRPr="00ED3950">
        <w:rPr>
          <w:lang w:val="cs-CZ"/>
        </w:rPr>
        <w:t xml:space="preserve">enou s </w:t>
      </w:r>
      <w:r w:rsidRPr="00ED3950">
        <w:rPr>
          <w:lang w:val="cs-CZ"/>
        </w:rPr>
        <w:t>posuzováním</w:t>
      </w:r>
      <w:r w:rsidRPr="00ED3950">
        <w:rPr>
          <w:lang w:val="cs-CZ"/>
        </w:rPr>
        <w:t xml:space="preserve"> DNSH </w:t>
      </w:r>
      <w:r w:rsidRPr="00ED3950">
        <w:rPr>
          <w:lang w:val="cs-CZ"/>
        </w:rPr>
        <w:t>sami</w:t>
      </w:r>
      <w:r w:rsidRPr="00ED3950">
        <w:rPr>
          <w:lang w:val="cs-CZ"/>
        </w:rPr>
        <w:t>;</w:t>
      </w:r>
    </w:p>
    <w:p w:rsidR="005840C5" w:rsidRPr="00ED3950" w:rsidRDefault="00ED3950">
      <w:pPr>
        <w:pStyle w:val="lp11"/>
        <w:numPr>
          <w:ilvl w:val="0"/>
          <w:numId w:val="8"/>
        </w:numPr>
        <w:rPr>
          <w:lang w:val="cs-CZ"/>
        </w:rPr>
      </w:pPr>
      <w:r w:rsidRPr="00ED3950">
        <w:rPr>
          <w:lang w:val="cs-CZ"/>
        </w:rPr>
        <w:t>Pružnost je nezbytná, protože cíle programů se mohou v čase měnit</w:t>
      </w:r>
      <w:r w:rsidRPr="00ED3950">
        <w:rPr>
          <w:lang w:val="cs-CZ"/>
        </w:rPr>
        <w:t xml:space="preserve">. </w:t>
      </w:r>
      <w:r w:rsidRPr="00ED3950">
        <w:rPr>
          <w:lang w:val="cs-CZ"/>
        </w:rPr>
        <w:t xml:space="preserve">Proto by velmi konkrétní doporučení mohla rychle zastarat, </w:t>
      </w:r>
      <w:r w:rsidRPr="00ED3950">
        <w:rPr>
          <w:lang w:val="cs-CZ"/>
        </w:rPr>
        <w:t>pokud by nebyla přizpůsobena budoucnosti</w:t>
      </w:r>
      <w:r w:rsidRPr="00ED3950">
        <w:rPr>
          <w:lang w:val="cs-CZ"/>
        </w:rPr>
        <w:t>;</w:t>
      </w:r>
    </w:p>
    <w:p w:rsidR="005840C5" w:rsidRPr="00ED3950" w:rsidRDefault="00ED3950">
      <w:pPr>
        <w:pStyle w:val="lp11"/>
        <w:numPr>
          <w:ilvl w:val="0"/>
          <w:numId w:val="8"/>
        </w:numPr>
        <w:rPr>
          <w:lang w:val="cs-CZ"/>
        </w:rPr>
      </w:pPr>
      <w:r w:rsidRPr="00ED3950">
        <w:rPr>
          <w:lang w:val="cs-CZ"/>
        </w:rPr>
        <w:t xml:space="preserve">Bonifikace environmentálních ambicí může být </w:t>
      </w:r>
      <w:r w:rsidRPr="00ED3950">
        <w:rPr>
          <w:lang w:val="cs-CZ"/>
        </w:rPr>
        <w:t>užitečným nástrojem, který ztěžuje komplexní hodnocení DNSH</w:t>
      </w:r>
      <w:r w:rsidRPr="00ED3950">
        <w:rPr>
          <w:lang w:val="cs-CZ"/>
        </w:rPr>
        <w:t>;</w:t>
      </w:r>
    </w:p>
    <w:p w:rsidR="005840C5" w:rsidRPr="00ED3950" w:rsidRDefault="00ED3950">
      <w:pPr>
        <w:pStyle w:val="lp11"/>
        <w:numPr>
          <w:ilvl w:val="0"/>
          <w:numId w:val="8"/>
        </w:numPr>
        <w:rPr>
          <w:lang w:val="cs-CZ"/>
        </w:rPr>
      </w:pPr>
      <w:r w:rsidRPr="00ED3950">
        <w:rPr>
          <w:lang w:val="cs-CZ"/>
        </w:rPr>
        <w:t>Chybí souhrnné údaje a vhodné nástroje IT;</w:t>
      </w:r>
    </w:p>
    <w:p w:rsidR="005840C5" w:rsidRPr="00ED3950" w:rsidRDefault="00ED3950">
      <w:pPr>
        <w:pStyle w:val="lp11"/>
        <w:numPr>
          <w:ilvl w:val="0"/>
          <w:numId w:val="8"/>
        </w:numPr>
        <w:rPr>
          <w:lang w:val="cs-CZ"/>
        </w:rPr>
      </w:pPr>
      <w:r w:rsidRPr="00ED3950">
        <w:rPr>
          <w:lang w:val="cs-CZ"/>
        </w:rPr>
        <w:t>Je třeba stanovit konkrétní kritéria pro výstavbu, renovaci a nákupy.</w:t>
      </w:r>
    </w:p>
    <w:p w:rsidR="00C52545" w:rsidRPr="00ED3950" w:rsidRDefault="00C52545" w:rsidP="00C52545">
      <w:pPr>
        <w:rPr>
          <w:rFonts w:eastAsia="Calibri" w:cs="Arial"/>
          <w:lang w:val="cs-CZ"/>
        </w:rPr>
      </w:pPr>
    </w:p>
    <w:p w:rsidR="005840C5" w:rsidRPr="00ED3950" w:rsidRDefault="00ED3950">
      <w:pPr>
        <w:pStyle w:val="Nadpis2"/>
        <w:numPr>
          <w:ilvl w:val="0"/>
          <w:numId w:val="0"/>
        </w:numPr>
        <w:ind w:left="567"/>
        <w:rPr>
          <w:lang w:val="cs-CZ"/>
        </w:rPr>
      </w:pPr>
      <w:bookmarkStart w:id="113" w:name="_Toc127978733"/>
      <w:bookmarkStart w:id="114" w:name="_Toc131757482"/>
      <w:bookmarkStart w:id="115" w:name="_Toc131775875"/>
      <w:proofErr w:type="spellStart"/>
      <w:r w:rsidRPr="00ED3950">
        <w:rPr>
          <w:lang w:val="cs-CZ"/>
        </w:rPr>
        <w:t>Luc</w:t>
      </w:r>
      <w:bookmarkStart w:id="116" w:name="_Hlk131678190"/>
      <w:proofErr w:type="spellEnd"/>
      <w:r w:rsidRPr="00ED3950">
        <w:rPr>
          <w:lang w:val="cs-CZ"/>
        </w:rPr>
        <w:t xml:space="preserve"> í</w:t>
      </w:r>
      <w:bookmarkEnd w:id="116"/>
      <w:r w:rsidRPr="00ED3950">
        <w:rPr>
          <w:lang w:val="cs-CZ"/>
        </w:rPr>
        <w:t xml:space="preserve"> a </w:t>
      </w:r>
      <w:proofErr w:type="spellStart"/>
      <w:r w:rsidRPr="00ED3950">
        <w:rPr>
          <w:lang w:val="cs-CZ"/>
        </w:rPr>
        <w:t>Cobo</w:t>
      </w:r>
      <w:proofErr w:type="spellEnd"/>
      <w:r w:rsidRPr="00ED3950">
        <w:rPr>
          <w:lang w:val="cs-CZ"/>
        </w:rPr>
        <w:t xml:space="preserve"> -</w:t>
      </w:r>
      <w:bookmarkStart w:id="117" w:name="_Hlk131678333"/>
      <w:r w:rsidRPr="00ED3950">
        <w:rPr>
          <w:lang w:val="cs-CZ"/>
        </w:rPr>
        <w:t xml:space="preserve"> Ministerstvo pro ekologický přechod a demografické výzvy</w:t>
      </w:r>
      <w:bookmarkEnd w:id="117"/>
      <w:r w:rsidRPr="00ED3950">
        <w:rPr>
          <w:lang w:val="cs-CZ"/>
        </w:rPr>
        <w:t xml:space="preserve"> (Španělsk</w:t>
      </w:r>
      <w:r w:rsidRPr="00ED3950">
        <w:rPr>
          <w:lang w:val="cs-CZ"/>
        </w:rPr>
        <w:t>o).</w:t>
      </w:r>
      <w:bookmarkEnd w:id="113"/>
      <w:bookmarkEnd w:id="114"/>
      <w:bookmarkEnd w:id="115"/>
    </w:p>
    <w:p w:rsidR="005840C5" w:rsidRPr="00ED3950" w:rsidRDefault="00ED3950">
      <w:pPr>
        <w:numPr>
          <w:ilvl w:val="2"/>
          <w:numId w:val="0"/>
        </w:numPr>
        <w:tabs>
          <w:tab w:val="left" w:pos="851"/>
        </w:tabs>
        <w:ind w:left="1134" w:hanging="567"/>
        <w:contextualSpacing/>
        <w:outlineLvl w:val="2"/>
        <w:rPr>
          <w:rFonts w:eastAsia="Calibri" w:cs="Arial"/>
          <w:b/>
          <w:i/>
          <w:color w:val="F04E30"/>
          <w:lang w:val="cs-CZ"/>
        </w:rPr>
      </w:pPr>
      <w:bookmarkStart w:id="118" w:name="_Toc127978734"/>
      <w:bookmarkStart w:id="119" w:name="_Toc131757483"/>
      <w:bookmarkStart w:id="120" w:name="_Toc131775876"/>
      <w:r w:rsidRPr="00ED3950">
        <w:rPr>
          <w:rFonts w:eastAsia="Calibri" w:cs="Arial"/>
          <w:b/>
          <w:i/>
          <w:color w:val="F04E30"/>
          <w:lang w:val="cs-CZ"/>
        </w:rPr>
        <w:t>Kontext</w:t>
      </w:r>
      <w:bookmarkEnd w:id="118"/>
      <w:bookmarkEnd w:id="119"/>
      <w:bookmarkEnd w:id="120"/>
    </w:p>
    <w:p w:rsidR="005840C5" w:rsidRPr="00ED3950" w:rsidRDefault="00ED3950">
      <w:pPr>
        <w:rPr>
          <w:rFonts w:eastAsia="Calibri" w:cs="Arial"/>
          <w:lang w:val="cs-CZ"/>
        </w:rPr>
      </w:pPr>
      <w:r w:rsidRPr="00ED3950">
        <w:rPr>
          <w:rFonts w:eastAsia="Calibri" w:cs="Arial"/>
          <w:lang w:val="cs-CZ"/>
        </w:rPr>
        <w:t xml:space="preserve">Španělsko je hlavním příjemcem </w:t>
      </w:r>
      <w:r w:rsidRPr="00ED3950">
        <w:rPr>
          <w:rFonts w:eastAsia="Calibri" w:cs="Arial"/>
          <w:lang w:val="cs-CZ"/>
        </w:rPr>
        <w:t xml:space="preserve">RRF a obdrží více než </w:t>
      </w:r>
      <w:r w:rsidRPr="00ED3950">
        <w:rPr>
          <w:rFonts w:eastAsia="Calibri" w:cs="Arial"/>
          <w:lang w:val="cs-CZ"/>
        </w:rPr>
        <w:t xml:space="preserve">69 miliard eur </w:t>
      </w:r>
      <w:r w:rsidRPr="00ED3950">
        <w:rPr>
          <w:rFonts w:eastAsia="Calibri" w:cs="Arial"/>
          <w:lang w:val="cs-CZ"/>
        </w:rPr>
        <w:t xml:space="preserve">(s ohledem na </w:t>
      </w:r>
      <w:r w:rsidRPr="00ED3950">
        <w:rPr>
          <w:rFonts w:eastAsia="Calibri" w:cs="Arial"/>
          <w:lang w:val="cs-CZ"/>
        </w:rPr>
        <w:t xml:space="preserve">aktualizaci v roce 2022). Španělský </w:t>
      </w:r>
      <w:r w:rsidRPr="00ED3950">
        <w:rPr>
          <w:rFonts w:eastAsia="Calibri" w:cs="Arial"/>
          <w:lang w:val="cs-CZ"/>
        </w:rPr>
        <w:t xml:space="preserve">RRP </w:t>
      </w:r>
      <w:r w:rsidRPr="00ED3950">
        <w:rPr>
          <w:rFonts w:eastAsia="Calibri" w:cs="Arial"/>
          <w:lang w:val="cs-CZ"/>
        </w:rPr>
        <w:t xml:space="preserve">bude rovněž posílen investicemi prostřednictvím půjček a programu </w:t>
      </w:r>
      <w:proofErr w:type="spellStart"/>
      <w:r w:rsidRPr="00ED3950">
        <w:rPr>
          <w:rFonts w:eastAsia="Calibri" w:cs="Arial"/>
          <w:lang w:val="cs-CZ"/>
        </w:rPr>
        <w:t>RePowerEU</w:t>
      </w:r>
      <w:proofErr w:type="spellEnd"/>
      <w:r w:rsidRPr="00ED3950">
        <w:rPr>
          <w:rFonts w:eastAsia="Calibri" w:cs="Arial"/>
          <w:lang w:val="cs-CZ"/>
        </w:rPr>
        <w:t xml:space="preserve">. Plán obsahuje 10 pákových politik, včetně 30 </w:t>
      </w:r>
      <w:r w:rsidRPr="00ED3950">
        <w:rPr>
          <w:rFonts w:eastAsia="Calibri" w:cs="Arial"/>
          <w:lang w:val="cs-CZ"/>
        </w:rPr>
        <w:t xml:space="preserve">složek zahrnujících opatření. </w:t>
      </w:r>
      <w:r w:rsidRPr="00ED3950">
        <w:rPr>
          <w:rFonts w:eastAsia="Calibri" w:cs="Arial"/>
          <w:lang w:val="cs-CZ"/>
        </w:rPr>
        <w:t xml:space="preserve">Tým DNSH zastoupený </w:t>
      </w:r>
      <w:r w:rsidRPr="00ED3950">
        <w:rPr>
          <w:rFonts w:eastAsia="Calibri" w:cs="Arial"/>
          <w:lang w:val="cs-CZ"/>
        </w:rPr>
        <w:t xml:space="preserve">Lucií </w:t>
      </w:r>
      <w:proofErr w:type="spellStart"/>
      <w:r w:rsidRPr="00ED3950">
        <w:rPr>
          <w:rFonts w:eastAsia="Calibri" w:cs="Arial"/>
          <w:lang w:val="cs-CZ"/>
        </w:rPr>
        <w:t>Cobo</w:t>
      </w:r>
      <w:proofErr w:type="spellEnd"/>
      <w:r w:rsidRPr="00ED3950">
        <w:rPr>
          <w:rFonts w:eastAsia="Calibri" w:cs="Arial"/>
          <w:lang w:val="cs-CZ"/>
        </w:rPr>
        <w:t xml:space="preserve"> </w:t>
      </w:r>
      <w:r w:rsidRPr="00ED3950">
        <w:rPr>
          <w:rFonts w:eastAsia="Calibri" w:cs="Arial"/>
          <w:lang w:val="cs-CZ"/>
        </w:rPr>
        <w:t>řídí 10 z těchto složek</w:t>
      </w:r>
      <w:r w:rsidRPr="00ED3950">
        <w:rPr>
          <w:rFonts w:eastAsia="Calibri" w:cs="Arial"/>
          <w:lang w:val="cs-CZ"/>
        </w:rPr>
        <w:t xml:space="preserve">. </w:t>
      </w:r>
      <w:r w:rsidRPr="00ED3950">
        <w:rPr>
          <w:rFonts w:eastAsia="Calibri" w:cs="Arial"/>
          <w:lang w:val="cs-CZ"/>
        </w:rPr>
        <w:t>Týkají se politik životního prostředí a energetiky (21 % hodnoty plánu).</w:t>
      </w:r>
    </w:p>
    <w:p w:rsidR="00C52545" w:rsidRPr="00ED3950" w:rsidRDefault="00C52545" w:rsidP="00C52545">
      <w:pPr>
        <w:rPr>
          <w:rFonts w:eastAsia="Calibri" w:cs="Arial"/>
          <w:lang w:val="cs-CZ"/>
        </w:rPr>
      </w:pPr>
    </w:p>
    <w:p w:rsidR="005840C5" w:rsidRPr="00ED3950" w:rsidRDefault="00ED3950">
      <w:pPr>
        <w:numPr>
          <w:ilvl w:val="2"/>
          <w:numId w:val="0"/>
        </w:numPr>
        <w:tabs>
          <w:tab w:val="left" w:pos="851"/>
        </w:tabs>
        <w:ind w:left="1134" w:hanging="567"/>
        <w:contextualSpacing/>
        <w:outlineLvl w:val="2"/>
        <w:rPr>
          <w:rFonts w:eastAsia="Calibri" w:cs="Arial"/>
          <w:b/>
          <w:i/>
          <w:color w:val="F04E30"/>
          <w:lang w:val="cs-CZ"/>
        </w:rPr>
      </w:pPr>
      <w:bookmarkStart w:id="121" w:name="_Toc127978735"/>
      <w:bookmarkStart w:id="122" w:name="_Toc131757484"/>
      <w:bookmarkStart w:id="123" w:name="_Toc131775877"/>
      <w:r w:rsidRPr="00ED3950">
        <w:rPr>
          <w:rFonts w:eastAsia="Calibri" w:cs="Arial"/>
          <w:b/>
          <w:i/>
          <w:color w:val="F04E30"/>
          <w:lang w:val="cs-CZ"/>
        </w:rPr>
        <w:t>Představení systému řízení</w:t>
      </w:r>
      <w:bookmarkEnd w:id="121"/>
      <w:bookmarkEnd w:id="122"/>
      <w:bookmarkEnd w:id="123"/>
    </w:p>
    <w:p w:rsidR="005840C5" w:rsidRPr="00ED3950" w:rsidRDefault="00ED3950">
      <w:pPr>
        <w:rPr>
          <w:rFonts w:eastAsia="Calibri" w:cs="Arial"/>
          <w:lang w:val="cs-CZ"/>
        </w:rPr>
      </w:pPr>
      <w:r w:rsidRPr="00ED3950">
        <w:rPr>
          <w:rFonts w:eastAsia="Calibri" w:cs="Arial"/>
          <w:lang w:val="cs-CZ"/>
        </w:rPr>
        <w:t>Plán je náročný nejen kvůli svému objemu a širokému záběru</w:t>
      </w:r>
      <w:r w:rsidRPr="00ED3950">
        <w:rPr>
          <w:rFonts w:eastAsia="Calibri" w:cs="Arial"/>
          <w:lang w:val="cs-CZ"/>
        </w:rPr>
        <w:t xml:space="preserve">, </w:t>
      </w:r>
      <w:r w:rsidRPr="00ED3950">
        <w:rPr>
          <w:rFonts w:eastAsia="Calibri" w:cs="Arial"/>
          <w:lang w:val="cs-CZ"/>
        </w:rPr>
        <w:t xml:space="preserve">ale také proto, že existuje nebývalé množství správních orgánů, které musí koordinovat jeho provádění. Královský dekret </w:t>
      </w:r>
      <w:r w:rsidRPr="00ED3950">
        <w:rPr>
          <w:rFonts w:eastAsia="Calibri" w:cs="Arial"/>
          <w:lang w:val="cs-CZ"/>
        </w:rPr>
        <w:t xml:space="preserve">stanoví </w:t>
      </w:r>
      <w:r w:rsidRPr="00ED3950">
        <w:rPr>
          <w:rFonts w:eastAsia="Calibri" w:cs="Arial"/>
          <w:lang w:val="cs-CZ"/>
        </w:rPr>
        <w:t xml:space="preserve">systém řízení této implementace (včetně PPP, žádostí, kontrol a auditních opatření). To </w:t>
      </w:r>
      <w:r w:rsidRPr="00ED3950">
        <w:rPr>
          <w:rFonts w:eastAsia="Calibri" w:cs="Arial"/>
          <w:lang w:val="cs-CZ"/>
        </w:rPr>
        <w:t xml:space="preserve">urychluje </w:t>
      </w:r>
      <w:r w:rsidRPr="00ED3950">
        <w:rPr>
          <w:rFonts w:eastAsia="Calibri" w:cs="Arial"/>
          <w:lang w:val="cs-CZ"/>
        </w:rPr>
        <w:t>implementační a administrativn</w:t>
      </w:r>
      <w:r w:rsidRPr="00ED3950">
        <w:rPr>
          <w:rFonts w:eastAsia="Calibri" w:cs="Arial"/>
          <w:lang w:val="cs-CZ"/>
        </w:rPr>
        <w:t xml:space="preserve">í postupy </w:t>
      </w:r>
      <w:r w:rsidRPr="00ED3950">
        <w:rPr>
          <w:rFonts w:eastAsia="Calibri" w:cs="Arial"/>
          <w:lang w:val="cs-CZ"/>
        </w:rPr>
        <w:t xml:space="preserve">a umožňuje zřídit </w:t>
      </w:r>
      <w:r w:rsidRPr="00ED3950">
        <w:rPr>
          <w:rFonts w:eastAsia="Calibri" w:cs="Arial"/>
          <w:lang w:val="cs-CZ"/>
        </w:rPr>
        <w:t xml:space="preserve">technické výbory. </w:t>
      </w:r>
      <w:r w:rsidRPr="00ED3950">
        <w:rPr>
          <w:rFonts w:eastAsia="Calibri" w:cs="Arial"/>
          <w:lang w:val="cs-CZ"/>
        </w:rPr>
        <w:t xml:space="preserve">Ty jsou přímo </w:t>
      </w:r>
      <w:r w:rsidRPr="00ED3950">
        <w:rPr>
          <w:rFonts w:eastAsia="Calibri" w:cs="Arial"/>
          <w:lang w:val="cs-CZ"/>
        </w:rPr>
        <w:t xml:space="preserve">řízeny přímo Pedrem </w:t>
      </w:r>
      <w:proofErr w:type="spellStart"/>
      <w:r w:rsidRPr="00ED3950">
        <w:rPr>
          <w:rFonts w:eastAsia="Calibri" w:cs="Arial"/>
          <w:lang w:val="cs-CZ"/>
        </w:rPr>
        <w:t>Sanchezem</w:t>
      </w:r>
      <w:proofErr w:type="spellEnd"/>
      <w:r w:rsidRPr="00ED3950">
        <w:rPr>
          <w:rFonts w:eastAsia="Calibri" w:cs="Arial"/>
          <w:lang w:val="cs-CZ"/>
        </w:rPr>
        <w:t>.</w:t>
      </w:r>
    </w:p>
    <w:p w:rsidR="005840C5" w:rsidRPr="00ED3950" w:rsidRDefault="00ED3950">
      <w:pPr>
        <w:rPr>
          <w:rFonts w:eastAsia="Calibri" w:cs="Arial"/>
          <w:lang w:val="cs-CZ"/>
        </w:rPr>
      </w:pPr>
      <w:r w:rsidRPr="00ED3950">
        <w:rPr>
          <w:rFonts w:eastAsia="Calibri" w:cs="Arial"/>
          <w:lang w:val="cs-CZ"/>
        </w:rPr>
        <w:t>Hlavním koordinačním orgánem je Ministerstvo financí. Všimněte si, že do implementace jsou zapojeny regiony. Stávající systém veřejné kontroly byl aktualizován směre</w:t>
      </w:r>
      <w:r w:rsidRPr="00ED3950">
        <w:rPr>
          <w:rFonts w:eastAsia="Calibri" w:cs="Arial"/>
          <w:lang w:val="cs-CZ"/>
        </w:rPr>
        <w:t xml:space="preserve">m k implementaci RRP. Pravidla se vztahují na celostátní, regionální a místní orgány. Každá správní vrstva musí zajistit jejich dodržování a podává zprávy nadřízené vrstvě. Rozhodovací orgány jsou tedy zodpovědné za nastavení systémů, </w:t>
      </w:r>
      <w:r w:rsidRPr="00ED3950">
        <w:rPr>
          <w:rFonts w:eastAsia="Calibri" w:cs="Arial"/>
          <w:lang w:val="cs-CZ"/>
        </w:rPr>
        <w:t xml:space="preserve">které </w:t>
      </w:r>
      <w:r w:rsidRPr="00ED3950">
        <w:rPr>
          <w:rFonts w:eastAsia="Calibri" w:cs="Arial"/>
          <w:lang w:val="cs-CZ"/>
        </w:rPr>
        <w:t>zajišťují dodrž</w:t>
      </w:r>
      <w:r w:rsidRPr="00ED3950">
        <w:rPr>
          <w:rFonts w:eastAsia="Calibri" w:cs="Arial"/>
          <w:lang w:val="cs-CZ"/>
        </w:rPr>
        <w:t>ování předpisů.</w:t>
      </w:r>
    </w:p>
    <w:p w:rsidR="005840C5" w:rsidRPr="00ED3950" w:rsidRDefault="00ED3950">
      <w:pPr>
        <w:rPr>
          <w:rFonts w:eastAsia="Calibri" w:cs="Arial"/>
          <w:lang w:val="cs-CZ"/>
        </w:rPr>
      </w:pPr>
      <w:r w:rsidRPr="00ED3950">
        <w:rPr>
          <w:rFonts w:eastAsia="Calibri" w:cs="Arial"/>
          <w:lang w:val="cs-CZ"/>
        </w:rPr>
        <w:lastRenderedPageBreak/>
        <w:t xml:space="preserve">V neposlední řadě je tým </w:t>
      </w:r>
      <w:r w:rsidRPr="00ED3950">
        <w:rPr>
          <w:rFonts w:eastAsia="Calibri" w:cs="Arial"/>
          <w:lang w:val="cs-CZ"/>
        </w:rPr>
        <w:t xml:space="preserve">DNSH </w:t>
      </w:r>
      <w:r w:rsidRPr="00ED3950">
        <w:rPr>
          <w:rFonts w:eastAsia="Calibri" w:cs="Arial"/>
          <w:lang w:val="cs-CZ"/>
        </w:rPr>
        <w:t xml:space="preserve">zodpovědný za zelené značení </w:t>
      </w:r>
      <w:r w:rsidRPr="00ED3950">
        <w:rPr>
          <w:rFonts w:eastAsia="Calibri" w:cs="Arial"/>
          <w:lang w:val="cs-CZ"/>
        </w:rPr>
        <w:t xml:space="preserve">od zveřejnění </w:t>
      </w:r>
      <w:r w:rsidRPr="00ED3950">
        <w:rPr>
          <w:rFonts w:eastAsia="Calibri" w:cs="Arial"/>
          <w:lang w:val="cs-CZ"/>
        </w:rPr>
        <w:t xml:space="preserve">zákona v </w:t>
      </w:r>
      <w:r w:rsidRPr="00ED3950">
        <w:rPr>
          <w:rFonts w:eastAsia="Calibri" w:cs="Arial"/>
          <w:lang w:val="cs-CZ"/>
        </w:rPr>
        <w:t xml:space="preserve">roce </w:t>
      </w:r>
      <w:r w:rsidRPr="00ED3950">
        <w:rPr>
          <w:rFonts w:eastAsia="Calibri" w:cs="Arial"/>
          <w:lang w:val="cs-CZ"/>
        </w:rPr>
        <w:t xml:space="preserve">2021, který stanoví kvantitativní cíl pro zelené investice. Na </w:t>
      </w:r>
      <w:r w:rsidRPr="00ED3950">
        <w:rPr>
          <w:rFonts w:eastAsia="Calibri" w:cs="Arial"/>
          <w:lang w:val="cs-CZ"/>
        </w:rPr>
        <w:t xml:space="preserve">základě tohoto pověření tým připravil a zveřejnil analýzu </w:t>
      </w:r>
      <w:r w:rsidRPr="00ED3950">
        <w:rPr>
          <w:rFonts w:eastAsia="Calibri" w:cs="Arial"/>
          <w:lang w:val="cs-CZ"/>
        </w:rPr>
        <w:t xml:space="preserve">rozpočtu </w:t>
      </w:r>
      <w:r w:rsidRPr="00ED3950">
        <w:rPr>
          <w:rFonts w:eastAsia="Calibri" w:cs="Arial"/>
          <w:lang w:val="cs-CZ"/>
        </w:rPr>
        <w:t xml:space="preserve">a </w:t>
      </w:r>
      <w:r w:rsidRPr="00ED3950">
        <w:rPr>
          <w:rFonts w:eastAsia="Calibri" w:cs="Arial"/>
          <w:lang w:val="cs-CZ"/>
        </w:rPr>
        <w:t>byla zřízena pracovní skupina pro zelený rozpočet</w:t>
      </w:r>
      <w:r w:rsidRPr="00ED3950">
        <w:rPr>
          <w:rFonts w:eastAsia="Calibri" w:cs="Arial"/>
          <w:lang w:val="cs-CZ"/>
        </w:rPr>
        <w:t xml:space="preserve">. </w:t>
      </w:r>
      <w:r w:rsidRPr="00ED3950">
        <w:rPr>
          <w:rFonts w:eastAsia="Calibri" w:cs="Arial"/>
          <w:lang w:val="cs-CZ"/>
        </w:rPr>
        <w:t>Iniciativu podpořil projekt TSI</w:t>
      </w:r>
      <w:r w:rsidRPr="00ED3950">
        <w:rPr>
          <w:rFonts w:eastAsia="Calibri" w:cs="Arial"/>
          <w:lang w:val="cs-CZ"/>
        </w:rPr>
        <w:t>.</w:t>
      </w:r>
      <w:r w:rsidRPr="00ED3950">
        <w:rPr>
          <w:rFonts w:eastAsia="Calibri" w:cs="Arial"/>
          <w:lang w:val="cs-CZ"/>
        </w:rPr>
        <w:t xml:space="preserve"> Bylo zjištěno, že 30,6 % výdajů je způsobilých na přizpůsobení se změně klimatu a její zmírnění.</w:t>
      </w:r>
    </w:p>
    <w:p w:rsidR="00C52545" w:rsidRPr="00ED3950" w:rsidRDefault="00C52545" w:rsidP="00C52545">
      <w:pPr>
        <w:rPr>
          <w:rFonts w:eastAsia="Calibri" w:cs="Arial"/>
          <w:lang w:val="cs-CZ"/>
        </w:rPr>
      </w:pPr>
    </w:p>
    <w:p w:rsidR="005840C5" w:rsidRPr="00ED3950" w:rsidRDefault="00ED3950">
      <w:pPr>
        <w:numPr>
          <w:ilvl w:val="2"/>
          <w:numId w:val="0"/>
        </w:numPr>
        <w:tabs>
          <w:tab w:val="left" w:pos="851"/>
        </w:tabs>
        <w:ind w:left="1134" w:hanging="567"/>
        <w:contextualSpacing/>
        <w:outlineLvl w:val="2"/>
        <w:rPr>
          <w:rFonts w:eastAsia="Calibri" w:cs="Arial"/>
          <w:b/>
          <w:i/>
          <w:color w:val="F04E30"/>
          <w:lang w:val="cs-CZ"/>
        </w:rPr>
      </w:pPr>
      <w:bookmarkStart w:id="124" w:name="_Toc127978736"/>
      <w:bookmarkStart w:id="125" w:name="_Toc131757485"/>
      <w:bookmarkStart w:id="126" w:name="_Toc131775878"/>
      <w:r w:rsidRPr="00ED3950">
        <w:rPr>
          <w:rFonts w:eastAsia="Calibri" w:cs="Arial"/>
          <w:b/>
          <w:i/>
          <w:color w:val="F04E30"/>
          <w:lang w:val="cs-CZ"/>
        </w:rPr>
        <w:t>Představení opatření na budování kapacit</w:t>
      </w:r>
      <w:bookmarkEnd w:id="124"/>
      <w:bookmarkEnd w:id="125"/>
      <w:bookmarkEnd w:id="126"/>
    </w:p>
    <w:p w:rsidR="005840C5" w:rsidRPr="00ED3950" w:rsidRDefault="00ED3950">
      <w:pPr>
        <w:rPr>
          <w:rFonts w:eastAsia="Calibri" w:cs="Arial"/>
          <w:lang w:val="cs-CZ"/>
        </w:rPr>
      </w:pPr>
      <w:r w:rsidRPr="00ED3950">
        <w:rPr>
          <w:rFonts w:eastAsia="Calibri" w:cs="Arial"/>
          <w:lang w:val="cs-CZ"/>
        </w:rPr>
        <w:t xml:space="preserve">Vzhledem ke </w:t>
      </w:r>
      <w:r w:rsidRPr="00ED3950">
        <w:rPr>
          <w:rFonts w:eastAsia="Calibri" w:cs="Arial"/>
          <w:lang w:val="cs-CZ"/>
        </w:rPr>
        <w:t xml:space="preserve">kompetencím </w:t>
      </w:r>
      <w:r w:rsidRPr="00ED3950">
        <w:rPr>
          <w:rFonts w:eastAsia="Calibri" w:cs="Arial"/>
          <w:lang w:val="cs-CZ"/>
        </w:rPr>
        <w:t>Ministers</w:t>
      </w:r>
      <w:r w:rsidRPr="00ED3950">
        <w:rPr>
          <w:rFonts w:eastAsia="Calibri" w:cs="Arial"/>
          <w:lang w:val="cs-CZ"/>
        </w:rPr>
        <w:t xml:space="preserve">tva pro ekologickou transformaci a demografické výzvy </w:t>
      </w:r>
      <w:r w:rsidRPr="00ED3950">
        <w:rPr>
          <w:rFonts w:eastAsia="Calibri" w:cs="Arial"/>
          <w:lang w:val="cs-CZ"/>
        </w:rPr>
        <w:t>(</w:t>
      </w:r>
      <w:r w:rsidRPr="00ED3950">
        <w:rPr>
          <w:rFonts w:eastAsia="Calibri" w:cs="Arial"/>
          <w:lang w:val="cs-CZ"/>
        </w:rPr>
        <w:t>MITECO</w:t>
      </w:r>
      <w:r w:rsidRPr="00ED3950">
        <w:rPr>
          <w:rFonts w:eastAsia="Calibri" w:cs="Arial"/>
          <w:lang w:val="cs-CZ"/>
        </w:rPr>
        <w:t xml:space="preserve">) doporučila </w:t>
      </w:r>
      <w:r w:rsidRPr="00ED3950">
        <w:rPr>
          <w:rFonts w:eastAsia="Calibri" w:cs="Arial"/>
          <w:lang w:val="cs-CZ"/>
        </w:rPr>
        <w:t>projednání RRP (včetně monitoringu a zeleného značení). Rozhodla se vytvořit specializovaný tým, který bude podporovat ministerstvo jako celek a bude plán realizovat. Nemá právní man</w:t>
      </w:r>
      <w:r w:rsidRPr="00ED3950">
        <w:rPr>
          <w:rFonts w:eastAsia="Calibri" w:cs="Arial"/>
          <w:lang w:val="cs-CZ"/>
        </w:rPr>
        <w:t>dát (na rozdíl od ministerstva), ale v praxi přebírá vedoucí úlohu. Pomáhá ministerstvu tím, že:</w:t>
      </w:r>
    </w:p>
    <w:p w:rsidR="005840C5" w:rsidRPr="00ED3950" w:rsidRDefault="00ED3950">
      <w:pPr>
        <w:pStyle w:val="lp11"/>
        <w:numPr>
          <w:ilvl w:val="0"/>
          <w:numId w:val="8"/>
        </w:numPr>
        <w:rPr>
          <w:lang w:val="cs-CZ"/>
        </w:rPr>
      </w:pPr>
      <w:r w:rsidRPr="00ED3950">
        <w:rPr>
          <w:lang w:val="cs-CZ"/>
        </w:rPr>
        <w:t>Zavedení a rozvoj klimatického značení;</w:t>
      </w:r>
    </w:p>
    <w:p w:rsidR="005840C5" w:rsidRPr="00ED3950" w:rsidRDefault="00ED3950">
      <w:pPr>
        <w:pStyle w:val="lp11"/>
        <w:numPr>
          <w:ilvl w:val="0"/>
          <w:numId w:val="8"/>
        </w:numPr>
        <w:rPr>
          <w:lang w:val="cs-CZ"/>
        </w:rPr>
      </w:pPr>
      <w:r w:rsidRPr="00ED3950">
        <w:rPr>
          <w:lang w:val="cs-CZ"/>
        </w:rPr>
        <w:t xml:space="preserve">Odpovídání na konkrétní požadavky prostřednictvím </w:t>
      </w:r>
      <w:proofErr w:type="spellStart"/>
      <w:r w:rsidRPr="00ED3950">
        <w:rPr>
          <w:lang w:val="cs-CZ"/>
        </w:rPr>
        <w:t>helpdesku</w:t>
      </w:r>
      <w:proofErr w:type="spellEnd"/>
      <w:r w:rsidRPr="00ED3950">
        <w:rPr>
          <w:lang w:val="cs-CZ"/>
        </w:rPr>
        <w:t>;</w:t>
      </w:r>
    </w:p>
    <w:p w:rsidR="005840C5" w:rsidRPr="00ED3950" w:rsidRDefault="00ED3950">
      <w:pPr>
        <w:pStyle w:val="lp11"/>
        <w:numPr>
          <w:ilvl w:val="0"/>
          <w:numId w:val="8"/>
        </w:numPr>
        <w:rPr>
          <w:lang w:val="cs-CZ"/>
        </w:rPr>
      </w:pPr>
      <w:r w:rsidRPr="00ED3950">
        <w:rPr>
          <w:lang w:val="cs-CZ"/>
        </w:rPr>
        <w:t>Pořádání cílených schůzek;</w:t>
      </w:r>
    </w:p>
    <w:p w:rsidR="005840C5" w:rsidRPr="00ED3950" w:rsidRDefault="00ED3950">
      <w:pPr>
        <w:pStyle w:val="lp11"/>
        <w:numPr>
          <w:ilvl w:val="0"/>
          <w:numId w:val="8"/>
        </w:numPr>
        <w:rPr>
          <w:lang w:val="cs-CZ"/>
        </w:rPr>
      </w:pPr>
      <w:r w:rsidRPr="00ED3950">
        <w:rPr>
          <w:lang w:val="cs-CZ"/>
        </w:rPr>
        <w:t>přezkoumání právních textů, kte</w:t>
      </w:r>
      <w:r w:rsidRPr="00ED3950">
        <w:rPr>
          <w:lang w:val="cs-CZ"/>
        </w:rPr>
        <w:t>ré má schválit Rada ministerstva. Přestože přezkum není závazný, tým konstatuje, že jeho recenze pomohly zlepšit kvalitu textů;</w:t>
      </w:r>
    </w:p>
    <w:p w:rsidR="005840C5" w:rsidRPr="00ED3950" w:rsidRDefault="00ED3950">
      <w:pPr>
        <w:pStyle w:val="lp11"/>
        <w:numPr>
          <w:ilvl w:val="0"/>
          <w:numId w:val="8"/>
        </w:numPr>
        <w:rPr>
          <w:lang w:val="cs-CZ"/>
        </w:rPr>
      </w:pPr>
      <w:r w:rsidRPr="00ED3950">
        <w:rPr>
          <w:lang w:val="cs-CZ"/>
        </w:rPr>
        <w:t>Vydání příručky o právních nástrojích podle předpisů EU;</w:t>
      </w:r>
    </w:p>
    <w:p w:rsidR="005840C5" w:rsidRPr="00ED3950" w:rsidRDefault="00ED3950">
      <w:pPr>
        <w:pStyle w:val="lp11"/>
        <w:numPr>
          <w:ilvl w:val="0"/>
          <w:numId w:val="8"/>
        </w:numPr>
        <w:rPr>
          <w:lang w:val="cs-CZ"/>
        </w:rPr>
      </w:pPr>
      <w:r w:rsidRPr="00ED3950">
        <w:rPr>
          <w:lang w:val="cs-CZ"/>
        </w:rPr>
        <w:t>Koordinace s odbornými útvary a experty na ministerstvech a v resortech</w:t>
      </w:r>
      <w:r w:rsidRPr="00ED3950">
        <w:rPr>
          <w:lang w:val="cs-CZ"/>
        </w:rPr>
        <w:t xml:space="preserve"> (např. v případě, že se objeví konkrétní otázky týkající se oběhového hospodářství).</w:t>
      </w:r>
    </w:p>
    <w:p w:rsidR="00C52545" w:rsidRPr="00ED3950" w:rsidRDefault="00C52545" w:rsidP="00C52545">
      <w:pPr>
        <w:tabs>
          <w:tab w:val="left" w:pos="851"/>
        </w:tabs>
        <w:ind w:left="1661"/>
        <w:contextualSpacing/>
        <w:rPr>
          <w:rFonts w:eastAsia="Calibri" w:cs="Arial"/>
          <w:lang w:val="cs-CZ"/>
        </w:rPr>
      </w:pPr>
    </w:p>
    <w:p w:rsidR="005840C5" w:rsidRPr="00ED3950" w:rsidRDefault="00ED3950">
      <w:pPr>
        <w:rPr>
          <w:rFonts w:eastAsia="Calibri" w:cs="Arial"/>
          <w:lang w:val="cs-CZ"/>
        </w:rPr>
      </w:pPr>
      <w:r w:rsidRPr="00ED3950">
        <w:rPr>
          <w:rFonts w:eastAsia="Calibri" w:cs="Arial"/>
          <w:lang w:val="cs-CZ"/>
        </w:rPr>
        <w:t xml:space="preserve">Tým přezkoumal 457 regulačních nástrojů. </w:t>
      </w:r>
      <w:r w:rsidRPr="00ED3950">
        <w:rPr>
          <w:rFonts w:eastAsia="Calibri" w:cs="Arial"/>
          <w:lang w:val="cs-CZ"/>
        </w:rPr>
        <w:t xml:space="preserve">Celkově lze říci, že </w:t>
      </w:r>
      <w:r w:rsidRPr="00ED3950">
        <w:rPr>
          <w:rFonts w:eastAsia="Calibri" w:cs="Arial"/>
          <w:lang w:val="cs-CZ"/>
        </w:rPr>
        <w:t>stanoviska týmu jsou důvěryhodná, a to především kvůli obavám z právní platnosti a složitosti evropských př</w:t>
      </w:r>
      <w:r w:rsidRPr="00ED3950">
        <w:rPr>
          <w:rFonts w:eastAsia="Calibri" w:cs="Arial"/>
          <w:lang w:val="cs-CZ"/>
        </w:rPr>
        <w:t>edpisů. Tento přezkum zahrnuje všechny právní nástroje, včetně ministerských nařízení, královských dekretů, dohod rady ministrů, návrhů zákonů, koordinačních dokumentů napříč úřady atd.</w:t>
      </w:r>
    </w:p>
    <w:p w:rsidR="005840C5" w:rsidRPr="00ED3950" w:rsidRDefault="00ED3950">
      <w:pPr>
        <w:rPr>
          <w:rFonts w:eastAsia="Calibri" w:cs="Arial"/>
          <w:lang w:val="cs-CZ"/>
        </w:rPr>
      </w:pPr>
      <w:r w:rsidRPr="00ED3950">
        <w:rPr>
          <w:rFonts w:eastAsia="Calibri" w:cs="Arial"/>
          <w:lang w:val="cs-CZ"/>
        </w:rPr>
        <w:t>Tým vypracoval příručku určenou všem institucím, které plán provádějí.</w:t>
      </w:r>
      <w:r w:rsidRPr="00ED3950">
        <w:rPr>
          <w:rFonts w:eastAsia="Calibri" w:cs="Arial"/>
          <w:lang w:val="cs-CZ"/>
        </w:rPr>
        <w:t xml:space="preserve"> Tento formát je dobrým </w:t>
      </w:r>
      <w:r w:rsidRPr="00ED3950">
        <w:rPr>
          <w:rFonts w:eastAsia="Calibri" w:cs="Arial"/>
          <w:lang w:val="cs-CZ"/>
        </w:rPr>
        <w:t xml:space="preserve">řešením, jak </w:t>
      </w:r>
      <w:r w:rsidRPr="00ED3950">
        <w:rPr>
          <w:rFonts w:eastAsia="Calibri" w:cs="Arial"/>
          <w:lang w:val="cs-CZ"/>
        </w:rPr>
        <w:t>zdůraznit význam zásady DNSH (a zeleného značení) a zároveň pomoci při jejím zavádění do praxe. Průvodce zajišťuje, aby správa dodržovala plán jednotným způsobem. Průvodce byl přezkoumán Komisí. Rovněž ostatní ministers</w:t>
      </w:r>
      <w:r w:rsidRPr="00ED3950">
        <w:rPr>
          <w:rFonts w:eastAsia="Calibri" w:cs="Arial"/>
          <w:lang w:val="cs-CZ"/>
        </w:rPr>
        <w:t>tva vydala rovnocenné dokumenty na odvětvové úrovni. Součástí Průvodce je rovněž dotazník pro sebehodnocení.</w:t>
      </w:r>
    </w:p>
    <w:p w:rsidR="00C52545" w:rsidRPr="00ED3950" w:rsidRDefault="00C52545" w:rsidP="00C52545">
      <w:pPr>
        <w:rPr>
          <w:rFonts w:eastAsia="Calibri" w:cs="Arial"/>
          <w:lang w:val="cs-CZ"/>
        </w:rPr>
      </w:pPr>
    </w:p>
    <w:p w:rsidR="005840C5" w:rsidRPr="00ED3950" w:rsidRDefault="00ED3950">
      <w:pPr>
        <w:rPr>
          <w:rFonts w:eastAsia="Calibri" w:cs="Arial"/>
          <w:lang w:val="cs-CZ"/>
        </w:rPr>
      </w:pPr>
      <w:proofErr w:type="spellStart"/>
      <w:r w:rsidRPr="00ED3950">
        <w:rPr>
          <w:rFonts w:eastAsia="Calibri" w:cs="Arial"/>
          <w:lang w:val="cs-CZ"/>
        </w:rPr>
        <w:t>Helpdesk</w:t>
      </w:r>
      <w:proofErr w:type="spellEnd"/>
      <w:r w:rsidRPr="00ED3950">
        <w:rPr>
          <w:rFonts w:eastAsia="Calibri" w:cs="Arial"/>
          <w:lang w:val="cs-CZ"/>
        </w:rPr>
        <w:t xml:space="preserve"> poskytuje podporu ve všech fázích implementace RRF. Většina dotazů účastníků se týká možných dopadů určitých cílů/opatření, ověřovacích mechanismů a zeleného značení.</w:t>
      </w:r>
    </w:p>
    <w:p w:rsidR="00C52545" w:rsidRPr="00ED3950" w:rsidRDefault="00C52545" w:rsidP="00C52545">
      <w:pPr>
        <w:rPr>
          <w:rFonts w:eastAsia="Calibri" w:cs="Arial"/>
          <w:lang w:val="cs-CZ"/>
        </w:rPr>
      </w:pPr>
    </w:p>
    <w:p w:rsidR="005840C5" w:rsidRPr="00ED3950" w:rsidRDefault="00ED3950">
      <w:pPr>
        <w:numPr>
          <w:ilvl w:val="2"/>
          <w:numId w:val="0"/>
        </w:numPr>
        <w:tabs>
          <w:tab w:val="left" w:pos="851"/>
        </w:tabs>
        <w:ind w:left="1134" w:hanging="567"/>
        <w:contextualSpacing/>
        <w:outlineLvl w:val="2"/>
        <w:rPr>
          <w:rFonts w:eastAsia="Calibri" w:cs="Arial"/>
          <w:b/>
          <w:i/>
          <w:color w:val="F04E30"/>
          <w:lang w:val="cs-CZ"/>
        </w:rPr>
      </w:pPr>
      <w:bookmarkStart w:id="127" w:name="_Toc127978737"/>
      <w:bookmarkStart w:id="128" w:name="_Toc131757486"/>
      <w:bookmarkStart w:id="129" w:name="_Toc131775879"/>
      <w:r w:rsidRPr="00ED3950">
        <w:rPr>
          <w:rFonts w:eastAsia="Calibri" w:cs="Arial"/>
          <w:b/>
          <w:i/>
          <w:color w:val="F04E30"/>
          <w:lang w:val="cs-CZ"/>
        </w:rPr>
        <w:t>Výzvy</w:t>
      </w:r>
      <w:bookmarkEnd w:id="127"/>
      <w:bookmarkEnd w:id="128"/>
      <w:bookmarkEnd w:id="129"/>
    </w:p>
    <w:p w:rsidR="005840C5" w:rsidRPr="00ED3950" w:rsidRDefault="00ED3950">
      <w:pPr>
        <w:rPr>
          <w:rFonts w:eastAsia="Calibri" w:cs="Arial"/>
          <w:lang w:val="cs-CZ"/>
        </w:rPr>
      </w:pPr>
      <w:r w:rsidRPr="00ED3950">
        <w:rPr>
          <w:rFonts w:eastAsia="Calibri" w:cs="Arial"/>
          <w:lang w:val="cs-CZ"/>
        </w:rPr>
        <w:t>Školení zvyšují povědomí a pomáhají úřadům, aby byla aplikace DNSH dostup</w:t>
      </w:r>
      <w:r w:rsidRPr="00ED3950">
        <w:rPr>
          <w:rFonts w:eastAsia="Calibri" w:cs="Arial"/>
          <w:lang w:val="cs-CZ"/>
        </w:rPr>
        <w:t>ná. Výzvy jsou podobné situaci popsané v ČR. Patří mezi ně zejména:</w:t>
      </w:r>
    </w:p>
    <w:p w:rsidR="005840C5" w:rsidRPr="00ED3950" w:rsidRDefault="00ED3950">
      <w:pPr>
        <w:pStyle w:val="lp11"/>
        <w:numPr>
          <w:ilvl w:val="0"/>
          <w:numId w:val="8"/>
        </w:numPr>
        <w:rPr>
          <w:lang w:val="cs-CZ"/>
        </w:rPr>
      </w:pPr>
      <w:r w:rsidRPr="00ED3950">
        <w:rPr>
          <w:lang w:val="cs-CZ"/>
        </w:rPr>
        <w:t>Různorodost kritérií</w:t>
      </w:r>
      <w:r w:rsidRPr="00ED3950">
        <w:rPr>
          <w:lang w:val="cs-CZ"/>
        </w:rPr>
        <w:t xml:space="preserve">, </w:t>
      </w:r>
      <w:r w:rsidRPr="00ED3950">
        <w:rPr>
          <w:lang w:val="cs-CZ"/>
        </w:rPr>
        <w:t xml:space="preserve">modelů </w:t>
      </w:r>
      <w:r w:rsidRPr="00ED3950">
        <w:rPr>
          <w:lang w:val="cs-CZ"/>
        </w:rPr>
        <w:t xml:space="preserve">a </w:t>
      </w:r>
      <w:r w:rsidRPr="00ED3950">
        <w:rPr>
          <w:lang w:val="cs-CZ"/>
        </w:rPr>
        <w:t>šablon;</w:t>
      </w:r>
    </w:p>
    <w:p w:rsidR="005840C5" w:rsidRPr="00ED3950" w:rsidRDefault="00ED3950">
      <w:pPr>
        <w:pStyle w:val="lp11"/>
        <w:numPr>
          <w:ilvl w:val="0"/>
          <w:numId w:val="8"/>
        </w:numPr>
        <w:rPr>
          <w:lang w:val="cs-CZ"/>
        </w:rPr>
      </w:pPr>
      <w:r w:rsidRPr="00ED3950">
        <w:rPr>
          <w:lang w:val="cs-CZ"/>
        </w:rPr>
        <w:t>Nedostatek odborných znalostí;</w:t>
      </w:r>
    </w:p>
    <w:p w:rsidR="005840C5" w:rsidRPr="00ED3950" w:rsidRDefault="00ED3950">
      <w:pPr>
        <w:pStyle w:val="lp11"/>
        <w:numPr>
          <w:ilvl w:val="0"/>
          <w:numId w:val="8"/>
        </w:numPr>
        <w:rPr>
          <w:lang w:val="cs-CZ"/>
        </w:rPr>
      </w:pPr>
      <w:r w:rsidRPr="00ED3950">
        <w:rPr>
          <w:lang w:val="cs-CZ"/>
        </w:rPr>
        <w:t>Použití DA;</w:t>
      </w:r>
    </w:p>
    <w:p w:rsidR="005840C5" w:rsidRPr="00ED3950" w:rsidRDefault="00ED3950">
      <w:pPr>
        <w:pStyle w:val="lp11"/>
        <w:numPr>
          <w:ilvl w:val="0"/>
          <w:numId w:val="8"/>
        </w:numPr>
        <w:rPr>
          <w:lang w:val="cs-CZ"/>
        </w:rPr>
      </w:pPr>
      <w:r w:rsidRPr="00ED3950">
        <w:rPr>
          <w:lang w:val="cs-CZ"/>
        </w:rPr>
        <w:t>Nedostatek konsolidovaných rámců;</w:t>
      </w:r>
    </w:p>
    <w:p w:rsidR="005840C5" w:rsidRPr="00ED3950" w:rsidRDefault="00ED3950">
      <w:pPr>
        <w:pStyle w:val="lp11"/>
        <w:numPr>
          <w:ilvl w:val="0"/>
          <w:numId w:val="8"/>
        </w:numPr>
        <w:rPr>
          <w:lang w:val="cs-CZ"/>
        </w:rPr>
      </w:pPr>
      <w:r w:rsidRPr="00ED3950">
        <w:rPr>
          <w:lang w:val="cs-CZ"/>
        </w:rPr>
        <w:t>Obtíže při používání taxonomie EU v rozpočtové politice.</w:t>
      </w:r>
    </w:p>
    <w:p w:rsidR="00C52545" w:rsidRPr="00ED3950" w:rsidRDefault="00C52545" w:rsidP="00C52545">
      <w:pPr>
        <w:tabs>
          <w:tab w:val="left" w:pos="851"/>
        </w:tabs>
        <w:ind w:left="927"/>
        <w:contextualSpacing/>
        <w:rPr>
          <w:rFonts w:eastAsia="Calibri" w:cs="Arial"/>
          <w:lang w:val="cs-CZ"/>
        </w:rPr>
      </w:pPr>
    </w:p>
    <w:p w:rsidR="00C52545" w:rsidRPr="00ED3950" w:rsidRDefault="00C52545" w:rsidP="00C52545">
      <w:pPr>
        <w:rPr>
          <w:rFonts w:eastAsia="Calibri" w:cs="Arial"/>
          <w:lang w:val="cs-CZ"/>
        </w:rPr>
      </w:pPr>
    </w:p>
    <w:p w:rsidR="005840C5" w:rsidRPr="00ED3950" w:rsidRDefault="00ED3950">
      <w:pPr>
        <w:pStyle w:val="Nadpis2"/>
        <w:numPr>
          <w:ilvl w:val="0"/>
          <w:numId w:val="0"/>
        </w:numPr>
        <w:ind w:left="567"/>
        <w:rPr>
          <w:lang w:val="cs-CZ"/>
        </w:rPr>
      </w:pPr>
      <w:bookmarkStart w:id="130" w:name="_Toc127978738"/>
      <w:bookmarkStart w:id="131" w:name="_Toc131757487"/>
      <w:bookmarkStart w:id="132" w:name="_Toc131775880"/>
      <w:proofErr w:type="spellStart"/>
      <w:r w:rsidRPr="00ED3950">
        <w:rPr>
          <w:lang w:val="cs-CZ"/>
        </w:rPr>
        <w:t>Stéphanie</w:t>
      </w:r>
      <w:proofErr w:type="spellEnd"/>
      <w:r w:rsidRPr="00ED3950">
        <w:rPr>
          <w:lang w:val="cs-CZ"/>
        </w:rPr>
        <w:t xml:space="preserve"> </w:t>
      </w:r>
      <w:proofErr w:type="spellStart"/>
      <w:r w:rsidRPr="00ED3950">
        <w:rPr>
          <w:lang w:val="cs-CZ"/>
        </w:rPr>
        <w:t>Baclin</w:t>
      </w:r>
      <w:proofErr w:type="spellEnd"/>
      <w:r w:rsidRPr="00ED3950">
        <w:rPr>
          <w:lang w:val="cs-CZ"/>
        </w:rPr>
        <w:t xml:space="preserve"> - Federální veřejná služba pro zdraví, bezpečnost potravinového řetězce a životní prostředí (Belgie)</w:t>
      </w:r>
      <w:bookmarkEnd w:id="130"/>
      <w:bookmarkEnd w:id="131"/>
      <w:bookmarkEnd w:id="132"/>
    </w:p>
    <w:p w:rsidR="005840C5" w:rsidRPr="00ED3950" w:rsidRDefault="00ED3950">
      <w:pPr>
        <w:numPr>
          <w:ilvl w:val="2"/>
          <w:numId w:val="0"/>
        </w:numPr>
        <w:tabs>
          <w:tab w:val="left" w:pos="851"/>
        </w:tabs>
        <w:ind w:left="1134" w:hanging="567"/>
        <w:contextualSpacing/>
        <w:outlineLvl w:val="2"/>
        <w:rPr>
          <w:rFonts w:eastAsia="Calibri" w:cs="Arial"/>
          <w:b/>
          <w:i/>
          <w:color w:val="F04E30"/>
          <w:lang w:val="cs-CZ"/>
        </w:rPr>
      </w:pPr>
      <w:bookmarkStart w:id="133" w:name="_Toc127978739"/>
      <w:bookmarkStart w:id="134" w:name="_Toc131757488"/>
      <w:bookmarkStart w:id="135" w:name="_Toc131775881"/>
      <w:r w:rsidRPr="00ED3950">
        <w:rPr>
          <w:rFonts w:eastAsia="Calibri" w:cs="Arial"/>
          <w:b/>
          <w:i/>
          <w:color w:val="F04E30"/>
          <w:lang w:val="cs-CZ"/>
        </w:rPr>
        <w:t>Kontext</w:t>
      </w:r>
      <w:bookmarkEnd w:id="133"/>
      <w:bookmarkEnd w:id="134"/>
      <w:bookmarkEnd w:id="135"/>
    </w:p>
    <w:p w:rsidR="005840C5" w:rsidRPr="00ED3950" w:rsidRDefault="00ED3950">
      <w:pPr>
        <w:rPr>
          <w:rFonts w:eastAsia="Calibri" w:cs="Arial"/>
          <w:lang w:val="cs-CZ"/>
        </w:rPr>
      </w:pPr>
      <w:r w:rsidRPr="00ED3950">
        <w:rPr>
          <w:rFonts w:eastAsia="Calibri" w:cs="Arial"/>
          <w:lang w:val="cs-CZ"/>
        </w:rPr>
        <w:lastRenderedPageBreak/>
        <w:t xml:space="preserve">Belgický </w:t>
      </w:r>
      <w:r w:rsidRPr="00ED3950">
        <w:rPr>
          <w:rFonts w:eastAsia="Calibri" w:cs="Arial"/>
          <w:lang w:val="cs-CZ"/>
        </w:rPr>
        <w:t xml:space="preserve">RRP je podpořen </w:t>
      </w:r>
      <w:r w:rsidRPr="00ED3950">
        <w:rPr>
          <w:rFonts w:eastAsia="Calibri" w:cs="Arial"/>
          <w:lang w:val="cs-CZ"/>
        </w:rPr>
        <w:t xml:space="preserve">celkovou částkou 5,9 miliardy eur z </w:t>
      </w:r>
      <w:r w:rsidRPr="00ED3950">
        <w:rPr>
          <w:rFonts w:eastAsia="Calibri" w:cs="Arial"/>
          <w:lang w:val="cs-CZ"/>
        </w:rPr>
        <w:t xml:space="preserve">RRF a rovněž </w:t>
      </w:r>
      <w:r w:rsidRPr="00ED3950">
        <w:rPr>
          <w:rFonts w:eastAsia="Calibri" w:cs="Arial"/>
          <w:lang w:val="cs-CZ"/>
        </w:rPr>
        <w:t>národním ekvivalentním plánem podporovaným belgickou fed</w:t>
      </w:r>
      <w:r w:rsidRPr="00ED3950">
        <w:rPr>
          <w:rFonts w:eastAsia="Calibri" w:cs="Arial"/>
          <w:lang w:val="cs-CZ"/>
        </w:rPr>
        <w:t xml:space="preserve">erální vládou ve výši 1,6 miliardy </w:t>
      </w:r>
      <w:r w:rsidRPr="00ED3950">
        <w:rPr>
          <w:rFonts w:eastAsia="Calibri" w:cs="Arial"/>
          <w:lang w:val="cs-CZ"/>
        </w:rPr>
        <w:t>eur</w:t>
      </w:r>
      <w:r w:rsidRPr="00ED3950">
        <w:rPr>
          <w:rFonts w:eastAsia="Calibri" w:cs="Arial"/>
          <w:lang w:val="cs-CZ"/>
        </w:rPr>
        <w:t>. V zájmu sjednocení procesů a standardů se belgická federální vláda rozhodla rozšířit požadavek na hodnocení DNSH na federální vládní fond.</w:t>
      </w:r>
    </w:p>
    <w:p w:rsidR="005840C5" w:rsidRPr="00ED3950" w:rsidRDefault="00ED3950">
      <w:pPr>
        <w:rPr>
          <w:rFonts w:eastAsia="Calibri" w:cs="Arial"/>
          <w:lang w:val="cs-CZ"/>
        </w:rPr>
      </w:pPr>
      <w:r w:rsidRPr="00ED3950">
        <w:rPr>
          <w:rFonts w:eastAsia="Calibri" w:cs="Arial"/>
          <w:lang w:val="cs-CZ"/>
        </w:rPr>
        <w:t>Úsilí o obnovu v Belgii zahrnuje nejen tyto fondy, ale také plány obnovy a od</w:t>
      </w:r>
      <w:r w:rsidRPr="00ED3950">
        <w:rPr>
          <w:rFonts w:eastAsia="Calibri" w:cs="Arial"/>
          <w:lang w:val="cs-CZ"/>
        </w:rPr>
        <w:t>olnosti podporované a financované regiony a obcemi, příspěvky soukromých společností na stimulaci a Fond pro hospodářskou obnovu a přechod (FPIM). Celkově tyto snahy dosahují 20 miliard eur.</w:t>
      </w:r>
    </w:p>
    <w:p w:rsidR="00C52545" w:rsidRPr="00ED3950" w:rsidRDefault="00C52545" w:rsidP="00C52545">
      <w:pPr>
        <w:rPr>
          <w:rFonts w:eastAsia="Calibri" w:cs="Arial"/>
          <w:lang w:val="cs-CZ"/>
        </w:rPr>
      </w:pPr>
    </w:p>
    <w:p w:rsidR="005840C5" w:rsidRPr="00ED3950" w:rsidRDefault="00ED3950">
      <w:pPr>
        <w:numPr>
          <w:ilvl w:val="2"/>
          <w:numId w:val="0"/>
        </w:numPr>
        <w:tabs>
          <w:tab w:val="left" w:pos="851"/>
        </w:tabs>
        <w:ind w:left="1134" w:hanging="567"/>
        <w:contextualSpacing/>
        <w:outlineLvl w:val="2"/>
        <w:rPr>
          <w:rFonts w:eastAsia="Calibri" w:cs="Arial"/>
          <w:b/>
          <w:i/>
          <w:color w:val="F04E30"/>
          <w:lang w:val="cs-CZ"/>
        </w:rPr>
      </w:pPr>
      <w:bookmarkStart w:id="136" w:name="_Toc127978740"/>
      <w:bookmarkStart w:id="137" w:name="_Toc131757489"/>
      <w:bookmarkStart w:id="138" w:name="_Toc131775882"/>
      <w:r w:rsidRPr="00ED3950">
        <w:rPr>
          <w:rFonts w:eastAsia="Calibri" w:cs="Arial"/>
          <w:b/>
          <w:i/>
          <w:color w:val="F04E30"/>
          <w:lang w:val="cs-CZ"/>
        </w:rPr>
        <w:t>Představení systému řízení</w:t>
      </w:r>
      <w:bookmarkEnd w:id="136"/>
      <w:bookmarkEnd w:id="137"/>
      <w:bookmarkEnd w:id="138"/>
    </w:p>
    <w:p w:rsidR="005840C5" w:rsidRPr="00ED3950" w:rsidRDefault="00ED3950">
      <w:pPr>
        <w:rPr>
          <w:rFonts w:eastAsia="Calibri" w:cs="Arial"/>
          <w:lang w:val="cs-CZ"/>
        </w:rPr>
      </w:pPr>
      <w:r w:rsidRPr="00ED3950">
        <w:rPr>
          <w:rFonts w:eastAsia="Calibri" w:cs="Arial"/>
          <w:lang w:val="cs-CZ"/>
        </w:rPr>
        <w:t xml:space="preserve">Na podporu orgánů veřejné správy při </w:t>
      </w:r>
      <w:r w:rsidRPr="00ED3950">
        <w:rPr>
          <w:rFonts w:eastAsia="Calibri" w:cs="Arial"/>
          <w:lang w:val="cs-CZ"/>
        </w:rPr>
        <w:t xml:space="preserve">uplatňování zásady </w:t>
      </w:r>
      <w:r w:rsidRPr="00ED3950">
        <w:rPr>
          <w:rFonts w:eastAsia="Calibri" w:cs="Arial"/>
          <w:lang w:val="cs-CZ"/>
        </w:rPr>
        <w:t xml:space="preserve">DNSH spolková vláda v roce 2022 spustila odborné centrum a </w:t>
      </w:r>
      <w:proofErr w:type="spellStart"/>
      <w:r w:rsidRPr="00ED3950">
        <w:rPr>
          <w:rFonts w:eastAsia="Calibri" w:cs="Arial"/>
          <w:lang w:val="cs-CZ"/>
        </w:rPr>
        <w:t>helpdesk</w:t>
      </w:r>
      <w:proofErr w:type="spellEnd"/>
      <w:r w:rsidRPr="00ED3950">
        <w:rPr>
          <w:rFonts w:eastAsia="Calibri" w:cs="Arial"/>
          <w:lang w:val="cs-CZ"/>
        </w:rPr>
        <w:t xml:space="preserve"> DNSH, které se staly ústředním kontaktním místem pro dotazy týkající se </w:t>
      </w:r>
      <w:r w:rsidRPr="00ED3950">
        <w:rPr>
          <w:rFonts w:eastAsia="Calibri" w:cs="Arial"/>
          <w:lang w:val="cs-CZ"/>
        </w:rPr>
        <w:t>DNSH.</w:t>
      </w:r>
      <w:r w:rsidRPr="00ED3950">
        <w:rPr>
          <w:rFonts w:eastAsia="Calibri" w:cs="Arial"/>
          <w:lang w:val="cs-CZ"/>
        </w:rPr>
        <w:t xml:space="preserve"> Cílem je pomáhat vedoucím spolkových projektů během celého životního cyklu jejich projektů </w:t>
      </w:r>
      <w:r w:rsidRPr="00ED3950">
        <w:rPr>
          <w:rFonts w:eastAsia="Calibri" w:cs="Arial"/>
          <w:lang w:val="cs-CZ"/>
        </w:rPr>
        <w:t xml:space="preserve">(příprava, realizace a podávání zpráv). </w:t>
      </w:r>
    </w:p>
    <w:p w:rsidR="00C52545" w:rsidRPr="00ED3950" w:rsidRDefault="00C52545" w:rsidP="00C52545">
      <w:pPr>
        <w:rPr>
          <w:rFonts w:eastAsia="Calibri" w:cs="Arial"/>
          <w:lang w:val="cs-CZ"/>
        </w:rPr>
      </w:pPr>
    </w:p>
    <w:p w:rsidR="005840C5" w:rsidRPr="00ED3950" w:rsidRDefault="00ED3950">
      <w:pPr>
        <w:rPr>
          <w:rFonts w:eastAsia="Calibri" w:cs="Arial"/>
          <w:lang w:val="cs-CZ"/>
        </w:rPr>
      </w:pPr>
      <w:r w:rsidRPr="00ED3950">
        <w:rPr>
          <w:rFonts w:eastAsia="Calibri" w:cs="Arial"/>
          <w:lang w:val="cs-CZ"/>
        </w:rPr>
        <w:t xml:space="preserve">Mezi aktéry DNSH v Belgii patří FPS </w:t>
      </w:r>
      <w:proofErr w:type="spellStart"/>
      <w:r w:rsidRPr="00ED3950">
        <w:rPr>
          <w:rFonts w:eastAsia="Calibri" w:cs="Arial"/>
          <w:lang w:val="cs-CZ"/>
        </w:rPr>
        <w:t>Health</w:t>
      </w:r>
      <w:proofErr w:type="spellEnd"/>
      <w:r w:rsidRPr="00ED3950">
        <w:rPr>
          <w:rFonts w:eastAsia="Calibri" w:cs="Arial"/>
          <w:lang w:val="cs-CZ"/>
        </w:rPr>
        <w:t xml:space="preserve">, GŘ pro životní prostředí, </w:t>
      </w:r>
      <w:proofErr w:type="spellStart"/>
      <w:r w:rsidRPr="00ED3950">
        <w:rPr>
          <w:rFonts w:eastAsia="Calibri" w:cs="Arial"/>
          <w:lang w:val="cs-CZ"/>
        </w:rPr>
        <w:t>mezifederální</w:t>
      </w:r>
      <w:proofErr w:type="spellEnd"/>
      <w:r w:rsidRPr="00ED3950">
        <w:rPr>
          <w:rFonts w:eastAsia="Calibri" w:cs="Arial"/>
          <w:lang w:val="cs-CZ"/>
        </w:rPr>
        <w:t xml:space="preserve"> síť DNSH, aktéři zapojení do projektu TSI a Generální finanční inspekce.</w:t>
      </w:r>
    </w:p>
    <w:p w:rsidR="005840C5" w:rsidRPr="00ED3950" w:rsidRDefault="00ED3950">
      <w:pPr>
        <w:rPr>
          <w:rFonts w:eastAsia="Calibri" w:cs="Arial"/>
          <w:lang w:val="cs-CZ"/>
        </w:rPr>
      </w:pPr>
      <w:r w:rsidRPr="00ED3950">
        <w:rPr>
          <w:rFonts w:eastAsia="Calibri" w:cs="Arial"/>
          <w:lang w:val="cs-CZ"/>
        </w:rPr>
        <w:t xml:space="preserve">Původně bylo jako nejvhodnější </w:t>
      </w:r>
      <w:r w:rsidRPr="00ED3950">
        <w:rPr>
          <w:rFonts w:eastAsia="Calibri" w:cs="Arial"/>
          <w:lang w:val="cs-CZ"/>
        </w:rPr>
        <w:t xml:space="preserve">orgán pro </w:t>
      </w:r>
      <w:r w:rsidRPr="00ED3950">
        <w:rPr>
          <w:rFonts w:eastAsia="Calibri" w:cs="Arial"/>
          <w:lang w:val="cs-CZ"/>
        </w:rPr>
        <w:t>dohled nad uplat</w:t>
      </w:r>
      <w:r w:rsidRPr="00ED3950">
        <w:rPr>
          <w:rFonts w:eastAsia="Calibri" w:cs="Arial"/>
          <w:lang w:val="cs-CZ"/>
        </w:rPr>
        <w:t xml:space="preserve">ňováním zásady DNSH určeno ministerstvo životního prostředí a na základě rozhodnutí ministra z března 2022 mu bylo přiděleno více prostředků. V </w:t>
      </w:r>
      <w:r w:rsidRPr="00ED3950">
        <w:rPr>
          <w:rFonts w:eastAsia="Calibri" w:cs="Arial"/>
          <w:lang w:val="cs-CZ"/>
        </w:rPr>
        <w:t xml:space="preserve">současné době </w:t>
      </w:r>
      <w:r w:rsidRPr="00ED3950">
        <w:rPr>
          <w:rFonts w:eastAsia="Calibri" w:cs="Arial"/>
          <w:lang w:val="cs-CZ"/>
        </w:rPr>
        <w:t xml:space="preserve">v týmu pracuje </w:t>
      </w:r>
      <w:r w:rsidRPr="00ED3950">
        <w:rPr>
          <w:rFonts w:eastAsia="Calibri" w:cs="Arial"/>
          <w:lang w:val="cs-CZ"/>
        </w:rPr>
        <w:t xml:space="preserve">1 koordinátor a 4 odborníci (v oblasti ekonomiky a biologické rozmanitosti - jedná se o různé profily) a 1 tajemník. Soukromé společnosti a veřejné </w:t>
      </w:r>
      <w:r w:rsidRPr="00ED3950">
        <w:rPr>
          <w:rFonts w:eastAsia="Calibri" w:cs="Arial"/>
          <w:lang w:val="cs-CZ"/>
        </w:rPr>
        <w:t xml:space="preserve">(federální) </w:t>
      </w:r>
      <w:r w:rsidRPr="00ED3950">
        <w:rPr>
          <w:rFonts w:eastAsia="Calibri" w:cs="Arial"/>
          <w:lang w:val="cs-CZ"/>
        </w:rPr>
        <w:t xml:space="preserve">subjekty se </w:t>
      </w:r>
      <w:r w:rsidRPr="00ED3950">
        <w:rPr>
          <w:rFonts w:eastAsia="Calibri" w:cs="Arial"/>
          <w:lang w:val="cs-CZ"/>
        </w:rPr>
        <w:t xml:space="preserve">mohou </w:t>
      </w:r>
      <w:r w:rsidRPr="00ED3950">
        <w:rPr>
          <w:rFonts w:eastAsia="Calibri" w:cs="Arial"/>
          <w:lang w:val="cs-CZ"/>
        </w:rPr>
        <w:t xml:space="preserve">na tým obracet s žádostmi o předběžné </w:t>
      </w:r>
      <w:r w:rsidRPr="00ED3950">
        <w:rPr>
          <w:rFonts w:eastAsia="Calibri" w:cs="Arial"/>
          <w:lang w:val="cs-CZ"/>
        </w:rPr>
        <w:t xml:space="preserve">posouzení DNSH </w:t>
      </w:r>
      <w:r w:rsidRPr="00ED3950">
        <w:rPr>
          <w:rFonts w:eastAsia="Calibri" w:cs="Arial"/>
          <w:lang w:val="cs-CZ"/>
        </w:rPr>
        <w:t>a o monitorování. Pro min</w:t>
      </w:r>
      <w:r w:rsidRPr="00ED3950">
        <w:rPr>
          <w:rFonts w:eastAsia="Calibri" w:cs="Arial"/>
          <w:lang w:val="cs-CZ"/>
        </w:rPr>
        <w:t>isterstva a soukromé předkladatele se rovněž navrhuje hodnocení vlastních hodnocení. V rámci národní sítě DNSH jsou nabízena školení - jako nejvíce ceněná a přínosná se ukázala školení na míru týkající se konkrétních opatření. Tým rovněž zastupuje spolkový</w:t>
      </w:r>
      <w:r w:rsidRPr="00ED3950">
        <w:rPr>
          <w:rFonts w:eastAsia="Calibri" w:cs="Arial"/>
          <w:lang w:val="cs-CZ"/>
        </w:rPr>
        <w:t xml:space="preserve"> subjekt v národní síti DNSH.</w:t>
      </w:r>
    </w:p>
    <w:p w:rsidR="005840C5" w:rsidRPr="00ED3950" w:rsidRDefault="00ED3950">
      <w:pPr>
        <w:rPr>
          <w:rFonts w:eastAsia="Calibri" w:cs="Arial"/>
          <w:lang w:val="cs-CZ"/>
        </w:rPr>
      </w:pPr>
      <w:r w:rsidRPr="00ED3950">
        <w:rPr>
          <w:rFonts w:eastAsia="Calibri" w:cs="Arial"/>
          <w:lang w:val="cs-CZ"/>
        </w:rPr>
        <w:t xml:space="preserve">Byl zahájen </w:t>
      </w:r>
      <w:r w:rsidRPr="00ED3950">
        <w:rPr>
          <w:rFonts w:eastAsia="Calibri" w:cs="Arial"/>
          <w:lang w:val="cs-CZ"/>
        </w:rPr>
        <w:t xml:space="preserve">projekt TSI </w:t>
      </w:r>
      <w:r w:rsidRPr="00ED3950">
        <w:rPr>
          <w:rFonts w:eastAsia="Calibri" w:cs="Arial"/>
          <w:lang w:val="cs-CZ"/>
        </w:rPr>
        <w:t xml:space="preserve">na podporu provádění RRP, který </w:t>
      </w:r>
      <w:r w:rsidRPr="00ED3950">
        <w:rPr>
          <w:rFonts w:eastAsia="Calibri" w:cs="Arial"/>
          <w:lang w:val="cs-CZ"/>
        </w:rPr>
        <w:t xml:space="preserve">se </w:t>
      </w:r>
      <w:r w:rsidRPr="00ED3950">
        <w:rPr>
          <w:rFonts w:eastAsia="Calibri" w:cs="Arial"/>
          <w:lang w:val="cs-CZ"/>
        </w:rPr>
        <w:t xml:space="preserve">však </w:t>
      </w:r>
      <w:r w:rsidRPr="00ED3950">
        <w:rPr>
          <w:rFonts w:eastAsia="Calibri" w:cs="Arial"/>
          <w:lang w:val="cs-CZ"/>
        </w:rPr>
        <w:t xml:space="preserve">na DNSH zaměřuje pouze částečně. Poskytl však materiály pro školení a předběžné analýzy. Druhý </w:t>
      </w:r>
      <w:r w:rsidRPr="00ED3950">
        <w:rPr>
          <w:rFonts w:eastAsia="Calibri" w:cs="Arial"/>
          <w:lang w:val="cs-CZ"/>
        </w:rPr>
        <w:t xml:space="preserve">projekt </w:t>
      </w:r>
      <w:r w:rsidRPr="00ED3950">
        <w:rPr>
          <w:rFonts w:eastAsia="Calibri" w:cs="Arial"/>
          <w:lang w:val="cs-CZ"/>
        </w:rPr>
        <w:t xml:space="preserve">TSI se připravuje pro citlivé dopady na životní prostředí. </w:t>
      </w:r>
    </w:p>
    <w:p w:rsidR="00C52545" w:rsidRPr="00ED3950" w:rsidRDefault="00C52545" w:rsidP="00C52545">
      <w:pPr>
        <w:rPr>
          <w:rFonts w:eastAsia="Calibri" w:cs="Arial"/>
          <w:lang w:val="cs-CZ"/>
        </w:rPr>
      </w:pPr>
    </w:p>
    <w:p w:rsidR="005840C5" w:rsidRPr="00ED3950" w:rsidRDefault="00ED3950">
      <w:pPr>
        <w:numPr>
          <w:ilvl w:val="2"/>
          <w:numId w:val="0"/>
        </w:numPr>
        <w:tabs>
          <w:tab w:val="left" w:pos="851"/>
        </w:tabs>
        <w:ind w:left="1134" w:hanging="567"/>
        <w:contextualSpacing/>
        <w:outlineLvl w:val="2"/>
        <w:rPr>
          <w:rFonts w:eastAsia="Calibri" w:cs="Arial"/>
          <w:b/>
          <w:i/>
          <w:color w:val="F04E30"/>
          <w:lang w:val="cs-CZ"/>
        </w:rPr>
      </w:pPr>
      <w:bookmarkStart w:id="139" w:name="_Toc127978741"/>
      <w:bookmarkStart w:id="140" w:name="_Toc131757490"/>
      <w:bookmarkStart w:id="141" w:name="_Toc131775883"/>
      <w:r w:rsidRPr="00ED3950">
        <w:rPr>
          <w:rFonts w:eastAsia="Calibri" w:cs="Arial"/>
          <w:b/>
          <w:i/>
          <w:color w:val="F04E30"/>
          <w:lang w:val="cs-CZ"/>
        </w:rPr>
        <w:t>Představení opatření na budování kapacit</w:t>
      </w:r>
      <w:bookmarkEnd w:id="139"/>
      <w:bookmarkEnd w:id="140"/>
      <w:bookmarkEnd w:id="141"/>
    </w:p>
    <w:p w:rsidR="005840C5" w:rsidRPr="00ED3950" w:rsidRDefault="00ED3950">
      <w:pPr>
        <w:rPr>
          <w:rFonts w:eastAsia="Calibri" w:cs="Arial"/>
          <w:lang w:val="cs-CZ"/>
        </w:rPr>
      </w:pPr>
      <w:r w:rsidRPr="00ED3950">
        <w:rPr>
          <w:rFonts w:eastAsia="Calibri" w:cs="Arial"/>
          <w:lang w:val="cs-CZ"/>
        </w:rPr>
        <w:t xml:space="preserve">Odborné centrum a </w:t>
      </w:r>
      <w:proofErr w:type="spellStart"/>
      <w:r w:rsidRPr="00ED3950">
        <w:rPr>
          <w:rFonts w:eastAsia="Calibri" w:cs="Arial"/>
          <w:lang w:val="cs-CZ"/>
        </w:rPr>
        <w:t>helpdesk</w:t>
      </w:r>
      <w:proofErr w:type="spellEnd"/>
      <w:r w:rsidRPr="00ED3950">
        <w:rPr>
          <w:rFonts w:eastAsia="Calibri" w:cs="Arial"/>
          <w:lang w:val="cs-CZ"/>
        </w:rPr>
        <w:t xml:space="preserve"> DNSH je zodpovědné za vývoj metodických nástrojů DNSH (např. pokynů, kontrolních seznamů, šablon atd.), školení ministerstev v používání těchto nástrojů a také školení podniků veřejných </w:t>
      </w:r>
      <w:r w:rsidRPr="00ED3950">
        <w:rPr>
          <w:rFonts w:eastAsia="Calibri" w:cs="Arial"/>
          <w:lang w:val="cs-CZ"/>
        </w:rPr>
        <w:t>služeb (např. železnice) o principech a požadavcích DNSH.</w:t>
      </w:r>
    </w:p>
    <w:p w:rsidR="00C52545" w:rsidRPr="00ED3950" w:rsidRDefault="00C52545" w:rsidP="00C52545">
      <w:pPr>
        <w:rPr>
          <w:rFonts w:eastAsia="Calibri" w:cs="Arial"/>
          <w:lang w:val="cs-CZ"/>
        </w:rPr>
      </w:pPr>
    </w:p>
    <w:p w:rsidR="005840C5" w:rsidRPr="00ED3950" w:rsidRDefault="00ED3950">
      <w:pPr>
        <w:numPr>
          <w:ilvl w:val="2"/>
          <w:numId w:val="0"/>
        </w:numPr>
        <w:tabs>
          <w:tab w:val="left" w:pos="851"/>
        </w:tabs>
        <w:ind w:left="1134" w:hanging="567"/>
        <w:contextualSpacing/>
        <w:outlineLvl w:val="2"/>
        <w:rPr>
          <w:rFonts w:eastAsia="Calibri" w:cs="Arial"/>
          <w:b/>
          <w:i/>
          <w:color w:val="F04E30"/>
          <w:lang w:val="cs-CZ"/>
        </w:rPr>
      </w:pPr>
      <w:bookmarkStart w:id="142" w:name="_Toc127978742"/>
      <w:bookmarkStart w:id="143" w:name="_Toc131757491"/>
      <w:bookmarkStart w:id="144" w:name="_Toc131775884"/>
      <w:r w:rsidRPr="00ED3950">
        <w:rPr>
          <w:rFonts w:eastAsia="Calibri" w:cs="Arial"/>
          <w:b/>
          <w:i/>
          <w:color w:val="F04E30"/>
          <w:lang w:val="cs-CZ"/>
        </w:rPr>
        <w:t>Získané zkušenosti</w:t>
      </w:r>
      <w:bookmarkEnd w:id="142"/>
      <w:bookmarkEnd w:id="143"/>
      <w:bookmarkEnd w:id="144"/>
    </w:p>
    <w:p w:rsidR="005840C5" w:rsidRPr="00ED3950" w:rsidRDefault="00ED3950">
      <w:pPr>
        <w:pStyle w:val="lp11"/>
        <w:ind w:left="567" w:firstLine="0"/>
        <w:rPr>
          <w:lang w:val="cs-CZ"/>
        </w:rPr>
      </w:pPr>
      <w:r w:rsidRPr="00ED3950">
        <w:rPr>
          <w:lang w:val="cs-CZ"/>
        </w:rPr>
        <w:t>Z toho lze vyvodit řadu poučení:</w:t>
      </w:r>
    </w:p>
    <w:p w:rsidR="005840C5" w:rsidRPr="00ED3950" w:rsidRDefault="00ED3950">
      <w:pPr>
        <w:pStyle w:val="lp11"/>
        <w:numPr>
          <w:ilvl w:val="0"/>
          <w:numId w:val="8"/>
        </w:numPr>
        <w:rPr>
          <w:lang w:val="cs-CZ"/>
        </w:rPr>
      </w:pPr>
      <w:r w:rsidRPr="00ED3950">
        <w:rPr>
          <w:b/>
          <w:bCs/>
          <w:lang w:val="cs-CZ"/>
        </w:rPr>
        <w:t xml:space="preserve">Je lepší </w:t>
      </w:r>
      <w:r w:rsidRPr="00ED3950">
        <w:rPr>
          <w:b/>
          <w:bCs/>
          <w:lang w:val="cs-CZ"/>
        </w:rPr>
        <w:t>rychle a často oslovit liniové služby</w:t>
      </w:r>
      <w:r w:rsidRPr="00ED3950">
        <w:rPr>
          <w:b/>
          <w:bCs/>
          <w:lang w:val="cs-CZ"/>
        </w:rPr>
        <w:t xml:space="preserve">, </w:t>
      </w:r>
      <w:r w:rsidRPr="00ED3950">
        <w:rPr>
          <w:lang w:val="cs-CZ"/>
        </w:rPr>
        <w:t xml:space="preserve">naznačit </w:t>
      </w:r>
      <w:r w:rsidRPr="00ED3950">
        <w:rPr>
          <w:lang w:val="cs-CZ"/>
        </w:rPr>
        <w:t>jim</w:t>
      </w:r>
      <w:r w:rsidRPr="00ED3950">
        <w:rPr>
          <w:lang w:val="cs-CZ"/>
        </w:rPr>
        <w:t xml:space="preserve">, že </w:t>
      </w:r>
      <w:r w:rsidRPr="00ED3950">
        <w:rPr>
          <w:lang w:val="cs-CZ"/>
        </w:rPr>
        <w:t xml:space="preserve">mohou přijmout pomoc, a </w:t>
      </w:r>
      <w:r w:rsidRPr="00ED3950">
        <w:rPr>
          <w:lang w:val="cs-CZ"/>
        </w:rPr>
        <w:t xml:space="preserve">od začátku je </w:t>
      </w:r>
      <w:r w:rsidRPr="00ED3950">
        <w:rPr>
          <w:lang w:val="cs-CZ"/>
        </w:rPr>
        <w:t>školit v zásadě DNSH;</w:t>
      </w:r>
    </w:p>
    <w:p w:rsidR="005840C5" w:rsidRPr="00ED3950" w:rsidRDefault="00ED3950">
      <w:pPr>
        <w:pStyle w:val="lp11"/>
        <w:numPr>
          <w:ilvl w:val="0"/>
          <w:numId w:val="8"/>
        </w:numPr>
        <w:rPr>
          <w:lang w:val="cs-CZ"/>
        </w:rPr>
      </w:pPr>
      <w:r w:rsidRPr="00ED3950">
        <w:rPr>
          <w:b/>
          <w:bCs/>
          <w:lang w:val="cs-CZ"/>
        </w:rPr>
        <w:t xml:space="preserve">Začlenit zásadu DNSH včas a do všech relevantních dokumentů, </w:t>
      </w:r>
      <w:r w:rsidRPr="00ED3950">
        <w:rPr>
          <w:lang w:val="cs-CZ"/>
        </w:rPr>
        <w:t>aby se předešlo krizovým situacím;</w:t>
      </w:r>
    </w:p>
    <w:p w:rsidR="005840C5" w:rsidRPr="00ED3950" w:rsidRDefault="00ED3950">
      <w:pPr>
        <w:pStyle w:val="lp11"/>
        <w:numPr>
          <w:ilvl w:val="0"/>
          <w:numId w:val="8"/>
        </w:numPr>
        <w:rPr>
          <w:lang w:val="cs-CZ"/>
        </w:rPr>
      </w:pPr>
      <w:r w:rsidRPr="00ED3950">
        <w:rPr>
          <w:b/>
          <w:bCs/>
          <w:lang w:val="cs-CZ"/>
        </w:rPr>
        <w:t xml:space="preserve">Šířit informace </w:t>
      </w:r>
      <w:r w:rsidRPr="00ED3950">
        <w:rPr>
          <w:lang w:val="cs-CZ"/>
        </w:rPr>
        <w:t>a znásobit formáty, aby bylo k dispozici více informací (např. videa, pokud nemůžete pořádat školení každý týden);</w:t>
      </w:r>
    </w:p>
    <w:p w:rsidR="005840C5" w:rsidRPr="00ED3950" w:rsidRDefault="00ED3950">
      <w:pPr>
        <w:pStyle w:val="lp11"/>
        <w:numPr>
          <w:ilvl w:val="0"/>
          <w:numId w:val="8"/>
        </w:numPr>
        <w:rPr>
          <w:lang w:val="cs-CZ"/>
        </w:rPr>
      </w:pPr>
      <w:r w:rsidRPr="00ED3950">
        <w:rPr>
          <w:b/>
          <w:bCs/>
          <w:lang w:val="cs-CZ"/>
        </w:rPr>
        <w:t xml:space="preserve">Učte DNSH nad rámec RRP </w:t>
      </w:r>
      <w:r w:rsidRPr="00ED3950">
        <w:rPr>
          <w:lang w:val="cs-CZ"/>
        </w:rPr>
        <w:t>(a na</w:t>
      </w:r>
      <w:r w:rsidRPr="00ED3950">
        <w:rPr>
          <w:lang w:val="cs-CZ"/>
        </w:rPr>
        <w:t>d rámec klimatu; nemělo by docházet k vybírání třešniček);</w:t>
      </w:r>
    </w:p>
    <w:p w:rsidR="005840C5" w:rsidRPr="00ED3950" w:rsidRDefault="00ED3950">
      <w:pPr>
        <w:pStyle w:val="lp11"/>
        <w:numPr>
          <w:ilvl w:val="0"/>
          <w:numId w:val="8"/>
        </w:numPr>
        <w:rPr>
          <w:lang w:val="cs-CZ"/>
        </w:rPr>
      </w:pPr>
      <w:r w:rsidRPr="00ED3950">
        <w:rPr>
          <w:b/>
          <w:bCs/>
          <w:lang w:val="cs-CZ"/>
        </w:rPr>
        <w:t xml:space="preserve">Školení kontrolních týmů </w:t>
      </w:r>
      <w:r w:rsidRPr="00ED3950">
        <w:rPr>
          <w:lang w:val="cs-CZ"/>
        </w:rPr>
        <w:t>RRP a finančních inspektorů;</w:t>
      </w:r>
    </w:p>
    <w:p w:rsidR="005840C5" w:rsidRPr="00ED3950" w:rsidRDefault="00ED3950">
      <w:pPr>
        <w:pStyle w:val="lp11"/>
        <w:numPr>
          <w:ilvl w:val="0"/>
          <w:numId w:val="8"/>
        </w:numPr>
        <w:rPr>
          <w:lang w:val="cs-CZ"/>
        </w:rPr>
      </w:pPr>
      <w:r w:rsidRPr="00ED3950">
        <w:rPr>
          <w:b/>
          <w:bCs/>
          <w:lang w:val="cs-CZ"/>
        </w:rPr>
        <w:t xml:space="preserve">Shromažďovat informace a vytvářet praktické nástroje, </w:t>
      </w:r>
      <w:r w:rsidRPr="00ED3950">
        <w:rPr>
          <w:lang w:val="cs-CZ"/>
        </w:rPr>
        <w:t>pokud jsou otázky obecně stejné;</w:t>
      </w:r>
    </w:p>
    <w:p w:rsidR="005840C5" w:rsidRPr="00ED3950" w:rsidRDefault="00ED3950">
      <w:pPr>
        <w:numPr>
          <w:ilvl w:val="0"/>
          <w:numId w:val="8"/>
        </w:numPr>
        <w:tabs>
          <w:tab w:val="left" w:pos="851"/>
        </w:tabs>
        <w:contextualSpacing/>
        <w:rPr>
          <w:lang w:val="cs-CZ"/>
        </w:rPr>
      </w:pPr>
      <w:r w:rsidRPr="00ED3950">
        <w:rPr>
          <w:b/>
          <w:lang w:val="cs-CZ"/>
        </w:rPr>
        <w:t>Využívat podpory národních tajemníků a vlády</w:t>
      </w:r>
      <w:r w:rsidRPr="00ED3950">
        <w:rPr>
          <w:lang w:val="cs-CZ"/>
        </w:rPr>
        <w:t xml:space="preserve">. </w:t>
      </w:r>
      <w:r w:rsidRPr="00ED3950">
        <w:rPr>
          <w:lang w:val="cs-CZ"/>
        </w:rPr>
        <w:t>K řádnému provádění DNSH jsou zapotřebí zdroje, které je třeba zajistit.</w:t>
      </w:r>
    </w:p>
    <w:p w:rsidR="00C52545" w:rsidRPr="00ED3950" w:rsidRDefault="00C52545" w:rsidP="007608BA">
      <w:pPr>
        <w:tabs>
          <w:tab w:val="left" w:pos="851"/>
        </w:tabs>
        <w:ind w:left="1287"/>
        <w:contextualSpacing/>
        <w:rPr>
          <w:lang w:val="cs-CZ"/>
        </w:rPr>
      </w:pPr>
    </w:p>
    <w:p w:rsidR="005840C5" w:rsidRPr="00ED3950" w:rsidRDefault="00ED3950">
      <w:pPr>
        <w:pStyle w:val="Nadpis2"/>
        <w:numPr>
          <w:ilvl w:val="0"/>
          <w:numId w:val="0"/>
        </w:numPr>
        <w:ind w:left="567"/>
        <w:rPr>
          <w:lang w:val="cs-CZ"/>
        </w:rPr>
      </w:pPr>
      <w:bookmarkStart w:id="145" w:name="_Toc127978743"/>
      <w:bookmarkStart w:id="146" w:name="_Toc131757492"/>
      <w:bookmarkStart w:id="147" w:name="_Toc131775885"/>
      <w:r w:rsidRPr="00ED3950">
        <w:rPr>
          <w:lang w:val="cs-CZ"/>
        </w:rPr>
        <w:t>Panelová diskuse</w:t>
      </w:r>
      <w:bookmarkEnd w:id="145"/>
      <w:bookmarkEnd w:id="146"/>
      <w:bookmarkEnd w:id="147"/>
    </w:p>
    <w:p w:rsidR="005840C5" w:rsidRPr="00ED3950" w:rsidRDefault="00ED3950">
      <w:pPr>
        <w:rPr>
          <w:rFonts w:eastAsia="Calibri" w:cs="Arial"/>
          <w:b/>
          <w:bCs/>
          <w:lang w:val="cs-CZ"/>
        </w:rPr>
      </w:pPr>
      <w:r w:rsidRPr="00ED3950">
        <w:rPr>
          <w:rFonts w:eastAsia="Calibri" w:cs="Arial"/>
          <w:b/>
          <w:bCs/>
          <w:color w:val="F04E30"/>
          <w:lang w:val="cs-CZ"/>
        </w:rPr>
        <w:t>Projektový tým</w:t>
      </w:r>
      <w:r w:rsidRPr="00ED3950">
        <w:rPr>
          <w:rFonts w:eastAsia="Calibri" w:cs="Arial"/>
          <w:color w:val="000000"/>
          <w:lang w:val="cs-CZ"/>
        </w:rPr>
        <w:t>: Jak zvýšit efektivitu procesů řízení? Existují hodnotné přístupy k rozdělení odpovědnosti za aplikaci DNSH?</w:t>
      </w:r>
    </w:p>
    <w:p w:rsidR="005840C5" w:rsidRPr="00ED3950" w:rsidRDefault="00ED3950">
      <w:pPr>
        <w:rPr>
          <w:rFonts w:eastAsia="Calibri" w:cs="Arial"/>
          <w:lang w:val="cs-CZ"/>
        </w:rPr>
      </w:pPr>
      <w:r w:rsidRPr="00ED3950">
        <w:rPr>
          <w:rFonts w:eastAsia="Calibri" w:cs="Arial"/>
          <w:b/>
          <w:bCs/>
          <w:color w:val="2998FF"/>
          <w:lang w:val="cs-CZ"/>
        </w:rPr>
        <w:t>Lenka Růžičková</w:t>
      </w:r>
      <w:r w:rsidRPr="00ED3950">
        <w:rPr>
          <w:rFonts w:eastAsia="Calibri" w:cs="Arial"/>
          <w:lang w:val="cs-CZ"/>
        </w:rPr>
        <w:t xml:space="preserve">: Růžičková: </w:t>
      </w:r>
      <w:r w:rsidRPr="00ED3950">
        <w:rPr>
          <w:rFonts w:eastAsia="Calibri" w:cs="Arial"/>
          <w:lang w:val="cs-CZ"/>
        </w:rPr>
        <w:t>Kapacita</w:t>
      </w:r>
      <w:r w:rsidRPr="00ED3950">
        <w:rPr>
          <w:rFonts w:eastAsia="Calibri" w:cs="Arial"/>
          <w:lang w:val="cs-CZ"/>
        </w:rPr>
        <w:t xml:space="preserve"> pro </w:t>
      </w:r>
      <w:r w:rsidRPr="00ED3950">
        <w:rPr>
          <w:rFonts w:eastAsia="Calibri" w:cs="Arial"/>
          <w:lang w:val="cs-CZ"/>
        </w:rPr>
        <w:t xml:space="preserve">řešení komplexnosti DNSH je stále nedostatečná. Fondy RRF a kohezní </w:t>
      </w:r>
      <w:r w:rsidRPr="00ED3950">
        <w:rPr>
          <w:rFonts w:eastAsia="Calibri" w:cs="Arial"/>
          <w:lang w:val="cs-CZ"/>
        </w:rPr>
        <w:t xml:space="preserve">politiky </w:t>
      </w:r>
      <w:r w:rsidRPr="00ED3950">
        <w:rPr>
          <w:rFonts w:eastAsia="Calibri" w:cs="Arial"/>
          <w:lang w:val="cs-CZ"/>
        </w:rPr>
        <w:t xml:space="preserve">jsou řízeny </w:t>
      </w:r>
      <w:r w:rsidRPr="00ED3950">
        <w:rPr>
          <w:rFonts w:eastAsia="Calibri" w:cs="Arial"/>
          <w:lang w:val="cs-CZ"/>
        </w:rPr>
        <w:t xml:space="preserve">odděleně, </w:t>
      </w:r>
      <w:r w:rsidRPr="00ED3950">
        <w:rPr>
          <w:rFonts w:eastAsia="Calibri" w:cs="Arial"/>
          <w:lang w:val="cs-CZ"/>
        </w:rPr>
        <w:t xml:space="preserve">takže srovnání s předloženými případovými studiemi není snadné. Fondy </w:t>
      </w:r>
      <w:r w:rsidRPr="00ED3950">
        <w:rPr>
          <w:rFonts w:eastAsia="Calibri" w:cs="Arial"/>
          <w:lang w:val="cs-CZ"/>
        </w:rPr>
        <w:t xml:space="preserve">politiky </w:t>
      </w:r>
      <w:r w:rsidRPr="00ED3950">
        <w:rPr>
          <w:rFonts w:eastAsia="Calibri" w:cs="Arial"/>
          <w:lang w:val="cs-CZ"/>
        </w:rPr>
        <w:t xml:space="preserve">soudržnosti vycházejí </w:t>
      </w:r>
      <w:r w:rsidRPr="00ED3950">
        <w:rPr>
          <w:rFonts w:eastAsia="Calibri" w:cs="Arial"/>
          <w:lang w:val="cs-CZ"/>
        </w:rPr>
        <w:t xml:space="preserve">ze </w:t>
      </w:r>
      <w:r w:rsidRPr="00ED3950">
        <w:rPr>
          <w:rFonts w:eastAsia="Calibri" w:cs="Arial"/>
          <w:lang w:val="cs-CZ"/>
        </w:rPr>
        <w:t xml:space="preserve">zkušeností získaných při </w:t>
      </w:r>
      <w:r w:rsidRPr="00ED3950">
        <w:rPr>
          <w:rFonts w:eastAsia="Calibri" w:cs="Arial"/>
          <w:lang w:val="cs-CZ"/>
        </w:rPr>
        <w:t xml:space="preserve">uplatňování </w:t>
      </w:r>
      <w:r w:rsidRPr="00ED3950">
        <w:rPr>
          <w:rFonts w:eastAsia="Calibri" w:cs="Arial"/>
          <w:lang w:val="cs-CZ"/>
        </w:rPr>
        <w:t xml:space="preserve">principu DNSH v </w:t>
      </w:r>
      <w:r w:rsidRPr="00ED3950">
        <w:rPr>
          <w:rFonts w:eastAsia="Calibri" w:cs="Arial"/>
          <w:lang w:val="cs-CZ"/>
        </w:rPr>
        <w:t>RRF. Obtížné je také srovnání s Belgií, kde je poměr alokovaných prostředků do RRF a fondů politiky soudržnosti vyrovnaný, zatímco v Česku je prostředků do fondů politiky soudržnosti převážně více.</w:t>
      </w:r>
    </w:p>
    <w:p w:rsidR="00C52545" w:rsidRPr="00ED3950" w:rsidRDefault="00C52545" w:rsidP="00C52545">
      <w:pPr>
        <w:rPr>
          <w:rFonts w:eastAsia="Calibri" w:cs="Arial"/>
          <w:lang w:val="cs-CZ"/>
        </w:rPr>
      </w:pPr>
    </w:p>
    <w:p w:rsidR="005840C5" w:rsidRPr="00ED3950" w:rsidRDefault="00ED3950">
      <w:pPr>
        <w:rPr>
          <w:rFonts w:eastAsia="Calibri" w:cs="Arial"/>
          <w:b/>
          <w:bCs/>
          <w:lang w:val="cs-CZ"/>
        </w:rPr>
      </w:pPr>
      <w:r w:rsidRPr="00ED3950">
        <w:rPr>
          <w:rFonts w:eastAsia="Calibri" w:cs="Arial"/>
          <w:b/>
          <w:bCs/>
          <w:color w:val="F04E30"/>
          <w:lang w:val="cs-CZ"/>
        </w:rPr>
        <w:t>Projektový tým</w:t>
      </w:r>
      <w:r w:rsidRPr="00ED3950">
        <w:rPr>
          <w:rFonts w:eastAsia="Calibri" w:cs="Arial"/>
          <w:color w:val="000000"/>
          <w:lang w:val="cs-CZ"/>
        </w:rPr>
        <w:t>:</w:t>
      </w:r>
      <w:r w:rsidRPr="00ED3950">
        <w:rPr>
          <w:rFonts w:eastAsia="Calibri" w:cs="Arial"/>
          <w:lang w:val="cs-CZ"/>
        </w:rPr>
        <w:t xml:space="preserve"> Jak se k CPF přistupuje ve Španělsku?</w:t>
      </w:r>
    </w:p>
    <w:p w:rsidR="005840C5" w:rsidRPr="00ED3950" w:rsidRDefault="00ED3950">
      <w:pPr>
        <w:rPr>
          <w:rFonts w:eastAsia="Calibri" w:cs="Arial"/>
          <w:lang w:val="cs-CZ"/>
        </w:rPr>
      </w:pPr>
      <w:proofErr w:type="spellStart"/>
      <w:r w:rsidRPr="00ED3950">
        <w:rPr>
          <w:rFonts w:eastAsia="Calibri" w:cs="Arial"/>
          <w:b/>
          <w:color w:val="2998FF"/>
          <w:lang w:val="cs-CZ"/>
        </w:rPr>
        <w:t>Luc</w:t>
      </w:r>
      <w:r w:rsidRPr="00ED3950">
        <w:rPr>
          <w:rFonts w:eastAsia="Calibri" w:cs="Arial"/>
          <w:b/>
          <w:color w:val="2998FF"/>
          <w:lang w:val="cs-CZ"/>
        </w:rPr>
        <w:t>ía</w:t>
      </w:r>
      <w:proofErr w:type="spellEnd"/>
      <w:r w:rsidRPr="00ED3950">
        <w:rPr>
          <w:rFonts w:eastAsia="Calibri" w:cs="Arial"/>
          <w:b/>
          <w:color w:val="2998FF"/>
          <w:lang w:val="cs-CZ"/>
        </w:rPr>
        <w:t xml:space="preserve"> </w:t>
      </w:r>
      <w:proofErr w:type="spellStart"/>
      <w:r w:rsidRPr="00ED3950">
        <w:rPr>
          <w:rFonts w:eastAsia="Calibri" w:cs="Arial"/>
          <w:b/>
          <w:bCs/>
          <w:color w:val="2998FF"/>
          <w:lang w:val="cs-CZ"/>
        </w:rPr>
        <w:t>Cobo</w:t>
      </w:r>
      <w:proofErr w:type="spellEnd"/>
      <w:r w:rsidRPr="00ED3950">
        <w:rPr>
          <w:rFonts w:eastAsia="Calibri" w:cs="Arial"/>
          <w:lang w:val="cs-CZ"/>
        </w:rPr>
        <w:t>: Používá se příručka, kterou tým vypracoval pro strategické hodnocení životního prostředí a pro hodnocení DNSH. Pokyny pro DNSH byly vypracovány pro plán obnovy, ale řada získaných poznatků se vztahuje i na fondy politiky soudržnosti. Přístup spočí</w:t>
      </w:r>
      <w:r w:rsidRPr="00ED3950">
        <w:rPr>
          <w:rFonts w:eastAsia="Calibri" w:cs="Arial"/>
          <w:lang w:val="cs-CZ"/>
        </w:rPr>
        <w:t>val také v rozšíření kapacity oddělení DNSH (v současné době 10 kolegů). Španělský přístup schválila Evropská komise.</w:t>
      </w:r>
    </w:p>
    <w:p w:rsidR="00C52545" w:rsidRPr="00ED3950" w:rsidRDefault="00C52545" w:rsidP="00C52545">
      <w:pPr>
        <w:rPr>
          <w:rFonts w:eastAsia="Calibri" w:cs="Arial"/>
          <w:lang w:val="cs-CZ"/>
        </w:rPr>
      </w:pPr>
    </w:p>
    <w:p w:rsidR="005840C5" w:rsidRPr="00ED3950" w:rsidRDefault="00ED3950">
      <w:pPr>
        <w:rPr>
          <w:rFonts w:eastAsia="Calibri" w:cs="Arial"/>
          <w:b/>
          <w:lang w:val="cs-CZ"/>
        </w:rPr>
      </w:pPr>
      <w:r w:rsidRPr="00ED3950">
        <w:rPr>
          <w:rFonts w:eastAsia="Calibri" w:cs="Arial"/>
          <w:b/>
          <w:bCs/>
          <w:color w:val="F04E30"/>
          <w:lang w:val="cs-CZ"/>
        </w:rPr>
        <w:t>Projektový tým</w:t>
      </w:r>
      <w:r w:rsidRPr="00ED3950">
        <w:rPr>
          <w:rFonts w:eastAsia="Calibri" w:cs="Arial"/>
          <w:color w:val="000000"/>
          <w:lang w:val="cs-CZ"/>
        </w:rPr>
        <w:t>:</w:t>
      </w:r>
      <w:r w:rsidRPr="00ED3950">
        <w:rPr>
          <w:rFonts w:eastAsia="Calibri" w:cs="Arial"/>
          <w:lang w:val="cs-CZ"/>
        </w:rPr>
        <w:t xml:space="preserve"> Jaké jsou hlavní úvahy o budování kapacit s ohledem na další prezentace?</w:t>
      </w:r>
    </w:p>
    <w:p w:rsidR="005840C5" w:rsidRPr="00ED3950" w:rsidRDefault="00ED3950">
      <w:pPr>
        <w:rPr>
          <w:rFonts w:eastAsia="Calibri" w:cs="Arial"/>
          <w:szCs w:val="18"/>
          <w:lang w:val="cs-CZ"/>
        </w:rPr>
      </w:pPr>
      <w:r w:rsidRPr="00ED3950">
        <w:rPr>
          <w:rFonts w:eastAsia="Calibri" w:cs="Arial"/>
          <w:b/>
          <w:bCs/>
          <w:color w:val="2998FF"/>
          <w:szCs w:val="18"/>
          <w:lang w:val="cs-CZ"/>
        </w:rPr>
        <w:t xml:space="preserve">Emma </w:t>
      </w:r>
      <w:proofErr w:type="spellStart"/>
      <w:r w:rsidRPr="00ED3950">
        <w:rPr>
          <w:rFonts w:eastAsia="Calibri" w:cs="Arial"/>
          <w:b/>
          <w:bCs/>
          <w:color w:val="2998FF"/>
          <w:szCs w:val="18"/>
          <w:lang w:val="cs-CZ"/>
        </w:rPr>
        <w:t>Terämä</w:t>
      </w:r>
      <w:proofErr w:type="spellEnd"/>
      <w:r w:rsidRPr="00ED3950">
        <w:rPr>
          <w:rFonts w:eastAsia="Calibri" w:cs="Arial"/>
          <w:b/>
          <w:bCs/>
          <w:color w:val="2998FF"/>
          <w:szCs w:val="18"/>
          <w:lang w:val="cs-CZ"/>
        </w:rPr>
        <w:t>:</w:t>
      </w:r>
      <w:r w:rsidRPr="00ED3950">
        <w:rPr>
          <w:rFonts w:eastAsia="Calibri" w:cs="Arial"/>
          <w:szCs w:val="18"/>
          <w:lang w:val="cs-CZ"/>
        </w:rPr>
        <w:t xml:space="preserve"> Organizační struktury se liší. </w:t>
      </w:r>
      <w:r w:rsidRPr="00ED3950">
        <w:rPr>
          <w:rFonts w:eastAsia="Calibri" w:cs="Arial"/>
          <w:szCs w:val="18"/>
          <w:lang w:val="cs-CZ"/>
        </w:rPr>
        <w:t xml:space="preserve">RRF spadá pod ministerstvo financí, zatímco regionální financování spadá pod ministerstvo hospodářství. Finsko bylo aktivní a ambiciózní v </w:t>
      </w:r>
      <w:r w:rsidRPr="00ED3950">
        <w:rPr>
          <w:rFonts w:eastAsia="Calibri" w:cs="Arial"/>
          <w:szCs w:val="18"/>
          <w:lang w:val="cs-CZ"/>
        </w:rPr>
        <w:t xml:space="preserve">nastavení </w:t>
      </w:r>
      <w:r w:rsidRPr="00ED3950">
        <w:rPr>
          <w:rFonts w:eastAsia="Calibri" w:cs="Arial"/>
          <w:szCs w:val="18"/>
          <w:lang w:val="cs-CZ"/>
        </w:rPr>
        <w:t>cílů ekologického přechodu, což pomohlo provést hodnocení typu DNSH na úrovni programu. Hodnocení jsou dele</w:t>
      </w:r>
      <w:r w:rsidRPr="00ED3950">
        <w:rPr>
          <w:rFonts w:eastAsia="Calibri" w:cs="Arial"/>
          <w:szCs w:val="18"/>
          <w:lang w:val="cs-CZ"/>
        </w:rPr>
        <w:t>gována na jednotlivá ministerstva, která opatření realizují, a následné hodnocení. Decentralizovaný systém funguje i v současnosti. Není to však jednoduché - obvykle bylo třeba všechny jednotlivé orgány kontaktovat a zkontrolovat, zda mají vypracovanou něj</w:t>
      </w:r>
      <w:r w:rsidRPr="00ED3950">
        <w:rPr>
          <w:rFonts w:eastAsia="Calibri" w:cs="Arial"/>
          <w:szCs w:val="18"/>
          <w:lang w:val="cs-CZ"/>
        </w:rPr>
        <w:t>akou dokumentaci. Situace se stabilizuje (existuje více pokynů). Agentura řídící podávání zpráv vypracovala dokumenty. Otázkou zůstává - nebyl by vhodnější centralizovaný systém?</w:t>
      </w:r>
    </w:p>
    <w:p w:rsidR="00C52545" w:rsidRPr="00ED3950" w:rsidRDefault="00C52545" w:rsidP="00C52545">
      <w:pPr>
        <w:rPr>
          <w:rFonts w:eastAsia="Calibri" w:cs="Arial"/>
          <w:lang w:val="cs-CZ"/>
        </w:rPr>
      </w:pPr>
    </w:p>
    <w:p w:rsidR="005840C5" w:rsidRPr="00ED3950" w:rsidRDefault="00ED3950">
      <w:pPr>
        <w:rPr>
          <w:rFonts w:eastAsia="Calibri" w:cs="Arial"/>
          <w:lang w:val="cs-CZ"/>
        </w:rPr>
      </w:pPr>
      <w:r w:rsidRPr="00ED3950">
        <w:rPr>
          <w:rFonts w:eastAsia="Calibri" w:cs="Arial"/>
          <w:b/>
          <w:bCs/>
          <w:color w:val="F04E30"/>
          <w:lang w:val="cs-CZ"/>
        </w:rPr>
        <w:t>Projektový tým</w:t>
      </w:r>
      <w:r w:rsidRPr="00ED3950">
        <w:rPr>
          <w:rFonts w:eastAsia="Calibri" w:cs="Arial"/>
          <w:lang w:val="cs-CZ"/>
        </w:rPr>
        <w:t>: Byly vyvinuty nějaké systémy, které by zajistily konzistentn</w:t>
      </w:r>
      <w:r w:rsidRPr="00ED3950">
        <w:rPr>
          <w:rFonts w:eastAsia="Calibri" w:cs="Arial"/>
          <w:lang w:val="cs-CZ"/>
        </w:rPr>
        <w:t>ost uplatňování DNSH v rámci RRF a fondů politiky soudržnosti?</w:t>
      </w:r>
    </w:p>
    <w:p w:rsidR="005840C5" w:rsidRPr="00ED3950" w:rsidRDefault="00ED3950">
      <w:pPr>
        <w:rPr>
          <w:rFonts w:eastAsia="Calibri" w:cs="Arial"/>
          <w:lang w:val="cs-CZ"/>
        </w:rPr>
      </w:pPr>
      <w:proofErr w:type="spellStart"/>
      <w:r w:rsidRPr="00ED3950">
        <w:rPr>
          <w:rFonts w:eastAsia="Calibri" w:cs="Arial"/>
          <w:b/>
          <w:bCs/>
          <w:color w:val="2998FF"/>
          <w:lang w:val="cs-CZ"/>
        </w:rPr>
        <w:t>Stéphanie</w:t>
      </w:r>
      <w:proofErr w:type="spellEnd"/>
      <w:r w:rsidRPr="00ED3950">
        <w:rPr>
          <w:rFonts w:eastAsia="Calibri" w:cs="Arial"/>
          <w:b/>
          <w:bCs/>
          <w:color w:val="2998FF"/>
          <w:lang w:val="cs-CZ"/>
        </w:rPr>
        <w:t xml:space="preserve"> </w:t>
      </w:r>
      <w:proofErr w:type="spellStart"/>
      <w:r w:rsidRPr="00ED3950">
        <w:rPr>
          <w:rFonts w:eastAsia="Calibri" w:cs="Arial"/>
          <w:b/>
          <w:bCs/>
          <w:color w:val="2998FF"/>
          <w:lang w:val="cs-CZ"/>
        </w:rPr>
        <w:t>Baclin</w:t>
      </w:r>
      <w:proofErr w:type="spellEnd"/>
      <w:r w:rsidRPr="00ED3950">
        <w:rPr>
          <w:rFonts w:eastAsia="Calibri" w:cs="Arial"/>
          <w:lang w:val="cs-CZ"/>
        </w:rPr>
        <w:t>: O to se pokoušelo hodnocení ex-ante Federálního úřadu pro plánování. To poskytlo přehled o celém plánu a o aplikaci DNSH pro všechna opatření a pomohlo tak ke koordinaci. Např</w:t>
      </w:r>
      <w:r w:rsidRPr="00ED3950">
        <w:rPr>
          <w:rFonts w:eastAsia="Calibri" w:cs="Arial"/>
          <w:lang w:val="cs-CZ"/>
        </w:rPr>
        <w:t xml:space="preserve">íklad to pomohlo zjistit, u kterých opatření může tým </w:t>
      </w:r>
      <w:proofErr w:type="spellStart"/>
      <w:r w:rsidRPr="00ED3950">
        <w:rPr>
          <w:rFonts w:eastAsia="Calibri" w:cs="Arial"/>
          <w:lang w:val="cs-CZ"/>
        </w:rPr>
        <w:t>Stéphanie</w:t>
      </w:r>
      <w:proofErr w:type="spellEnd"/>
      <w:r w:rsidRPr="00ED3950">
        <w:rPr>
          <w:rFonts w:eastAsia="Calibri" w:cs="Arial"/>
          <w:lang w:val="cs-CZ"/>
        </w:rPr>
        <w:t xml:space="preserve"> kontaktovat předchozí týmy pro předchozí opatření, aby mohly znovu použít předchozí posouzení. Mají sice na radaru konzistenci, ale systém ještě není dokonalý.</w:t>
      </w:r>
    </w:p>
    <w:p w:rsidR="005840C5" w:rsidRPr="00ED3950" w:rsidRDefault="00ED3950">
      <w:pPr>
        <w:rPr>
          <w:rFonts w:eastAsia="Calibri" w:cs="Arial"/>
          <w:lang w:val="cs-CZ"/>
        </w:rPr>
      </w:pPr>
      <w:r w:rsidRPr="00ED3950">
        <w:rPr>
          <w:rFonts w:eastAsia="Calibri" w:cs="Arial"/>
          <w:b/>
          <w:bCs/>
          <w:color w:val="2998FF"/>
          <w:lang w:val="cs-CZ"/>
        </w:rPr>
        <w:t xml:space="preserve">Emma </w:t>
      </w:r>
      <w:proofErr w:type="spellStart"/>
      <w:r w:rsidRPr="00ED3950">
        <w:rPr>
          <w:rFonts w:eastAsia="Calibri" w:cs="Arial"/>
          <w:b/>
          <w:bCs/>
          <w:color w:val="2998FF"/>
          <w:lang w:val="cs-CZ"/>
        </w:rPr>
        <w:t>Terämä</w:t>
      </w:r>
      <w:proofErr w:type="spellEnd"/>
      <w:r w:rsidRPr="00ED3950">
        <w:rPr>
          <w:rFonts w:eastAsia="Calibri" w:cs="Arial"/>
          <w:lang w:val="cs-CZ"/>
        </w:rPr>
        <w:t xml:space="preserve">: </w:t>
      </w:r>
      <w:r w:rsidRPr="00ED3950">
        <w:rPr>
          <w:rFonts w:eastAsia="Calibri" w:cs="Arial"/>
          <w:lang w:val="cs-CZ"/>
        </w:rPr>
        <w:t xml:space="preserve">V </w:t>
      </w:r>
      <w:r w:rsidRPr="00ED3950">
        <w:rPr>
          <w:rFonts w:eastAsia="Calibri" w:cs="Arial"/>
          <w:lang w:val="cs-CZ"/>
        </w:rPr>
        <w:t xml:space="preserve">mnoha oborech je </w:t>
      </w:r>
      <w:r w:rsidRPr="00ED3950">
        <w:rPr>
          <w:rFonts w:eastAsia="Calibri" w:cs="Arial"/>
          <w:lang w:val="cs-CZ"/>
        </w:rPr>
        <w:t>zapotřebí specifických odborných znalostí. Proto mohou v této fázi provádět ex-ante hodnocení pouze jednotliví odborníci z konkrétních útvarů zapojených do RRP. Smysl by jistě měl samostatný tým (jako např. v Belgii). Ale při projednávání konkrétních přípa</w:t>
      </w:r>
      <w:r w:rsidRPr="00ED3950">
        <w:rPr>
          <w:rFonts w:eastAsia="Calibri" w:cs="Arial"/>
          <w:lang w:val="cs-CZ"/>
        </w:rPr>
        <w:t>dů jde vždy o velmi specifické odborné znalosti. Proto není obecný tým nejvhodnější.</w:t>
      </w:r>
    </w:p>
    <w:p w:rsidR="00C52545" w:rsidRPr="00ED3950" w:rsidRDefault="00C52545" w:rsidP="00C52545">
      <w:pPr>
        <w:rPr>
          <w:rFonts w:eastAsia="Calibri" w:cs="Arial"/>
          <w:lang w:val="cs-CZ"/>
        </w:rPr>
      </w:pPr>
    </w:p>
    <w:p w:rsidR="005840C5" w:rsidRPr="00ED3950" w:rsidRDefault="00ED3950">
      <w:pPr>
        <w:rPr>
          <w:rFonts w:eastAsia="Calibri" w:cs="Arial"/>
          <w:b/>
          <w:bCs/>
          <w:lang w:val="cs-CZ"/>
        </w:rPr>
      </w:pPr>
      <w:r w:rsidRPr="00ED3950">
        <w:rPr>
          <w:rFonts w:eastAsia="Calibri" w:cs="Arial"/>
          <w:b/>
          <w:bCs/>
          <w:color w:val="F04E30"/>
          <w:lang w:val="cs-CZ"/>
        </w:rPr>
        <w:t>Projektový tým</w:t>
      </w:r>
      <w:r w:rsidRPr="00ED3950">
        <w:rPr>
          <w:rFonts w:eastAsia="Calibri" w:cs="Arial"/>
          <w:lang w:val="cs-CZ"/>
        </w:rPr>
        <w:t>: Jaké jsou hlavní výzvy v Česku z hlediska specifických technických znalostí?</w:t>
      </w:r>
    </w:p>
    <w:p w:rsidR="005840C5" w:rsidRPr="00ED3950" w:rsidRDefault="00ED3950">
      <w:pPr>
        <w:rPr>
          <w:rFonts w:eastAsia="Calibri" w:cs="Arial"/>
          <w:lang w:val="cs-CZ"/>
        </w:rPr>
      </w:pPr>
      <w:r w:rsidRPr="00ED3950">
        <w:rPr>
          <w:rFonts w:eastAsia="Calibri" w:cs="Arial"/>
          <w:b/>
          <w:color w:val="2998FF"/>
          <w:lang w:val="cs-CZ"/>
        </w:rPr>
        <w:t>Richard Juřík:</w:t>
      </w:r>
      <w:r w:rsidRPr="00ED3950">
        <w:rPr>
          <w:rFonts w:eastAsia="Calibri" w:cs="Arial"/>
          <w:lang w:val="cs-CZ"/>
        </w:rPr>
        <w:t xml:space="preserve"> Na Ministerstvu životního prostředí historicky existoval horizontální, strategický tým. Kapacita pro podporu vlastníků složek apod. je však velmi omezená (2 lidé). Ministerstvo se proto snažilo řízení DNSH institucionalizovat a centralizovat. Na politické</w:t>
      </w:r>
      <w:r w:rsidRPr="00ED3950">
        <w:rPr>
          <w:rFonts w:eastAsia="Calibri" w:cs="Arial"/>
          <w:lang w:val="cs-CZ"/>
        </w:rPr>
        <w:t xml:space="preserve"> úrovni se však zvedl silný odpor, protože by to vyžadovalo zvýšit počet úředníků. Nyní, kdy se téma nadále stává složitějším (např. KP v rámci fondů politiky soudržnosti), není horizontální tým schopen konkrétně konzultovat všechny žádosti o pomoc. Poskyt</w:t>
      </w:r>
      <w:r w:rsidRPr="00ED3950">
        <w:rPr>
          <w:rFonts w:eastAsia="Calibri" w:cs="Arial"/>
          <w:lang w:val="cs-CZ"/>
        </w:rPr>
        <w:t xml:space="preserve">l doporučení na vysoké úrovni pro všechny cíle a rámcové pokyny pro KP. Konkrétní </w:t>
      </w:r>
      <w:r w:rsidRPr="00ED3950">
        <w:rPr>
          <w:rFonts w:eastAsia="Calibri" w:cs="Arial"/>
          <w:lang w:val="cs-CZ"/>
        </w:rPr>
        <w:lastRenderedPageBreak/>
        <w:t>realizace tak stále závisí na vlastnících/řídicích orgánech složky (např. pro předběžná hodnocení). Ne vždy jsou však schopni tak učinit, jak potvrdil projekt TSI.</w:t>
      </w:r>
    </w:p>
    <w:p w:rsidR="005840C5" w:rsidRPr="00ED3950" w:rsidRDefault="00ED3950">
      <w:pPr>
        <w:rPr>
          <w:rFonts w:eastAsia="Calibri" w:cs="Arial"/>
          <w:lang w:val="cs-CZ"/>
        </w:rPr>
      </w:pPr>
      <w:proofErr w:type="spellStart"/>
      <w:r w:rsidRPr="00ED3950">
        <w:rPr>
          <w:rFonts w:eastAsia="Calibri" w:cs="Arial"/>
          <w:b/>
          <w:color w:val="2998FF"/>
          <w:lang w:val="cs-CZ"/>
        </w:rPr>
        <w:t>Lucía</w:t>
      </w:r>
      <w:proofErr w:type="spellEnd"/>
      <w:r w:rsidRPr="00ED3950">
        <w:rPr>
          <w:rFonts w:eastAsia="Calibri" w:cs="Arial"/>
          <w:b/>
          <w:color w:val="2998FF"/>
          <w:lang w:val="cs-CZ"/>
        </w:rPr>
        <w:t xml:space="preserve"> </w:t>
      </w:r>
      <w:proofErr w:type="spellStart"/>
      <w:r w:rsidRPr="00ED3950">
        <w:rPr>
          <w:rFonts w:eastAsia="Calibri" w:cs="Arial"/>
          <w:b/>
          <w:bCs/>
          <w:color w:val="2998FF"/>
          <w:lang w:val="cs-CZ"/>
        </w:rPr>
        <w:t>Cobo</w:t>
      </w:r>
      <w:proofErr w:type="spellEnd"/>
      <w:r w:rsidRPr="00ED3950">
        <w:rPr>
          <w:rFonts w:eastAsia="Calibri" w:cs="Arial"/>
          <w:b/>
          <w:bCs/>
          <w:color w:val="2998FF"/>
          <w:lang w:val="cs-CZ"/>
        </w:rPr>
        <w:t>:</w:t>
      </w:r>
      <w:r w:rsidRPr="00ED3950">
        <w:rPr>
          <w:rFonts w:eastAsia="Calibri" w:cs="Arial"/>
          <w:lang w:val="cs-CZ"/>
        </w:rPr>
        <w:t xml:space="preserve"> </w:t>
      </w:r>
      <w:proofErr w:type="spellStart"/>
      <w:r w:rsidRPr="00ED3950">
        <w:rPr>
          <w:rFonts w:eastAsia="Calibri" w:cs="Arial"/>
          <w:lang w:val="cs-CZ"/>
        </w:rPr>
        <w:t>Cobaová</w:t>
      </w:r>
      <w:proofErr w:type="spellEnd"/>
      <w:r w:rsidRPr="00ED3950">
        <w:rPr>
          <w:rFonts w:eastAsia="Calibri" w:cs="Arial"/>
          <w:lang w:val="cs-CZ"/>
        </w:rPr>
        <w:t>: Každé ministerstvo je zodpovědné za stanovení řídících postupů. Je efektivnější požádat ministerstva o provedení posouzení, i když větší společnosti jsou žádány, aby posouzení provedly samy (v některých případech to zahrnuje i ověření nebo c</w:t>
      </w:r>
      <w:r w:rsidRPr="00ED3950">
        <w:rPr>
          <w:rFonts w:eastAsia="Calibri" w:cs="Arial"/>
          <w:lang w:val="cs-CZ"/>
        </w:rPr>
        <w:t xml:space="preserve">ertifikaci třetí stranou). Zásada DNSH je tu napořád; společnosti ji musí dříve či později začít začleňovat do svých postupů. </w:t>
      </w:r>
    </w:p>
    <w:p w:rsidR="00C52545" w:rsidRPr="00ED3950" w:rsidRDefault="00C52545" w:rsidP="00C52545">
      <w:pPr>
        <w:rPr>
          <w:rFonts w:eastAsia="Calibri" w:cs="Arial"/>
          <w:lang w:val="cs-CZ"/>
        </w:rPr>
      </w:pPr>
    </w:p>
    <w:p w:rsidR="005840C5" w:rsidRPr="00ED3950" w:rsidRDefault="00ED3950">
      <w:pPr>
        <w:rPr>
          <w:rFonts w:eastAsia="Calibri" w:cs="Arial"/>
          <w:lang w:val="cs-CZ"/>
        </w:rPr>
      </w:pPr>
      <w:r w:rsidRPr="00ED3950">
        <w:rPr>
          <w:rFonts w:eastAsia="Calibri" w:cs="Arial"/>
          <w:b/>
          <w:bCs/>
          <w:color w:val="F04E30"/>
          <w:lang w:val="cs-CZ"/>
        </w:rPr>
        <w:t>Projektový tým</w:t>
      </w:r>
      <w:r w:rsidRPr="00ED3950">
        <w:rPr>
          <w:rFonts w:eastAsia="Calibri" w:cs="Arial"/>
          <w:lang w:val="cs-CZ"/>
        </w:rPr>
        <w:t>: Jak přistupujete k budování kapacit na národní úrovni? Jaké jsou hlavní potřeby ministerstva a předkladatelů pro</w:t>
      </w:r>
      <w:r w:rsidRPr="00ED3950">
        <w:rPr>
          <w:rFonts w:eastAsia="Calibri" w:cs="Arial"/>
          <w:lang w:val="cs-CZ"/>
        </w:rPr>
        <w:t xml:space="preserve">jektů? </w:t>
      </w:r>
    </w:p>
    <w:p w:rsidR="005840C5" w:rsidRPr="00ED3950" w:rsidRDefault="00ED3950">
      <w:pPr>
        <w:rPr>
          <w:rFonts w:eastAsia="Calibri" w:cs="Arial"/>
          <w:lang w:val="cs-CZ"/>
        </w:rPr>
      </w:pPr>
      <w:r w:rsidRPr="00ED3950">
        <w:rPr>
          <w:rFonts w:eastAsia="Calibri" w:cs="Arial"/>
          <w:b/>
          <w:bCs/>
          <w:color w:val="2998FF"/>
          <w:lang w:val="cs-CZ"/>
        </w:rPr>
        <w:t>Lenka Růžičková</w:t>
      </w:r>
      <w:r w:rsidRPr="00ED3950">
        <w:rPr>
          <w:rFonts w:eastAsia="Calibri" w:cs="Arial"/>
          <w:lang w:val="cs-CZ"/>
        </w:rPr>
        <w:t>: Růžičková: Toto úsilí začalo před dvěma lety semináři. Školení byla začleněna do diskuse kolem taxonomie EU a dalších témat. Zůstala tedy na vysoké úrovni, ale pomohla zlepšit kapacitu a sdílení informací. Ukázalo se, že je důležit</w:t>
      </w:r>
      <w:r w:rsidRPr="00ED3950">
        <w:rPr>
          <w:rFonts w:eastAsia="Calibri" w:cs="Arial"/>
          <w:lang w:val="cs-CZ"/>
        </w:rPr>
        <w:t xml:space="preserve">é zapojit různé zúčastněné strany. </w:t>
      </w:r>
    </w:p>
    <w:p w:rsidR="00C52545" w:rsidRPr="00ED3950" w:rsidRDefault="00C52545" w:rsidP="00C52545">
      <w:pPr>
        <w:rPr>
          <w:rFonts w:eastAsia="Calibri" w:cs="Arial"/>
          <w:lang w:val="cs-CZ"/>
        </w:rPr>
      </w:pPr>
    </w:p>
    <w:p w:rsidR="005840C5" w:rsidRPr="00ED3950" w:rsidRDefault="00ED3950">
      <w:pPr>
        <w:rPr>
          <w:rFonts w:eastAsia="Calibri" w:cs="Arial"/>
          <w:b/>
          <w:bCs/>
          <w:lang w:val="cs-CZ"/>
        </w:rPr>
      </w:pPr>
      <w:r w:rsidRPr="00ED3950">
        <w:rPr>
          <w:rFonts w:eastAsia="Calibri" w:cs="Arial"/>
          <w:b/>
          <w:bCs/>
          <w:color w:val="F04E30"/>
          <w:lang w:val="cs-CZ"/>
        </w:rPr>
        <w:t>Projektový tým</w:t>
      </w:r>
      <w:r w:rsidRPr="00ED3950">
        <w:rPr>
          <w:rFonts w:eastAsia="Calibri" w:cs="Arial"/>
          <w:lang w:val="cs-CZ"/>
        </w:rPr>
        <w:t>: V Belgii zajišťuje školení centrum DNSH. Jaké byly hlavní potřeby v oblasti budování kapacit? Jaké otázky jsou nejčastěji kladeny?</w:t>
      </w:r>
    </w:p>
    <w:p w:rsidR="005840C5" w:rsidRPr="00ED3950" w:rsidRDefault="00ED3950">
      <w:pPr>
        <w:rPr>
          <w:rFonts w:eastAsia="Calibri" w:cs="Arial"/>
          <w:lang w:val="cs-CZ"/>
        </w:rPr>
      </w:pPr>
      <w:proofErr w:type="spellStart"/>
      <w:r w:rsidRPr="00ED3950">
        <w:rPr>
          <w:rFonts w:eastAsia="Calibri" w:cs="Arial"/>
          <w:b/>
          <w:color w:val="2998FF"/>
          <w:lang w:val="cs-CZ"/>
        </w:rPr>
        <w:t>Stéphanie</w:t>
      </w:r>
      <w:proofErr w:type="spellEnd"/>
      <w:r w:rsidRPr="00ED3950">
        <w:rPr>
          <w:rFonts w:eastAsia="Calibri" w:cs="Arial"/>
          <w:b/>
          <w:color w:val="2998FF"/>
          <w:lang w:val="cs-CZ"/>
        </w:rPr>
        <w:t xml:space="preserve"> </w:t>
      </w:r>
      <w:proofErr w:type="spellStart"/>
      <w:r w:rsidRPr="00ED3950">
        <w:rPr>
          <w:rFonts w:eastAsia="Calibri" w:cs="Arial"/>
          <w:b/>
          <w:bCs/>
          <w:color w:val="2998FF"/>
          <w:lang w:val="cs-CZ"/>
        </w:rPr>
        <w:t>Baclin</w:t>
      </w:r>
      <w:proofErr w:type="spellEnd"/>
      <w:r w:rsidRPr="00ED3950">
        <w:rPr>
          <w:rFonts w:eastAsia="Calibri" w:cs="Arial"/>
          <w:lang w:val="cs-CZ"/>
        </w:rPr>
        <w:t>: Otázky jsou stále široké a základní. Mnoho účastníků s</w:t>
      </w:r>
      <w:r w:rsidRPr="00ED3950">
        <w:rPr>
          <w:rFonts w:eastAsia="Calibri" w:cs="Arial"/>
          <w:lang w:val="cs-CZ"/>
        </w:rPr>
        <w:t>e ptá na pojem DNSH. Příjemci uváděli, že tuto podporu skutečně potřebují, a cítili se hodně doprovázeni, když obdrželi základní popis principu a jasné kroky, které je třeba dodržet. Oceňují také vědomí, že se mohou spolehnout na odpovědi, které jim pozděj</w:t>
      </w:r>
      <w:r w:rsidRPr="00ED3950">
        <w:rPr>
          <w:rFonts w:eastAsia="Calibri" w:cs="Arial"/>
          <w:lang w:val="cs-CZ"/>
        </w:rPr>
        <w:t xml:space="preserve">i v průběhu procesu poskytne </w:t>
      </w:r>
      <w:proofErr w:type="spellStart"/>
      <w:r w:rsidRPr="00ED3950">
        <w:rPr>
          <w:rFonts w:eastAsia="Calibri" w:cs="Arial"/>
          <w:lang w:val="cs-CZ"/>
        </w:rPr>
        <w:t>helpdesk</w:t>
      </w:r>
      <w:proofErr w:type="spellEnd"/>
      <w:r w:rsidRPr="00ED3950">
        <w:rPr>
          <w:rFonts w:eastAsia="Calibri" w:cs="Arial"/>
          <w:lang w:val="cs-CZ"/>
        </w:rPr>
        <w:t>.</w:t>
      </w:r>
    </w:p>
    <w:p w:rsidR="00C52545" w:rsidRPr="00ED3950" w:rsidRDefault="00C52545" w:rsidP="00C52545">
      <w:pPr>
        <w:rPr>
          <w:rFonts w:eastAsia="Calibri" w:cs="Arial"/>
          <w:b/>
          <w:bCs/>
          <w:color w:val="0070C0"/>
          <w:lang w:val="cs-CZ"/>
        </w:rPr>
      </w:pPr>
    </w:p>
    <w:p w:rsidR="005840C5" w:rsidRPr="00ED3950" w:rsidRDefault="00ED3950">
      <w:pPr>
        <w:rPr>
          <w:rFonts w:eastAsia="Calibri" w:cs="Arial"/>
          <w:b/>
          <w:bCs/>
          <w:lang w:val="cs-CZ"/>
        </w:rPr>
      </w:pPr>
      <w:r w:rsidRPr="00ED3950">
        <w:rPr>
          <w:rFonts w:eastAsia="Calibri" w:cs="Arial"/>
          <w:b/>
          <w:bCs/>
          <w:color w:val="F04E30"/>
          <w:lang w:val="cs-CZ"/>
        </w:rPr>
        <w:t>Projektový tým</w:t>
      </w:r>
      <w:r w:rsidRPr="00ED3950">
        <w:rPr>
          <w:rFonts w:eastAsia="Calibri" w:cs="Arial"/>
          <w:lang w:val="cs-CZ"/>
        </w:rPr>
        <w:t>: Co španělský kontext?</w:t>
      </w:r>
    </w:p>
    <w:p w:rsidR="005840C5" w:rsidRPr="00ED3950" w:rsidRDefault="00ED3950">
      <w:pPr>
        <w:rPr>
          <w:rFonts w:eastAsia="Calibri" w:cs="Arial"/>
          <w:lang w:val="cs-CZ"/>
        </w:rPr>
      </w:pPr>
      <w:proofErr w:type="spellStart"/>
      <w:r w:rsidRPr="00ED3950">
        <w:rPr>
          <w:rFonts w:eastAsia="Calibri" w:cs="Arial"/>
          <w:b/>
          <w:color w:val="2998FF"/>
          <w:lang w:val="cs-CZ"/>
        </w:rPr>
        <w:t>Lucía</w:t>
      </w:r>
      <w:proofErr w:type="spellEnd"/>
      <w:r w:rsidRPr="00ED3950">
        <w:rPr>
          <w:rFonts w:eastAsia="Calibri" w:cs="Arial"/>
          <w:b/>
          <w:color w:val="2998FF"/>
          <w:lang w:val="cs-CZ"/>
        </w:rPr>
        <w:t xml:space="preserve"> </w:t>
      </w:r>
      <w:proofErr w:type="spellStart"/>
      <w:r w:rsidRPr="00ED3950">
        <w:rPr>
          <w:rFonts w:eastAsia="Calibri" w:cs="Arial"/>
          <w:b/>
          <w:bCs/>
          <w:color w:val="2998FF"/>
          <w:lang w:val="cs-CZ"/>
        </w:rPr>
        <w:t>Cobo</w:t>
      </w:r>
      <w:proofErr w:type="spellEnd"/>
      <w:r w:rsidRPr="00ED3950">
        <w:rPr>
          <w:rFonts w:eastAsia="Calibri" w:cs="Arial"/>
          <w:lang w:val="cs-CZ"/>
        </w:rPr>
        <w:t>: Oddělení DNSH poskytuje navrhovatelům podporu při vyplňování sebehodnotícího dotazníku. Otázky, které se nejčastěji objevují, se týkají metod sběru dat, změny označen</w:t>
      </w:r>
      <w:r w:rsidRPr="00ED3950">
        <w:rPr>
          <w:rFonts w:eastAsia="Calibri" w:cs="Arial"/>
          <w:lang w:val="cs-CZ"/>
        </w:rPr>
        <w:t xml:space="preserve">í, úrovně požadavků atd. Začínají se však objevovat i další složitější otázky. </w:t>
      </w:r>
    </w:p>
    <w:p w:rsidR="00C52545" w:rsidRPr="00ED3950" w:rsidRDefault="00C52545" w:rsidP="00C52545">
      <w:pPr>
        <w:rPr>
          <w:rFonts w:eastAsia="Calibri" w:cs="Arial"/>
          <w:lang w:val="cs-CZ"/>
        </w:rPr>
      </w:pPr>
    </w:p>
    <w:p w:rsidR="005840C5" w:rsidRPr="00ED3950" w:rsidRDefault="00ED3950">
      <w:pPr>
        <w:rPr>
          <w:rFonts w:eastAsia="Calibri" w:cs="Arial"/>
          <w:b/>
          <w:lang w:val="cs-CZ"/>
        </w:rPr>
      </w:pPr>
      <w:r w:rsidRPr="00ED3950">
        <w:rPr>
          <w:rFonts w:eastAsia="Calibri" w:cs="Arial"/>
          <w:b/>
          <w:color w:val="F04E30"/>
          <w:lang w:val="cs-CZ"/>
        </w:rPr>
        <w:t>Projektový tým</w:t>
      </w:r>
      <w:r w:rsidRPr="00ED3950">
        <w:rPr>
          <w:rFonts w:eastAsia="Calibri" w:cs="Arial"/>
          <w:bCs/>
          <w:lang w:val="cs-CZ"/>
        </w:rPr>
        <w:t xml:space="preserve">: Snažíte se školení přizpůsobit potřebám </w:t>
      </w:r>
      <w:r w:rsidRPr="00ED3950">
        <w:rPr>
          <w:rFonts w:eastAsia="Calibri" w:cs="Arial"/>
          <w:bCs/>
          <w:lang w:val="cs-CZ"/>
        </w:rPr>
        <w:t>účastníků</w:t>
      </w:r>
      <w:r w:rsidRPr="00ED3950">
        <w:rPr>
          <w:rFonts w:eastAsia="Calibri" w:cs="Arial"/>
          <w:b/>
          <w:lang w:val="cs-CZ"/>
        </w:rPr>
        <w:t xml:space="preserve">? </w:t>
      </w:r>
    </w:p>
    <w:p w:rsidR="005840C5" w:rsidRPr="00ED3950" w:rsidRDefault="00ED3950">
      <w:pPr>
        <w:rPr>
          <w:rFonts w:eastAsia="Calibri" w:cs="Arial"/>
          <w:lang w:val="cs-CZ"/>
        </w:rPr>
      </w:pPr>
      <w:proofErr w:type="spellStart"/>
      <w:r w:rsidRPr="00ED3950">
        <w:rPr>
          <w:rFonts w:eastAsia="Calibri" w:cs="Arial"/>
          <w:b/>
          <w:color w:val="2998FF"/>
          <w:lang w:val="cs-CZ"/>
        </w:rPr>
        <w:t>Lucía</w:t>
      </w:r>
      <w:proofErr w:type="spellEnd"/>
      <w:r w:rsidRPr="00ED3950">
        <w:rPr>
          <w:rFonts w:eastAsia="Calibri" w:cs="Arial"/>
          <w:b/>
          <w:color w:val="2998FF"/>
          <w:lang w:val="cs-CZ"/>
        </w:rPr>
        <w:t xml:space="preserve"> </w:t>
      </w:r>
      <w:proofErr w:type="spellStart"/>
      <w:r w:rsidRPr="00ED3950">
        <w:rPr>
          <w:rFonts w:eastAsia="Calibri" w:cs="Arial"/>
          <w:b/>
          <w:bCs/>
          <w:color w:val="2998FF"/>
          <w:lang w:val="cs-CZ"/>
        </w:rPr>
        <w:t>Cobo</w:t>
      </w:r>
      <w:proofErr w:type="spellEnd"/>
      <w:r w:rsidRPr="00ED3950">
        <w:rPr>
          <w:rFonts w:eastAsia="Calibri" w:cs="Arial"/>
          <w:lang w:val="cs-CZ"/>
        </w:rPr>
        <w:t xml:space="preserve">: Ano, tým </w:t>
      </w:r>
      <w:r w:rsidRPr="00ED3950">
        <w:rPr>
          <w:rFonts w:eastAsia="Calibri" w:cs="Arial"/>
          <w:lang w:val="cs-CZ"/>
        </w:rPr>
        <w:t xml:space="preserve">DNSH </w:t>
      </w:r>
      <w:r w:rsidRPr="00ED3950">
        <w:rPr>
          <w:rFonts w:eastAsia="Calibri" w:cs="Arial"/>
          <w:lang w:val="cs-CZ"/>
        </w:rPr>
        <w:t xml:space="preserve">se vždy ptá na jejich potřeby. Probíhá obecné školení, jehož součástí jsou odpovědi na otázky, konkrétní opatření a typy financování atd. </w:t>
      </w:r>
    </w:p>
    <w:p w:rsidR="00C52545" w:rsidRPr="00ED3950" w:rsidRDefault="00C52545" w:rsidP="00C52545">
      <w:pPr>
        <w:rPr>
          <w:rFonts w:eastAsia="Calibri" w:cs="Arial"/>
          <w:lang w:val="cs-CZ"/>
        </w:rPr>
      </w:pPr>
    </w:p>
    <w:p w:rsidR="005840C5" w:rsidRPr="00ED3950" w:rsidRDefault="00ED3950">
      <w:pPr>
        <w:rPr>
          <w:rFonts w:eastAsia="Calibri" w:cs="Arial"/>
          <w:lang w:val="cs-CZ"/>
        </w:rPr>
      </w:pPr>
      <w:r w:rsidRPr="00ED3950">
        <w:rPr>
          <w:rFonts w:eastAsia="Calibri" w:cs="Arial"/>
          <w:b/>
          <w:color w:val="F04E30"/>
          <w:lang w:val="cs-CZ"/>
        </w:rPr>
        <w:t xml:space="preserve">Julian: </w:t>
      </w:r>
      <w:r w:rsidRPr="00ED3950">
        <w:rPr>
          <w:rFonts w:eastAsia="Calibri" w:cs="Arial"/>
          <w:lang w:val="cs-CZ"/>
        </w:rPr>
        <w:t>Jak přistupujete k budování kapacit na jednotlivých ministerstvech, pokud jde o správu?</w:t>
      </w:r>
    </w:p>
    <w:p w:rsidR="005840C5" w:rsidRPr="00ED3950" w:rsidRDefault="00ED3950">
      <w:pPr>
        <w:rPr>
          <w:rFonts w:eastAsia="Calibri" w:cs="Arial"/>
          <w:lang w:val="cs-CZ"/>
        </w:rPr>
      </w:pPr>
      <w:r w:rsidRPr="00ED3950">
        <w:rPr>
          <w:rFonts w:eastAsia="Calibri" w:cs="Arial"/>
          <w:b/>
          <w:color w:val="2998FF"/>
          <w:lang w:val="cs-CZ"/>
        </w:rPr>
        <w:t xml:space="preserve">Emma </w:t>
      </w:r>
      <w:proofErr w:type="spellStart"/>
      <w:r w:rsidRPr="00ED3950">
        <w:rPr>
          <w:rFonts w:eastAsia="Calibri" w:cs="Arial"/>
          <w:b/>
          <w:bCs/>
          <w:color w:val="2998FF"/>
          <w:lang w:val="cs-CZ"/>
        </w:rPr>
        <w:t>Terämä</w:t>
      </w:r>
      <w:proofErr w:type="spellEnd"/>
      <w:r w:rsidRPr="00ED3950">
        <w:rPr>
          <w:rFonts w:eastAsia="Calibri" w:cs="Arial"/>
          <w:lang w:val="cs-CZ"/>
        </w:rPr>
        <w:t>: Ministe</w:t>
      </w:r>
      <w:r w:rsidRPr="00ED3950">
        <w:rPr>
          <w:rFonts w:eastAsia="Calibri" w:cs="Arial"/>
          <w:lang w:val="cs-CZ"/>
        </w:rPr>
        <w:t>rstvo poskytlo jedno školení, které bylo užitečné pro pochopení a rozšíření schopností týmu v oblasti DNSH. Koncept environmentální integrity DNSH byl diskutován a odhalen komplexně. Navíc podobně jako v Česku není dvoustupňové hodnocení DNSH příliš jasné.</w:t>
      </w:r>
      <w:r w:rsidRPr="00ED3950">
        <w:rPr>
          <w:rFonts w:eastAsia="Calibri" w:cs="Arial"/>
          <w:lang w:val="cs-CZ"/>
        </w:rPr>
        <w:t xml:space="preserve"> </w:t>
      </w:r>
    </w:p>
    <w:p w:rsidR="00C52545" w:rsidRPr="00ED3950" w:rsidRDefault="00C52545" w:rsidP="00C52545">
      <w:pPr>
        <w:rPr>
          <w:rFonts w:eastAsia="Calibri" w:cs="Arial"/>
          <w:lang w:val="cs-CZ"/>
        </w:rPr>
      </w:pPr>
    </w:p>
    <w:p w:rsidR="005840C5" w:rsidRPr="00ED3950" w:rsidRDefault="00ED3950">
      <w:pPr>
        <w:rPr>
          <w:rFonts w:eastAsia="Calibri" w:cs="Arial"/>
          <w:b/>
          <w:bCs/>
          <w:lang w:val="cs-CZ"/>
        </w:rPr>
      </w:pPr>
      <w:r w:rsidRPr="00ED3950">
        <w:rPr>
          <w:rFonts w:eastAsia="Calibri" w:cs="Arial"/>
          <w:b/>
          <w:color w:val="F04E30"/>
          <w:lang w:val="cs-CZ"/>
        </w:rPr>
        <w:t xml:space="preserve">Projektový tým </w:t>
      </w:r>
      <w:r w:rsidRPr="00ED3950">
        <w:rPr>
          <w:rFonts w:eastAsia="Calibri" w:cs="Arial"/>
          <w:bCs/>
          <w:lang w:val="cs-CZ"/>
        </w:rPr>
        <w:t>[otázka z chatu]: Mohli bychom se dozvědět více o postupech týkajících se železniční infrastruktury z Belgie?</w:t>
      </w:r>
    </w:p>
    <w:p w:rsidR="005840C5" w:rsidRPr="00ED3950" w:rsidRDefault="00ED3950">
      <w:pPr>
        <w:rPr>
          <w:rFonts w:eastAsia="Calibri" w:cs="Arial"/>
          <w:lang w:val="cs-CZ"/>
        </w:rPr>
      </w:pPr>
      <w:proofErr w:type="spellStart"/>
      <w:r w:rsidRPr="00ED3950">
        <w:rPr>
          <w:rFonts w:eastAsia="Calibri" w:cs="Arial"/>
          <w:b/>
          <w:bCs/>
          <w:color w:val="2998FF"/>
          <w:lang w:val="cs-CZ"/>
        </w:rPr>
        <w:t>Stéphanie</w:t>
      </w:r>
      <w:proofErr w:type="spellEnd"/>
      <w:r w:rsidRPr="00ED3950">
        <w:rPr>
          <w:rFonts w:eastAsia="Calibri" w:cs="Arial"/>
          <w:b/>
          <w:bCs/>
          <w:color w:val="2998FF"/>
          <w:lang w:val="cs-CZ"/>
        </w:rPr>
        <w:t xml:space="preserve"> </w:t>
      </w:r>
      <w:proofErr w:type="spellStart"/>
      <w:r w:rsidRPr="00ED3950">
        <w:rPr>
          <w:rFonts w:eastAsia="Calibri" w:cs="Arial"/>
          <w:b/>
          <w:bCs/>
          <w:color w:val="2998FF"/>
          <w:lang w:val="cs-CZ"/>
        </w:rPr>
        <w:t>Baclin</w:t>
      </w:r>
      <w:proofErr w:type="spellEnd"/>
      <w:r w:rsidRPr="00ED3950">
        <w:rPr>
          <w:rFonts w:eastAsia="Calibri" w:cs="Arial"/>
          <w:lang w:val="cs-CZ"/>
        </w:rPr>
        <w:t xml:space="preserve">: Školení o železnici se uskuteční den po </w:t>
      </w:r>
      <w:proofErr w:type="spellStart"/>
      <w:r w:rsidRPr="00ED3950">
        <w:rPr>
          <w:rFonts w:eastAsia="Calibri" w:cs="Arial"/>
          <w:lang w:val="cs-CZ"/>
        </w:rPr>
        <w:t>webináři</w:t>
      </w:r>
      <w:proofErr w:type="spellEnd"/>
      <w:r w:rsidRPr="00ED3950">
        <w:rPr>
          <w:rFonts w:eastAsia="Calibri" w:cs="Arial"/>
          <w:lang w:val="cs-CZ"/>
        </w:rPr>
        <w:t>, proto zatím nemáme žádné zajímavé perspektivy, o které bycho</w:t>
      </w:r>
      <w:r w:rsidRPr="00ED3950">
        <w:rPr>
          <w:rFonts w:eastAsia="Calibri" w:cs="Arial"/>
          <w:lang w:val="cs-CZ"/>
        </w:rPr>
        <w:t>m se mohli podělit.</w:t>
      </w:r>
    </w:p>
    <w:p w:rsidR="005840C5" w:rsidRPr="00ED3950" w:rsidRDefault="00ED3950">
      <w:pPr>
        <w:rPr>
          <w:rFonts w:eastAsia="Calibri" w:cs="Arial"/>
          <w:lang w:val="cs-CZ"/>
        </w:rPr>
      </w:pPr>
      <w:r w:rsidRPr="00ED3950">
        <w:rPr>
          <w:rFonts w:eastAsia="Calibri" w:cs="Arial"/>
          <w:b/>
          <w:color w:val="2998FF"/>
          <w:lang w:val="cs-CZ"/>
        </w:rPr>
        <w:t xml:space="preserve">Richard </w:t>
      </w:r>
      <w:r w:rsidRPr="00ED3950">
        <w:rPr>
          <w:rFonts w:eastAsia="Calibri" w:cs="Arial"/>
          <w:b/>
          <w:color w:val="2998FF"/>
          <w:lang w:val="cs-CZ"/>
        </w:rPr>
        <w:t>Juřík</w:t>
      </w:r>
      <w:r w:rsidRPr="00ED3950">
        <w:rPr>
          <w:rFonts w:eastAsia="Calibri" w:cs="Arial"/>
          <w:b/>
          <w:color w:val="2998FF"/>
          <w:lang w:val="cs-CZ"/>
        </w:rPr>
        <w:t xml:space="preserve">: Jirák: </w:t>
      </w:r>
      <w:r w:rsidRPr="00ED3950">
        <w:rPr>
          <w:rFonts w:eastAsia="Calibri" w:cs="Arial"/>
          <w:lang w:val="cs-CZ"/>
        </w:rPr>
        <w:t xml:space="preserve">Technická kritéria pro </w:t>
      </w:r>
      <w:proofErr w:type="spellStart"/>
      <w:r w:rsidRPr="00ED3950">
        <w:rPr>
          <w:rFonts w:eastAsia="Calibri" w:cs="Arial"/>
          <w:lang w:val="cs-CZ"/>
        </w:rPr>
        <w:t>screening</w:t>
      </w:r>
      <w:proofErr w:type="spellEnd"/>
      <w:r w:rsidRPr="00ED3950">
        <w:rPr>
          <w:rFonts w:eastAsia="Calibri" w:cs="Arial"/>
          <w:lang w:val="cs-CZ"/>
        </w:rPr>
        <w:t xml:space="preserve"> nejsou povinná, ale lze je použít jako referenční, i když neodpovídají na konkrétní otázky.</w:t>
      </w:r>
    </w:p>
    <w:p w:rsidR="00C52545" w:rsidRPr="00ED3950" w:rsidRDefault="00C52545" w:rsidP="00C52545">
      <w:pPr>
        <w:rPr>
          <w:rFonts w:eastAsia="Calibri" w:cs="Arial"/>
          <w:lang w:val="cs-CZ"/>
        </w:rPr>
      </w:pPr>
    </w:p>
    <w:p w:rsidR="005840C5" w:rsidRPr="00ED3950" w:rsidRDefault="00ED3950">
      <w:pPr>
        <w:rPr>
          <w:rFonts w:eastAsia="Calibri" w:cs="Arial"/>
          <w:lang w:val="cs-CZ"/>
        </w:rPr>
      </w:pPr>
      <w:r w:rsidRPr="00ED3950">
        <w:rPr>
          <w:rFonts w:eastAsia="Calibri" w:cs="Arial"/>
          <w:b/>
          <w:color w:val="F04E30"/>
          <w:lang w:val="cs-CZ"/>
        </w:rPr>
        <w:t xml:space="preserve">Projektový tým: </w:t>
      </w:r>
      <w:r w:rsidRPr="00ED3950">
        <w:rPr>
          <w:rFonts w:eastAsia="Calibri" w:cs="Arial"/>
          <w:lang w:val="cs-CZ"/>
        </w:rPr>
        <w:t>Pro zajištění odolnosti vůči klimatickým změnám, pokud jde o adaptační f</w:t>
      </w:r>
      <w:r w:rsidRPr="00ED3950">
        <w:rPr>
          <w:rFonts w:eastAsia="Calibri" w:cs="Arial"/>
          <w:lang w:val="cs-CZ"/>
        </w:rPr>
        <w:t xml:space="preserve">ázi, jsou zapotřebí údaje. Jaký je současný stav sdílení dat a datových platforem? </w:t>
      </w:r>
    </w:p>
    <w:p w:rsidR="005840C5" w:rsidRPr="00ED3950" w:rsidRDefault="00ED3950">
      <w:pPr>
        <w:rPr>
          <w:rFonts w:eastAsia="Calibri" w:cs="Arial"/>
          <w:lang w:val="cs-CZ"/>
        </w:rPr>
      </w:pPr>
      <w:r w:rsidRPr="00ED3950">
        <w:rPr>
          <w:rFonts w:eastAsia="Calibri" w:cs="Arial"/>
          <w:b/>
          <w:color w:val="2998FF"/>
          <w:lang w:val="cs-CZ"/>
        </w:rPr>
        <w:t xml:space="preserve">Richard </w:t>
      </w:r>
      <w:r w:rsidRPr="00ED3950">
        <w:rPr>
          <w:rFonts w:eastAsia="Calibri" w:cs="Arial"/>
          <w:b/>
          <w:color w:val="2998FF"/>
          <w:lang w:val="cs-CZ"/>
        </w:rPr>
        <w:t>Juřík</w:t>
      </w:r>
      <w:r w:rsidRPr="00ED3950">
        <w:rPr>
          <w:rFonts w:eastAsia="Calibri" w:cs="Arial"/>
          <w:b/>
          <w:color w:val="2998FF"/>
          <w:lang w:val="cs-CZ"/>
        </w:rPr>
        <w:t>:</w:t>
      </w:r>
      <w:r w:rsidRPr="00ED3950">
        <w:rPr>
          <w:rFonts w:eastAsia="Calibri" w:cs="Arial"/>
          <w:lang w:val="cs-CZ"/>
        </w:rPr>
        <w:t xml:space="preserve"> Richard Jirák: V současné době je to nedostatečné. Politiky by měly být vzájemně propojeny, aby napomáhaly podávání zpráv o ESG. Dávalo by smysl, aby kolegov</w:t>
      </w:r>
      <w:r w:rsidRPr="00ED3950">
        <w:rPr>
          <w:rFonts w:eastAsia="Calibri" w:cs="Arial"/>
          <w:lang w:val="cs-CZ"/>
        </w:rPr>
        <w:t xml:space="preserve">é zabývající se politikou udržitelného financování spravovali také princip DNSH a klimatickou odolnost. Na podporu toho </w:t>
      </w:r>
      <w:r w:rsidRPr="00ED3950">
        <w:rPr>
          <w:rFonts w:eastAsia="Calibri" w:cs="Arial"/>
          <w:lang w:val="cs-CZ"/>
        </w:rPr>
        <w:lastRenderedPageBreak/>
        <w:t xml:space="preserve">ministerstvo zvažuje klimatické rozpočtování. Kromě toho, ačkoli zatím neexistuje žádný datový </w:t>
      </w:r>
      <w:proofErr w:type="spellStart"/>
      <w:r w:rsidRPr="00ED3950">
        <w:rPr>
          <w:rFonts w:eastAsia="Calibri" w:cs="Arial"/>
          <w:lang w:val="cs-CZ"/>
        </w:rPr>
        <w:t>cloud</w:t>
      </w:r>
      <w:proofErr w:type="spellEnd"/>
      <w:r w:rsidRPr="00ED3950">
        <w:rPr>
          <w:rFonts w:eastAsia="Calibri" w:cs="Arial"/>
          <w:lang w:val="cs-CZ"/>
        </w:rPr>
        <w:t>, probíhá studie o klimatických rizi</w:t>
      </w:r>
      <w:r w:rsidRPr="00ED3950">
        <w:rPr>
          <w:rFonts w:eastAsia="Calibri" w:cs="Arial"/>
          <w:lang w:val="cs-CZ"/>
        </w:rPr>
        <w:t>cích a byla zahájena diskuse o zlepšení datových serverů. Pokyny pro klimatickou odolnost mají smysl pro velké projekty, ale pro malé projekty nejsou z environmentálního hlediska v praxi užitečné, protože mají velmi granulární požadavky na data. Online sys</w:t>
      </w:r>
      <w:r w:rsidRPr="00ED3950">
        <w:rPr>
          <w:rFonts w:eastAsia="Calibri" w:cs="Arial"/>
          <w:lang w:val="cs-CZ"/>
        </w:rPr>
        <w:t>tém by měl být schopen shromažďovat všechny typy údajů, které by poskytovaly návod krok za krokem. V současné době jsou soubory dat decentralizované, ne všechny jsou poskytovány vládními institucemi. Proto se do nich zapojují i akademické a další instituce</w:t>
      </w:r>
      <w:r w:rsidRPr="00ED3950">
        <w:rPr>
          <w:rFonts w:eastAsia="Calibri" w:cs="Arial"/>
          <w:lang w:val="cs-CZ"/>
        </w:rPr>
        <w:t>.</w:t>
      </w:r>
    </w:p>
    <w:p w:rsidR="00C52545" w:rsidRPr="00ED3950" w:rsidRDefault="00C52545" w:rsidP="00C52545">
      <w:pPr>
        <w:rPr>
          <w:rFonts w:eastAsia="Calibri" w:cs="Arial"/>
          <w:lang w:val="cs-CZ"/>
        </w:rPr>
      </w:pPr>
    </w:p>
    <w:p w:rsidR="005840C5" w:rsidRPr="00ED3950" w:rsidRDefault="00ED3950">
      <w:pPr>
        <w:rPr>
          <w:rFonts w:eastAsia="Calibri" w:cs="Arial"/>
          <w:lang w:val="cs-CZ"/>
        </w:rPr>
      </w:pPr>
      <w:r w:rsidRPr="00ED3950">
        <w:rPr>
          <w:rFonts w:eastAsia="Calibri" w:cs="Arial"/>
          <w:b/>
          <w:bCs/>
          <w:color w:val="F04E30"/>
          <w:lang w:val="cs-CZ"/>
        </w:rPr>
        <w:t>Projektový tým</w:t>
      </w:r>
      <w:r w:rsidRPr="00ED3950">
        <w:rPr>
          <w:rFonts w:eastAsia="Calibri" w:cs="Arial"/>
          <w:lang w:val="cs-CZ"/>
        </w:rPr>
        <w:t>: Jak řešíte správu a procesy související s daty?</w:t>
      </w:r>
    </w:p>
    <w:p w:rsidR="005840C5" w:rsidRPr="00ED3950" w:rsidRDefault="00ED3950">
      <w:pPr>
        <w:rPr>
          <w:rFonts w:eastAsia="Calibri" w:cs="Arial"/>
          <w:lang w:val="cs-CZ"/>
        </w:rPr>
      </w:pPr>
      <w:proofErr w:type="spellStart"/>
      <w:r w:rsidRPr="00ED3950">
        <w:rPr>
          <w:rFonts w:eastAsia="Calibri" w:cs="Arial"/>
          <w:b/>
          <w:bCs/>
          <w:color w:val="2998FF"/>
          <w:lang w:val="cs-CZ"/>
        </w:rPr>
        <w:t>Lucía</w:t>
      </w:r>
      <w:proofErr w:type="spellEnd"/>
      <w:r w:rsidRPr="00ED3950">
        <w:rPr>
          <w:rFonts w:eastAsia="Calibri" w:cs="Arial"/>
          <w:b/>
          <w:bCs/>
          <w:color w:val="2998FF"/>
          <w:lang w:val="cs-CZ"/>
        </w:rPr>
        <w:t xml:space="preserve"> </w:t>
      </w:r>
      <w:proofErr w:type="spellStart"/>
      <w:r w:rsidRPr="00ED3950">
        <w:rPr>
          <w:rFonts w:eastAsia="Calibri" w:cs="Arial"/>
          <w:b/>
          <w:bCs/>
          <w:color w:val="2998FF"/>
          <w:lang w:val="cs-CZ"/>
        </w:rPr>
        <w:t>Cobo</w:t>
      </w:r>
      <w:proofErr w:type="spellEnd"/>
      <w:r w:rsidRPr="00ED3950">
        <w:rPr>
          <w:rFonts w:eastAsia="Calibri" w:cs="Arial"/>
          <w:lang w:val="cs-CZ"/>
        </w:rPr>
        <w:t xml:space="preserve">: </w:t>
      </w:r>
      <w:proofErr w:type="spellStart"/>
      <w:r w:rsidRPr="00ED3950">
        <w:rPr>
          <w:rFonts w:eastAsia="Calibri" w:cs="Arial"/>
          <w:lang w:val="cs-CZ"/>
        </w:rPr>
        <w:t>Cobóová</w:t>
      </w:r>
      <w:proofErr w:type="spellEnd"/>
      <w:r w:rsidRPr="00ED3950">
        <w:rPr>
          <w:rFonts w:eastAsia="Calibri" w:cs="Arial"/>
          <w:lang w:val="cs-CZ"/>
        </w:rPr>
        <w:t xml:space="preserve">: Španělsko vyvinulo nástroj pro EIA a CP. Zdroje dat pocházejí z meteorologických stanic ve Španělsku a z prognóz </w:t>
      </w:r>
      <w:proofErr w:type="spellStart"/>
      <w:r w:rsidRPr="00ED3950">
        <w:rPr>
          <w:rFonts w:eastAsia="Calibri" w:cs="Arial"/>
          <w:lang w:val="cs-CZ"/>
        </w:rPr>
        <w:t>Eurocordexu</w:t>
      </w:r>
      <w:proofErr w:type="spellEnd"/>
      <w:r w:rsidRPr="00ED3950">
        <w:rPr>
          <w:rFonts w:eastAsia="Calibri" w:cs="Arial"/>
          <w:lang w:val="cs-CZ"/>
        </w:rPr>
        <w:t xml:space="preserve"> a IPCC (viz důležitá sdělení v chatu níže). Informace jsou poskytovány pro 50 nadcházejících let, a přestože nejsou extr</w:t>
      </w:r>
      <w:r w:rsidRPr="00ED3950">
        <w:rPr>
          <w:rFonts w:eastAsia="Calibri" w:cs="Arial"/>
          <w:lang w:val="cs-CZ"/>
        </w:rPr>
        <w:t>émně přesné pro hory (spíše pro města), metodika byla opakovaně použita referenčními institucemi, což potvrzuje kvalitu španělského přístupu. Nástroj je volně dostupný online.</w:t>
      </w:r>
    </w:p>
    <w:p w:rsidR="005840C5" w:rsidRPr="00ED3950" w:rsidRDefault="00ED3950">
      <w:pPr>
        <w:rPr>
          <w:rFonts w:eastAsia="Calibri" w:cs="Arial"/>
          <w:lang w:val="cs-CZ"/>
        </w:rPr>
      </w:pPr>
      <w:r w:rsidRPr="00ED3950">
        <w:rPr>
          <w:rFonts w:eastAsia="Calibri" w:cs="Arial"/>
          <w:b/>
          <w:bCs/>
          <w:color w:val="2998FF"/>
          <w:lang w:val="cs-CZ"/>
        </w:rPr>
        <w:t xml:space="preserve">Emma </w:t>
      </w:r>
      <w:proofErr w:type="spellStart"/>
      <w:r w:rsidRPr="00ED3950">
        <w:rPr>
          <w:rFonts w:eastAsia="Calibri" w:cs="Arial"/>
          <w:b/>
          <w:bCs/>
          <w:color w:val="2998FF"/>
          <w:lang w:val="cs-CZ"/>
        </w:rPr>
        <w:t>Terämä</w:t>
      </w:r>
      <w:proofErr w:type="spellEnd"/>
      <w:r w:rsidRPr="00ED3950">
        <w:rPr>
          <w:rFonts w:eastAsia="Calibri" w:cs="Arial"/>
          <w:lang w:val="cs-CZ"/>
        </w:rPr>
        <w:t>: Finsko si přeje poskytnout konkrétnější údaje přizpůsobené DNSH. Ot</w:t>
      </w:r>
      <w:r w:rsidRPr="00ED3950">
        <w:rPr>
          <w:rFonts w:eastAsia="Calibri" w:cs="Arial"/>
          <w:lang w:val="cs-CZ"/>
        </w:rPr>
        <w:t xml:space="preserve">ázky se týkají odpovědnosti: kdo by měl </w:t>
      </w:r>
      <w:r w:rsidRPr="00ED3950">
        <w:rPr>
          <w:rFonts w:eastAsia="Calibri" w:cs="Arial"/>
          <w:lang w:val="cs-CZ"/>
        </w:rPr>
        <w:t xml:space="preserve">za tuto službu </w:t>
      </w:r>
      <w:r w:rsidRPr="00ED3950">
        <w:rPr>
          <w:rFonts w:eastAsia="Calibri" w:cs="Arial"/>
          <w:lang w:val="cs-CZ"/>
        </w:rPr>
        <w:t xml:space="preserve">platit? Kdo by </w:t>
      </w:r>
      <w:r w:rsidRPr="00ED3950">
        <w:rPr>
          <w:rFonts w:eastAsia="Calibri" w:cs="Arial"/>
          <w:lang w:val="cs-CZ"/>
        </w:rPr>
        <w:t xml:space="preserve">ji </w:t>
      </w:r>
      <w:r w:rsidRPr="00ED3950">
        <w:rPr>
          <w:rFonts w:eastAsia="Calibri" w:cs="Arial"/>
          <w:lang w:val="cs-CZ"/>
        </w:rPr>
        <w:t xml:space="preserve">měl spravovat? Do jaké míry by z ní měly prospěch soukromé subjekty? Jak se vypořádat s citlivostí údajů, které pocházejí ze soukromého sektoru? Diskuse zůstává otevřená. Ve výkazech </w:t>
      </w:r>
      <w:r w:rsidRPr="00ED3950">
        <w:rPr>
          <w:rFonts w:eastAsia="Calibri" w:cs="Arial"/>
          <w:lang w:val="cs-CZ"/>
        </w:rPr>
        <w:t>RRF samozřejmě nějaké údaje jsou, ale nejsou strojově čitelné, a jejich dostupnost je tedy značně omezená.</w:t>
      </w:r>
    </w:p>
    <w:p w:rsidR="00C52545" w:rsidRPr="00ED3950" w:rsidRDefault="00C52545" w:rsidP="00C52545">
      <w:pPr>
        <w:rPr>
          <w:rFonts w:eastAsia="Calibri" w:cs="Arial"/>
          <w:lang w:val="cs-CZ"/>
        </w:rPr>
      </w:pPr>
    </w:p>
    <w:p w:rsidR="005840C5" w:rsidRPr="00ED3950" w:rsidRDefault="00ED3950">
      <w:pPr>
        <w:rPr>
          <w:rFonts w:eastAsia="Calibri" w:cs="Arial"/>
          <w:lang w:val="cs-CZ"/>
        </w:rPr>
      </w:pPr>
      <w:r w:rsidRPr="00ED3950">
        <w:rPr>
          <w:rFonts w:eastAsia="Calibri" w:cs="Arial"/>
          <w:b/>
          <w:bCs/>
          <w:color w:val="F04E30"/>
          <w:lang w:val="cs-CZ"/>
        </w:rPr>
        <w:t>Projektový tým</w:t>
      </w:r>
      <w:r w:rsidRPr="00ED3950">
        <w:rPr>
          <w:rFonts w:eastAsia="Calibri" w:cs="Arial"/>
          <w:lang w:val="cs-CZ"/>
        </w:rPr>
        <w:t xml:space="preserve">: Jsou pro podporu uplatňování zásady DNSH nutné legislativní změny? </w:t>
      </w:r>
    </w:p>
    <w:p w:rsidR="005840C5" w:rsidRPr="00ED3950" w:rsidRDefault="00ED3950">
      <w:pPr>
        <w:rPr>
          <w:rFonts w:eastAsia="Calibri" w:cs="Arial"/>
          <w:lang w:val="cs-CZ"/>
        </w:rPr>
      </w:pPr>
      <w:r w:rsidRPr="00ED3950">
        <w:rPr>
          <w:rFonts w:eastAsia="Calibri" w:cs="Arial"/>
          <w:b/>
          <w:color w:val="2998FF"/>
          <w:lang w:val="cs-CZ"/>
        </w:rPr>
        <w:t xml:space="preserve">Lenka </w:t>
      </w:r>
      <w:r w:rsidRPr="00ED3950">
        <w:rPr>
          <w:rFonts w:eastAsia="Calibri" w:cs="Arial"/>
          <w:b/>
          <w:bCs/>
          <w:color w:val="2998FF"/>
          <w:lang w:val="cs-CZ"/>
        </w:rPr>
        <w:t>Růžičková</w:t>
      </w:r>
      <w:r w:rsidRPr="00ED3950">
        <w:rPr>
          <w:rFonts w:eastAsia="Calibri" w:cs="Arial"/>
          <w:lang w:val="cs-CZ"/>
        </w:rPr>
        <w:t xml:space="preserve">: Růžičková: České orgány mají v úmyslu zlepšit vnitrostátní právní předpisy tak, aby lépe odrážely specifické pokyny DNSH, a to zejména s ohledem na potřebu zapojení většího počtu zúčastněných stran. Cílem je zvýšit </w:t>
      </w:r>
      <w:r w:rsidRPr="00ED3950">
        <w:rPr>
          <w:rFonts w:eastAsia="Calibri" w:cs="Arial"/>
          <w:lang w:val="cs-CZ"/>
        </w:rPr>
        <w:t>kapacitu v této oblasti.</w:t>
      </w:r>
    </w:p>
    <w:p w:rsidR="00C52545" w:rsidRPr="00ED3950" w:rsidRDefault="00C52545" w:rsidP="00C52545">
      <w:pPr>
        <w:rPr>
          <w:rFonts w:eastAsia="Calibri" w:cs="Arial"/>
          <w:lang w:val="cs-CZ"/>
        </w:rPr>
      </w:pPr>
    </w:p>
    <w:p w:rsidR="005840C5" w:rsidRPr="00ED3950" w:rsidRDefault="00ED3950">
      <w:pPr>
        <w:rPr>
          <w:rFonts w:eastAsia="Calibri" w:cs="Arial"/>
          <w:lang w:val="cs-CZ"/>
        </w:rPr>
      </w:pPr>
      <w:r w:rsidRPr="00ED3950">
        <w:rPr>
          <w:rFonts w:eastAsia="Calibri" w:cs="Arial"/>
          <w:b/>
          <w:bCs/>
          <w:color w:val="F04E30"/>
          <w:lang w:val="cs-CZ"/>
        </w:rPr>
        <w:t>Projektový tý</w:t>
      </w:r>
      <w:r w:rsidRPr="00ED3950">
        <w:rPr>
          <w:rFonts w:eastAsia="Calibri" w:cs="Arial"/>
          <w:b/>
          <w:bCs/>
          <w:color w:val="F04E30"/>
          <w:lang w:val="cs-CZ"/>
        </w:rPr>
        <w:t>m</w:t>
      </w:r>
      <w:r w:rsidRPr="00ED3950">
        <w:rPr>
          <w:rFonts w:eastAsia="Calibri" w:cs="Arial"/>
          <w:lang w:val="cs-CZ"/>
        </w:rPr>
        <w:t>: Jaké jsou vaše hlavní priority pro nadcházející rok?</w:t>
      </w:r>
    </w:p>
    <w:p w:rsidR="005840C5" w:rsidRPr="00ED3950" w:rsidRDefault="00ED3950">
      <w:pPr>
        <w:rPr>
          <w:rFonts w:eastAsia="Calibri" w:cs="Arial"/>
          <w:lang w:val="cs-CZ"/>
        </w:rPr>
      </w:pPr>
      <w:r w:rsidRPr="00ED3950">
        <w:rPr>
          <w:rFonts w:eastAsia="Calibri" w:cs="Arial"/>
          <w:i/>
          <w:iCs/>
          <w:lang w:val="cs-CZ"/>
        </w:rPr>
        <w:t>V Belgii</w:t>
      </w:r>
      <w:r w:rsidRPr="00ED3950">
        <w:rPr>
          <w:rFonts w:eastAsia="Calibri" w:cs="Arial"/>
          <w:lang w:val="cs-CZ"/>
        </w:rPr>
        <w:t>: lepší šíření informací;</w:t>
      </w:r>
    </w:p>
    <w:p w:rsidR="005840C5" w:rsidRPr="00ED3950" w:rsidRDefault="00ED3950">
      <w:pPr>
        <w:rPr>
          <w:rFonts w:eastAsia="Calibri" w:cs="Arial"/>
          <w:lang w:val="cs-CZ"/>
        </w:rPr>
      </w:pPr>
      <w:r w:rsidRPr="00ED3950">
        <w:rPr>
          <w:rFonts w:eastAsia="Calibri" w:cs="Arial"/>
          <w:i/>
          <w:iCs/>
          <w:lang w:val="cs-CZ"/>
        </w:rPr>
        <w:t xml:space="preserve">Ve Finsku: </w:t>
      </w:r>
      <w:r w:rsidRPr="00ED3950">
        <w:rPr>
          <w:rFonts w:eastAsia="Calibri" w:cs="Arial"/>
          <w:lang w:val="cs-CZ"/>
        </w:rPr>
        <w:t>vypracovat pokyny;</w:t>
      </w:r>
    </w:p>
    <w:p w:rsidR="005840C5" w:rsidRPr="00ED3950" w:rsidRDefault="00ED3950">
      <w:pPr>
        <w:rPr>
          <w:rFonts w:eastAsia="Calibri" w:cs="Arial"/>
          <w:lang w:val="cs-CZ"/>
        </w:rPr>
      </w:pPr>
      <w:r w:rsidRPr="00ED3950">
        <w:rPr>
          <w:rFonts w:eastAsia="Calibri" w:cs="Arial"/>
          <w:i/>
          <w:iCs/>
          <w:lang w:val="cs-CZ"/>
        </w:rPr>
        <w:t>Ve Španělsku</w:t>
      </w:r>
      <w:r w:rsidRPr="00ED3950">
        <w:rPr>
          <w:rFonts w:eastAsia="Calibri" w:cs="Arial"/>
          <w:lang w:val="cs-CZ"/>
        </w:rPr>
        <w:t>: vytvořit ověřovací mechanismy, přezkoumat nerelevantní TSC nebo TSC, které jsou příliš specifické na to, aby mohly být pou</w:t>
      </w:r>
      <w:r w:rsidRPr="00ED3950">
        <w:rPr>
          <w:rFonts w:eastAsia="Calibri" w:cs="Arial"/>
          <w:lang w:val="cs-CZ"/>
        </w:rPr>
        <w:t>žity, začlenit DNSH do vnitrostátních právních předpisů;</w:t>
      </w:r>
    </w:p>
    <w:p w:rsidR="005840C5" w:rsidRPr="00ED3950" w:rsidRDefault="00ED3950">
      <w:pPr>
        <w:rPr>
          <w:rFonts w:eastAsia="Calibri" w:cs="Arial"/>
          <w:lang w:val="cs-CZ"/>
        </w:rPr>
      </w:pPr>
      <w:r w:rsidRPr="00ED3950">
        <w:rPr>
          <w:rFonts w:eastAsia="Calibri" w:cs="Arial"/>
          <w:i/>
          <w:iCs/>
          <w:lang w:val="cs-CZ"/>
        </w:rPr>
        <w:t>V Česku</w:t>
      </w:r>
      <w:r w:rsidRPr="00ED3950">
        <w:rPr>
          <w:rFonts w:eastAsia="Calibri" w:cs="Arial"/>
          <w:lang w:val="cs-CZ"/>
        </w:rPr>
        <w:t>: lépe řídit poskytování údajů, začlenit zásadu DNSH do českého legislativního rámce (to bude spočívat především v práci na politické úrovni) a prohloubit rámcové pokyny.</w:t>
      </w:r>
    </w:p>
    <w:p w:rsidR="00C52545" w:rsidRPr="00ED3950" w:rsidRDefault="00C52545" w:rsidP="00C52545">
      <w:pPr>
        <w:rPr>
          <w:rFonts w:eastAsia="Calibri" w:cs="Arial"/>
          <w:lang w:val="cs-CZ"/>
        </w:rPr>
      </w:pPr>
    </w:p>
    <w:p w:rsidR="005840C5" w:rsidRPr="00ED3950" w:rsidRDefault="00ED3950">
      <w:pPr>
        <w:pStyle w:val="Nadpis3"/>
        <w:numPr>
          <w:ilvl w:val="0"/>
          <w:numId w:val="0"/>
        </w:numPr>
        <w:ind w:left="567"/>
        <w:rPr>
          <w:lang w:val="cs-CZ"/>
        </w:rPr>
      </w:pPr>
      <w:bookmarkStart w:id="148" w:name="_Toc127978744"/>
      <w:bookmarkStart w:id="149" w:name="_Toc131757493"/>
      <w:bookmarkStart w:id="150" w:name="_Toc131775886"/>
      <w:r w:rsidRPr="00ED3950">
        <w:rPr>
          <w:lang w:val="cs-CZ"/>
        </w:rPr>
        <w:t>Související otázky z</w:t>
      </w:r>
      <w:r w:rsidRPr="00ED3950">
        <w:rPr>
          <w:lang w:val="cs-CZ"/>
        </w:rPr>
        <w:t xml:space="preserve"> chatu</w:t>
      </w:r>
      <w:bookmarkEnd w:id="148"/>
      <w:bookmarkEnd w:id="149"/>
      <w:bookmarkEnd w:id="150"/>
    </w:p>
    <w:p w:rsidR="005840C5" w:rsidRPr="00ED3950" w:rsidRDefault="00ED3950">
      <w:pPr>
        <w:rPr>
          <w:rFonts w:eastAsia="Calibri" w:cs="Arial"/>
          <w:lang w:val="cs-CZ"/>
        </w:rPr>
      </w:pPr>
      <w:r w:rsidRPr="00ED3950">
        <w:rPr>
          <w:rFonts w:eastAsia="Calibri" w:cs="Arial"/>
          <w:b/>
          <w:lang w:val="cs-CZ"/>
        </w:rPr>
        <w:t>Připomínky španělského zástupce:</w:t>
      </w:r>
      <w:r w:rsidRPr="00ED3950">
        <w:rPr>
          <w:rFonts w:eastAsia="Calibri" w:cs="Arial"/>
          <w:lang w:val="cs-CZ"/>
        </w:rPr>
        <w:t xml:space="preserve"> Posouzení opatření na obnovu ze strany DNSH jsou veřejná. Naše investice 6 uvnitř složky 1 se týká transevropské dopravní sítě - evropských koridorů. Informace jsou zde (viz kapitola 8): </w:t>
      </w:r>
      <w:hyperlink r:id="rId26" w:tgtFrame="_blank" w:tooltip="https://www.lamoncloa.gob.es/temas/fondos-recuperacion/documents/16062021-componente6.pdf" w:history="1">
        <w:r w:rsidRPr="00ED3950">
          <w:rPr>
            <w:rFonts w:eastAsia="Calibri" w:cs="Arial"/>
            <w:color w:val="005962"/>
            <w:u w:val="single"/>
            <w:lang w:val="cs-CZ"/>
          </w:rPr>
          <w:t>https://www.lamoncloa.gob.es/temas/fondos-rec</w:t>
        </w:r>
        <w:r w:rsidRPr="00ED3950">
          <w:rPr>
            <w:rFonts w:eastAsia="Calibri" w:cs="Arial"/>
            <w:color w:val="005962"/>
            <w:u w:val="single"/>
            <w:lang w:val="cs-CZ"/>
          </w:rPr>
          <w:t>uperacion/Documents/16062021-Componente6.pdf.</w:t>
        </w:r>
      </w:hyperlink>
    </w:p>
    <w:p w:rsidR="005840C5" w:rsidRPr="00ED3950" w:rsidRDefault="00ED3950">
      <w:pPr>
        <w:rPr>
          <w:rFonts w:eastAsia="Calibri" w:cs="Arial"/>
          <w:lang w:val="cs-CZ"/>
        </w:rPr>
      </w:pPr>
      <w:proofErr w:type="spellStart"/>
      <w:r w:rsidRPr="00ED3950">
        <w:rPr>
          <w:rFonts w:eastAsia="Calibri" w:cs="Arial"/>
          <w:lang w:val="cs-CZ"/>
        </w:rPr>
        <w:t>AdapteCCa</w:t>
      </w:r>
      <w:proofErr w:type="spellEnd"/>
      <w:r w:rsidRPr="00ED3950">
        <w:rPr>
          <w:rFonts w:eastAsia="Calibri" w:cs="Arial"/>
          <w:lang w:val="cs-CZ"/>
        </w:rPr>
        <w:t xml:space="preserve"> je platforma pro konzultace a výměnu informací o dopadech, zranitelnosti a adaptaci na změnu klimatu. </w:t>
      </w:r>
      <w:hyperlink r:id="rId27" w:history="1">
        <w:r w:rsidRPr="00ED3950">
          <w:rPr>
            <w:rFonts w:eastAsia="Calibri" w:cs="Arial"/>
            <w:color w:val="005962"/>
            <w:u w:val="single"/>
            <w:lang w:val="cs-CZ"/>
          </w:rPr>
          <w:t>https://www.adaptecca.es</w:t>
        </w:r>
      </w:hyperlink>
      <w:r w:rsidRPr="00ED3950">
        <w:rPr>
          <w:rFonts w:eastAsia="Calibri" w:cs="Arial"/>
          <w:lang w:val="cs-CZ"/>
        </w:rPr>
        <w:t xml:space="preserve"> </w:t>
      </w:r>
      <w:proofErr w:type="spellStart"/>
      <w:r w:rsidRPr="00ED3950">
        <w:rPr>
          <w:rFonts w:eastAsia="Calibri" w:cs="Arial"/>
          <w:lang w:val="cs-CZ"/>
        </w:rPr>
        <w:t>climate</w:t>
      </w:r>
      <w:proofErr w:type="spellEnd"/>
      <w:r w:rsidRPr="00ED3950">
        <w:rPr>
          <w:rFonts w:eastAsia="Calibri" w:cs="Arial"/>
          <w:lang w:val="cs-CZ"/>
        </w:rPr>
        <w:t xml:space="preserve"> </w:t>
      </w:r>
      <w:proofErr w:type="spellStart"/>
      <w:r w:rsidRPr="00ED3950">
        <w:rPr>
          <w:rFonts w:eastAsia="Calibri" w:cs="Arial"/>
          <w:lang w:val="cs-CZ"/>
        </w:rPr>
        <w:t>change</w:t>
      </w:r>
      <w:proofErr w:type="spellEnd"/>
      <w:r w:rsidRPr="00ED3950">
        <w:rPr>
          <w:rFonts w:eastAsia="Calibri" w:cs="Arial"/>
          <w:lang w:val="cs-CZ"/>
        </w:rPr>
        <w:t xml:space="preserve"> </w:t>
      </w:r>
      <w:proofErr w:type="spellStart"/>
      <w:r w:rsidRPr="00ED3950">
        <w:rPr>
          <w:rFonts w:eastAsia="Calibri" w:cs="Arial"/>
          <w:lang w:val="cs-CZ"/>
        </w:rPr>
        <w:t>scenario</w:t>
      </w:r>
      <w:proofErr w:type="spellEnd"/>
      <w:r w:rsidRPr="00ED3950">
        <w:rPr>
          <w:rFonts w:eastAsia="Calibri" w:cs="Arial"/>
          <w:lang w:val="cs-CZ"/>
        </w:rPr>
        <w:t xml:space="preserve"> </w:t>
      </w:r>
      <w:proofErr w:type="spellStart"/>
      <w:r w:rsidRPr="00ED3950">
        <w:rPr>
          <w:rFonts w:eastAsia="Calibri" w:cs="Arial"/>
          <w:lang w:val="cs-CZ"/>
        </w:rPr>
        <w:t>viewer</w:t>
      </w:r>
      <w:proofErr w:type="spellEnd"/>
      <w:r w:rsidRPr="00ED3950">
        <w:rPr>
          <w:rFonts w:eastAsia="Calibri" w:cs="Arial"/>
          <w:lang w:val="cs-CZ"/>
        </w:rPr>
        <w:t xml:space="preserve"> h</w:t>
      </w:r>
      <w:r w:rsidRPr="00ED3950">
        <w:rPr>
          <w:rFonts w:eastAsia="Calibri" w:cs="Arial"/>
          <w:lang w:val="cs-CZ"/>
        </w:rPr>
        <w:t xml:space="preserve">ttps://escenarios.adaptecca.es/#&amp;model=EURO-CORDEX-EQM.average&amp;variable=tasmax&amp;scenario=rcp85&amp;temporalFilter=year&amp;layers=AREAS&amp;period=MEDIUM_FUTURE&amp;anomaly=RAW_VALUE </w:t>
      </w:r>
    </w:p>
    <w:p w:rsidR="00C52545" w:rsidRPr="00ED3950" w:rsidRDefault="00C52545" w:rsidP="00C52545">
      <w:pPr>
        <w:rPr>
          <w:rFonts w:eastAsia="Calibri" w:cs="Arial"/>
          <w:lang w:val="cs-CZ"/>
        </w:rPr>
      </w:pPr>
    </w:p>
    <w:p w:rsidR="00C52545" w:rsidRPr="00ED3950" w:rsidRDefault="00C52545" w:rsidP="00C52545">
      <w:pPr>
        <w:spacing w:after="200" w:line="276" w:lineRule="auto"/>
        <w:rPr>
          <w:rFonts w:eastAsia="Calibri" w:cs="Arial"/>
          <w:lang w:val="cs-CZ"/>
        </w:rPr>
      </w:pPr>
      <w:r w:rsidRPr="00ED3950">
        <w:rPr>
          <w:rFonts w:eastAsia="Calibri" w:cs="Arial"/>
          <w:lang w:val="cs-CZ"/>
        </w:rPr>
        <w:br w:type="page"/>
      </w:r>
    </w:p>
    <w:p w:rsidR="005840C5" w:rsidRPr="00ED3950" w:rsidRDefault="00ED3950">
      <w:pPr>
        <w:pStyle w:val="Nadpis1"/>
        <w:numPr>
          <w:ilvl w:val="0"/>
          <w:numId w:val="0"/>
        </w:numPr>
        <w:ind w:left="927"/>
        <w:rPr>
          <w:lang w:val="cs-CZ"/>
        </w:rPr>
      </w:pPr>
      <w:bookmarkStart w:id="151" w:name="_Toc127978745"/>
      <w:bookmarkStart w:id="152" w:name="_Toc131775887"/>
      <w:r w:rsidRPr="00ED3950">
        <w:rPr>
          <w:lang w:val="cs-CZ"/>
        </w:rPr>
        <w:lastRenderedPageBreak/>
        <w:t xml:space="preserve">Příloha D - Zápis z </w:t>
      </w:r>
      <w:proofErr w:type="spellStart"/>
      <w:r w:rsidRPr="00ED3950">
        <w:rPr>
          <w:lang w:val="cs-CZ"/>
        </w:rPr>
        <w:t>webináře</w:t>
      </w:r>
      <w:proofErr w:type="spellEnd"/>
      <w:r w:rsidRPr="00ED3950">
        <w:rPr>
          <w:lang w:val="cs-CZ"/>
        </w:rPr>
        <w:t xml:space="preserve"> 2</w:t>
      </w:r>
      <w:r w:rsidRPr="00ED3950">
        <w:rPr>
          <w:lang w:val="cs-CZ"/>
        </w:rPr>
        <w:t>:</w:t>
      </w:r>
      <w:bookmarkEnd w:id="151"/>
      <w:r w:rsidRPr="00ED3950">
        <w:rPr>
          <w:lang w:val="cs-CZ"/>
        </w:rPr>
        <w:t xml:space="preserve"> Provádění zjednodušeného a podrobného hodnocení DNSH</w:t>
      </w:r>
      <w:bookmarkEnd w:id="152"/>
    </w:p>
    <w:p w:rsidR="005840C5" w:rsidRPr="00ED3950" w:rsidRDefault="00ED3950">
      <w:pPr>
        <w:pStyle w:val="Nadpis2"/>
        <w:numPr>
          <w:ilvl w:val="0"/>
          <w:numId w:val="0"/>
        </w:numPr>
        <w:ind w:left="567"/>
        <w:rPr>
          <w:lang w:val="cs-CZ"/>
        </w:rPr>
      </w:pPr>
      <w:bookmarkStart w:id="153" w:name="_Toc127978747"/>
      <w:bookmarkStart w:id="154" w:name="_Toc131757495"/>
      <w:bookmarkStart w:id="155" w:name="_Toc131775888"/>
      <w:r w:rsidRPr="00ED3950">
        <w:rPr>
          <w:lang w:val="cs-CZ"/>
        </w:rPr>
        <w:t>P</w:t>
      </w:r>
      <w:r w:rsidRPr="00ED3950">
        <w:rPr>
          <w:lang w:val="cs-CZ"/>
        </w:rPr>
        <w:t xml:space="preserve">říprava scény (Peter Janoška, </w:t>
      </w:r>
      <w:proofErr w:type="spellStart"/>
      <w:r w:rsidRPr="00ED3950">
        <w:rPr>
          <w:lang w:val="cs-CZ"/>
        </w:rPr>
        <w:t>Trinomics</w:t>
      </w:r>
      <w:proofErr w:type="spellEnd"/>
      <w:r w:rsidRPr="00ED3950">
        <w:rPr>
          <w:lang w:val="cs-CZ"/>
        </w:rPr>
        <w:t>)</w:t>
      </w:r>
      <w:bookmarkEnd w:id="153"/>
      <w:bookmarkEnd w:id="154"/>
      <w:bookmarkEnd w:id="155"/>
    </w:p>
    <w:p w:rsidR="005840C5" w:rsidRPr="00ED3950" w:rsidRDefault="00ED3950">
      <w:pPr>
        <w:rPr>
          <w:rFonts w:eastAsia="Calibri" w:cs="Arial"/>
          <w:lang w:val="cs-CZ"/>
        </w:rPr>
      </w:pPr>
      <w:proofErr w:type="spellStart"/>
      <w:r w:rsidRPr="00ED3950">
        <w:rPr>
          <w:rFonts w:eastAsia="Calibri" w:cs="Arial"/>
          <w:lang w:val="cs-CZ"/>
        </w:rPr>
        <w:t>Webinář</w:t>
      </w:r>
      <w:proofErr w:type="spellEnd"/>
      <w:r w:rsidRPr="00ED3950">
        <w:rPr>
          <w:rFonts w:eastAsia="Calibri" w:cs="Arial"/>
          <w:lang w:val="cs-CZ"/>
        </w:rPr>
        <w:t xml:space="preserve"> se zaměří na postupy a zkušenosti získané při provádění zjednodušeného i podrobného posouzení zásady DNSH. Typologie programů a projektů je důležitá pro určení, jaký typ </w:t>
      </w:r>
      <w:r w:rsidRPr="00ED3950">
        <w:rPr>
          <w:rFonts w:eastAsia="Calibri" w:cs="Arial"/>
          <w:lang w:val="cs-CZ"/>
        </w:rPr>
        <w:t xml:space="preserve">posouzení </w:t>
      </w:r>
      <w:r w:rsidRPr="00ED3950">
        <w:rPr>
          <w:rFonts w:eastAsia="Calibri" w:cs="Arial"/>
          <w:lang w:val="cs-CZ"/>
        </w:rPr>
        <w:t>DNSH je potřeba, přičemž vš</w:t>
      </w:r>
      <w:r w:rsidRPr="00ED3950">
        <w:rPr>
          <w:rFonts w:eastAsia="Calibri" w:cs="Arial"/>
          <w:lang w:val="cs-CZ"/>
        </w:rPr>
        <w:t xml:space="preserve">echny činnosti musí být v souladu se </w:t>
      </w:r>
      <w:r w:rsidRPr="00ED3950">
        <w:rPr>
          <w:rFonts w:eastAsia="Calibri" w:cs="Arial"/>
          <w:lang w:val="cs-CZ"/>
        </w:rPr>
        <w:t xml:space="preserve">zásadou </w:t>
      </w:r>
      <w:r w:rsidRPr="00ED3950">
        <w:rPr>
          <w:rFonts w:eastAsia="Calibri" w:cs="Arial"/>
          <w:lang w:val="cs-CZ"/>
        </w:rPr>
        <w:t xml:space="preserve">DNSH. V </w:t>
      </w:r>
      <w:r w:rsidRPr="00ED3950">
        <w:rPr>
          <w:rFonts w:eastAsia="Calibri" w:cs="Arial"/>
          <w:lang w:val="cs-CZ"/>
        </w:rPr>
        <w:t xml:space="preserve">rámci fondů politiky soudržnosti </w:t>
      </w:r>
      <w:r w:rsidRPr="00ED3950">
        <w:rPr>
          <w:rFonts w:eastAsia="Calibri" w:cs="Arial"/>
          <w:lang w:val="cs-CZ"/>
        </w:rPr>
        <w:t xml:space="preserve">musí být programy přesně definovány, aby bylo možné zajistit dodržování zásady DNSH na úrovni projektů. Projekty musí být vybrány tak, aby odpovídaly definici </w:t>
      </w:r>
      <w:r w:rsidRPr="00ED3950">
        <w:rPr>
          <w:rFonts w:eastAsia="Calibri" w:cs="Arial"/>
          <w:lang w:val="cs-CZ"/>
        </w:rPr>
        <w:t>programů</w:t>
      </w:r>
      <w:r w:rsidRPr="00ED3950">
        <w:rPr>
          <w:rFonts w:eastAsia="Calibri" w:cs="Arial"/>
          <w:lang w:val="cs-CZ"/>
        </w:rPr>
        <w:t xml:space="preserve">. </w:t>
      </w:r>
    </w:p>
    <w:p w:rsidR="00C52545" w:rsidRPr="00ED3950" w:rsidRDefault="00C52545" w:rsidP="00C52545">
      <w:pPr>
        <w:rPr>
          <w:rFonts w:eastAsia="Calibri" w:cs="Arial"/>
          <w:lang w:val="cs-CZ"/>
        </w:rPr>
      </w:pPr>
    </w:p>
    <w:p w:rsidR="005840C5" w:rsidRPr="00ED3950" w:rsidRDefault="00ED3950">
      <w:pPr>
        <w:rPr>
          <w:rFonts w:eastAsia="Calibri" w:cs="Arial"/>
          <w:lang w:val="cs-CZ"/>
        </w:rPr>
      </w:pPr>
      <w:r w:rsidRPr="00ED3950">
        <w:rPr>
          <w:rFonts w:eastAsia="Calibri" w:cs="Arial"/>
          <w:lang w:val="cs-CZ"/>
        </w:rPr>
        <w:t xml:space="preserve">Integrita životního prostředí musí být posuzována na národní úrovni, aby se zajistilo, že integrita životního prostředí nebude porušena. Pokud investice významně přispívá k jednomu z environmentálních cílů, musí být posouzena podle zásady DNSH, aby mohla </w:t>
      </w:r>
      <w:r w:rsidRPr="00ED3950">
        <w:rPr>
          <w:rFonts w:eastAsia="Calibri" w:cs="Arial"/>
          <w:lang w:val="cs-CZ"/>
        </w:rPr>
        <w:t>být považována za udržitelnou investici. Určení toho, co představuje "podstatný příspěvek", je dalším problémem. V důsledku toho může být posouzení souladu s environmentálními cíli obtížné; některé z cílů je obtížné interpretovat, což nás přivádí k legisla</w:t>
      </w:r>
      <w:r w:rsidRPr="00ED3950">
        <w:rPr>
          <w:rFonts w:eastAsia="Calibri" w:cs="Arial"/>
          <w:lang w:val="cs-CZ"/>
        </w:rPr>
        <w:t xml:space="preserve">tivnímu rámci. Evropská legislativa transponovaná do vnitrostátních právních předpisů může pomoci tento problém řešit, ale transpozice není zárukou dodržování zásady DNSH. Oběhové hospodářství je obzvláště obtížné nejen pro </w:t>
      </w:r>
      <w:r w:rsidRPr="00ED3950">
        <w:rPr>
          <w:rFonts w:eastAsia="Calibri" w:cs="Arial"/>
          <w:lang w:val="cs-CZ"/>
        </w:rPr>
        <w:t xml:space="preserve">Česko, </w:t>
      </w:r>
      <w:r w:rsidRPr="00ED3950">
        <w:rPr>
          <w:rFonts w:eastAsia="Calibri" w:cs="Arial"/>
          <w:lang w:val="cs-CZ"/>
        </w:rPr>
        <w:t xml:space="preserve">ale i pro ostatní </w:t>
      </w:r>
      <w:r w:rsidRPr="00ED3950">
        <w:rPr>
          <w:rFonts w:eastAsia="Calibri" w:cs="Arial"/>
          <w:lang w:val="cs-CZ"/>
        </w:rPr>
        <w:t>srovnatelné členské státy</w:t>
      </w:r>
      <w:r w:rsidRPr="00ED3950">
        <w:rPr>
          <w:rFonts w:eastAsia="Calibri" w:cs="Arial"/>
          <w:lang w:val="cs-CZ"/>
        </w:rPr>
        <w:t>.</w:t>
      </w:r>
    </w:p>
    <w:p w:rsidR="00C52545" w:rsidRPr="00ED3950" w:rsidRDefault="00C52545" w:rsidP="00C52545">
      <w:pPr>
        <w:rPr>
          <w:rFonts w:eastAsia="Calibri" w:cs="Arial"/>
          <w:lang w:val="cs-CZ"/>
        </w:rPr>
      </w:pPr>
    </w:p>
    <w:p w:rsidR="005840C5" w:rsidRPr="00ED3950" w:rsidRDefault="00ED3950">
      <w:pPr>
        <w:pStyle w:val="Nadpis2"/>
        <w:numPr>
          <w:ilvl w:val="0"/>
          <w:numId w:val="0"/>
        </w:numPr>
        <w:ind w:left="567"/>
        <w:rPr>
          <w:lang w:val="cs-CZ"/>
        </w:rPr>
      </w:pPr>
      <w:bookmarkStart w:id="156" w:name="_Toc127978748"/>
      <w:bookmarkStart w:id="157" w:name="_Toc131757496"/>
      <w:bookmarkStart w:id="158" w:name="_Toc131775889"/>
      <w:r w:rsidRPr="00ED3950">
        <w:rPr>
          <w:lang w:val="cs-CZ"/>
        </w:rPr>
        <w:t>Jan</w:t>
      </w:r>
      <w:bookmarkStart w:id="159" w:name="_Hlk131685068"/>
      <w:r w:rsidRPr="00ED3950">
        <w:rPr>
          <w:lang w:val="cs-CZ"/>
        </w:rPr>
        <w:t xml:space="preserve"> Hlaváček</w:t>
      </w:r>
      <w:bookmarkEnd w:id="159"/>
      <w:r w:rsidRPr="00ED3950">
        <w:rPr>
          <w:lang w:val="cs-CZ"/>
        </w:rPr>
        <w:t xml:space="preserve"> - Operační program Spravedlivý přechod (Česko)</w:t>
      </w:r>
      <w:bookmarkEnd w:id="156"/>
      <w:bookmarkEnd w:id="157"/>
      <w:bookmarkEnd w:id="158"/>
    </w:p>
    <w:p w:rsidR="005840C5" w:rsidRPr="00ED3950" w:rsidRDefault="00ED3950">
      <w:pPr>
        <w:pStyle w:val="Nadpis3"/>
        <w:numPr>
          <w:ilvl w:val="0"/>
          <w:numId w:val="0"/>
        </w:numPr>
        <w:ind w:left="567"/>
        <w:rPr>
          <w:lang w:val="cs-CZ"/>
        </w:rPr>
      </w:pPr>
      <w:bookmarkStart w:id="160" w:name="_Toc127978749"/>
      <w:bookmarkStart w:id="161" w:name="_Toc131757497"/>
      <w:bookmarkStart w:id="162" w:name="_Toc131775890"/>
      <w:r w:rsidRPr="00ED3950">
        <w:rPr>
          <w:lang w:val="cs-CZ"/>
        </w:rPr>
        <w:t>Kontext</w:t>
      </w:r>
      <w:bookmarkEnd w:id="160"/>
      <w:bookmarkEnd w:id="161"/>
      <w:bookmarkEnd w:id="162"/>
    </w:p>
    <w:p w:rsidR="005840C5" w:rsidRPr="00ED3950" w:rsidRDefault="00ED3950">
      <w:pPr>
        <w:rPr>
          <w:rFonts w:eastAsia="Calibri" w:cs="Arial"/>
          <w:lang w:val="cs-CZ"/>
        </w:rPr>
      </w:pPr>
      <w:r w:rsidRPr="00ED3950">
        <w:rPr>
          <w:rFonts w:eastAsia="Calibri" w:cs="Arial"/>
          <w:lang w:val="cs-CZ"/>
        </w:rPr>
        <w:t xml:space="preserve">Tým Jana </w:t>
      </w:r>
      <w:r w:rsidRPr="00ED3950">
        <w:rPr>
          <w:rFonts w:eastAsia="Calibri" w:cs="Arial"/>
          <w:lang w:val="cs-CZ"/>
        </w:rPr>
        <w:t xml:space="preserve">Hlaváčka je </w:t>
      </w:r>
      <w:r w:rsidRPr="00ED3950">
        <w:rPr>
          <w:rFonts w:eastAsia="Calibri" w:cs="Arial"/>
          <w:lang w:val="cs-CZ"/>
        </w:rPr>
        <w:t>řídicím orgánem programu pro životní prostředí (od roku 2004 kombinuje zejména Fond soudržnosti a Evropský fond pro regionální rozvoj) a pr</w:t>
      </w:r>
      <w:r w:rsidRPr="00ED3950">
        <w:rPr>
          <w:rFonts w:eastAsia="Calibri" w:cs="Arial"/>
          <w:lang w:val="cs-CZ"/>
        </w:rPr>
        <w:t>ogramu Spravedlivý přechod. Druhý jmenovaný byl schválen v roce 2022 a zahrnuje různorodá témata včetně výzkumu a vývoje, malých a středních podniků a vzdělávání v regionech produkujících uhlí. Toto široké zaměření vysvětluje naléhavou potřebu hodnocení, k</w:t>
      </w:r>
      <w:r w:rsidRPr="00ED3950">
        <w:rPr>
          <w:rFonts w:eastAsia="Calibri" w:cs="Arial"/>
          <w:lang w:val="cs-CZ"/>
        </w:rPr>
        <w:t>teré by zajistilo integritu životního prostředí.</w:t>
      </w:r>
    </w:p>
    <w:p w:rsidR="00C52545" w:rsidRPr="00ED3950" w:rsidRDefault="00C52545" w:rsidP="00C52545">
      <w:pPr>
        <w:rPr>
          <w:rFonts w:eastAsia="Calibri" w:cs="Arial"/>
          <w:lang w:val="cs-CZ"/>
        </w:rPr>
      </w:pPr>
    </w:p>
    <w:p w:rsidR="005840C5" w:rsidRPr="00ED3950" w:rsidRDefault="00ED3950">
      <w:pPr>
        <w:rPr>
          <w:rFonts w:eastAsia="Calibri" w:cs="Arial"/>
          <w:lang w:val="cs-CZ"/>
        </w:rPr>
      </w:pPr>
      <w:r w:rsidRPr="00ED3950">
        <w:rPr>
          <w:rFonts w:eastAsia="Calibri" w:cs="Arial"/>
          <w:lang w:val="cs-CZ"/>
        </w:rPr>
        <w:t>DNSH je pro všechny konečné předkladatele a řídicí orgány novým tématem. Představuje administrativní zátěž, která omezuje čerpání finančních prostředků EU - přístupem je tedy vyhnout se přidávání jakékoli administrativní zátěže/požadavků nad rámec DNSH, př</w:t>
      </w:r>
      <w:r w:rsidRPr="00ED3950">
        <w:rPr>
          <w:rFonts w:eastAsia="Calibri" w:cs="Arial"/>
          <w:lang w:val="cs-CZ"/>
        </w:rPr>
        <w:t>ičemž je třeba mít na paměti, že již v předchozích programech bylo třeba uplatňovat mnoho environmentálních požadavků. Časové omezení stanovené nařízeními EU nabádá k přidělení 70 % finančních prostředků do roku 2026.</w:t>
      </w:r>
    </w:p>
    <w:p w:rsidR="005840C5" w:rsidRPr="00ED3950" w:rsidRDefault="00ED3950">
      <w:pPr>
        <w:rPr>
          <w:rFonts w:eastAsia="Calibri" w:cs="Arial"/>
          <w:lang w:val="cs-CZ"/>
        </w:rPr>
      </w:pPr>
      <w:r w:rsidRPr="00ED3950">
        <w:rPr>
          <w:rFonts w:eastAsia="Calibri" w:cs="Arial"/>
          <w:lang w:val="cs-CZ"/>
        </w:rPr>
        <w:t>Proto by koneční příjemci neměli prová</w:t>
      </w:r>
      <w:r w:rsidRPr="00ED3950">
        <w:rPr>
          <w:rFonts w:eastAsia="Calibri" w:cs="Arial"/>
          <w:lang w:val="cs-CZ"/>
        </w:rPr>
        <w:t xml:space="preserve">dět podrobná hodnocení (ta by měla probíhat na úrovni programu). Požadavky by měly být jasné a </w:t>
      </w:r>
      <w:r w:rsidRPr="00ED3950">
        <w:rPr>
          <w:rFonts w:eastAsia="Calibri" w:cs="Arial"/>
          <w:lang w:val="cs-CZ"/>
        </w:rPr>
        <w:t xml:space="preserve">pro </w:t>
      </w:r>
      <w:r w:rsidRPr="00ED3950">
        <w:rPr>
          <w:rFonts w:eastAsia="Calibri" w:cs="Arial"/>
          <w:lang w:val="cs-CZ"/>
        </w:rPr>
        <w:t>konečné příjemce snadno proveditelné.</w:t>
      </w:r>
    </w:p>
    <w:p w:rsidR="00C52545" w:rsidRPr="00ED3950" w:rsidRDefault="00C52545" w:rsidP="00C52545">
      <w:pPr>
        <w:rPr>
          <w:rFonts w:eastAsia="Calibri" w:cs="Arial"/>
          <w:lang w:val="cs-CZ"/>
        </w:rPr>
      </w:pPr>
    </w:p>
    <w:p w:rsidR="005840C5" w:rsidRPr="00ED3950" w:rsidRDefault="00ED3950">
      <w:pPr>
        <w:numPr>
          <w:ilvl w:val="2"/>
          <w:numId w:val="0"/>
        </w:numPr>
        <w:tabs>
          <w:tab w:val="left" w:pos="851"/>
        </w:tabs>
        <w:ind w:left="1134" w:hanging="567"/>
        <w:contextualSpacing/>
        <w:outlineLvl w:val="2"/>
        <w:rPr>
          <w:rFonts w:eastAsia="Calibri" w:cs="Arial"/>
          <w:b/>
          <w:i/>
          <w:color w:val="F04E30"/>
          <w:lang w:val="cs-CZ"/>
        </w:rPr>
      </w:pPr>
      <w:bookmarkStart w:id="163" w:name="_Toc127978750"/>
      <w:bookmarkStart w:id="164" w:name="_Toc131757498"/>
      <w:bookmarkStart w:id="165" w:name="_Toc131775891"/>
      <w:r w:rsidRPr="00ED3950">
        <w:rPr>
          <w:rFonts w:eastAsia="Calibri" w:cs="Arial"/>
          <w:b/>
          <w:i/>
          <w:color w:val="F04E30"/>
          <w:lang w:val="cs-CZ"/>
        </w:rPr>
        <w:t>Představení praxe v Česku</w:t>
      </w:r>
      <w:bookmarkEnd w:id="163"/>
      <w:bookmarkEnd w:id="164"/>
      <w:bookmarkEnd w:id="165"/>
    </w:p>
    <w:p w:rsidR="005840C5" w:rsidRPr="00ED3950" w:rsidRDefault="00ED3950">
      <w:pPr>
        <w:rPr>
          <w:rFonts w:eastAsia="Calibri" w:cs="Arial"/>
          <w:lang w:val="cs-CZ"/>
        </w:rPr>
      </w:pPr>
      <w:r w:rsidRPr="00ED3950">
        <w:rPr>
          <w:rFonts w:eastAsia="Calibri" w:cs="Arial"/>
          <w:lang w:val="cs-CZ"/>
        </w:rPr>
        <w:t xml:space="preserve">V této souvislosti byla provedena 2 hodnocení programu, která byla předložena </w:t>
      </w:r>
      <w:r w:rsidRPr="00ED3950">
        <w:rPr>
          <w:rFonts w:eastAsia="Calibri" w:cs="Arial"/>
          <w:lang w:val="cs-CZ"/>
        </w:rPr>
        <w:t xml:space="preserve">EK v </w:t>
      </w:r>
      <w:r w:rsidRPr="00ED3950">
        <w:rPr>
          <w:rFonts w:eastAsia="Calibri" w:cs="Arial"/>
          <w:lang w:val="cs-CZ"/>
        </w:rPr>
        <w:t>průběhu j</w:t>
      </w:r>
      <w:r w:rsidRPr="00ED3950">
        <w:rPr>
          <w:rFonts w:eastAsia="Calibri" w:cs="Arial"/>
          <w:lang w:val="cs-CZ"/>
        </w:rPr>
        <w:t>ednání. Hodnocení však nejsou součástí samotného programu - existuje tedy flexibilita pro změnu jejich způsobu v budoucnu. Tato flexibilita je pro Česko důležitým bodem (např. pro umožnění procesu učení).</w:t>
      </w:r>
    </w:p>
    <w:p w:rsidR="00C52545" w:rsidRPr="00ED3950" w:rsidRDefault="00C52545" w:rsidP="00C52545">
      <w:pPr>
        <w:rPr>
          <w:rFonts w:eastAsia="Calibri" w:cs="Arial"/>
          <w:lang w:val="cs-CZ"/>
        </w:rPr>
      </w:pPr>
    </w:p>
    <w:p w:rsidR="005840C5" w:rsidRPr="00ED3950" w:rsidRDefault="00ED3950">
      <w:pPr>
        <w:rPr>
          <w:rFonts w:eastAsia="Calibri" w:cs="Arial"/>
          <w:lang w:val="cs-CZ"/>
        </w:rPr>
      </w:pPr>
      <w:r w:rsidRPr="00ED3950">
        <w:rPr>
          <w:rFonts w:eastAsia="Calibri" w:cs="Arial"/>
          <w:lang w:val="cs-CZ"/>
        </w:rPr>
        <w:lastRenderedPageBreak/>
        <w:t>Hodnocení se provádí pro každý ze šesti cílů, ačko</w:t>
      </w:r>
      <w:r w:rsidRPr="00ED3950">
        <w:rPr>
          <w:rFonts w:eastAsia="Calibri" w:cs="Arial"/>
          <w:lang w:val="cs-CZ"/>
        </w:rPr>
        <w:t>li pro program JTF neexistují žádné specifické cíle. V obou případech jsou stanoveny čtyři kroky:</w:t>
      </w:r>
    </w:p>
    <w:p w:rsidR="005840C5" w:rsidRPr="00ED3950" w:rsidRDefault="00ED3950">
      <w:pPr>
        <w:pStyle w:val="lp11"/>
        <w:numPr>
          <w:ilvl w:val="0"/>
          <w:numId w:val="53"/>
        </w:numPr>
        <w:rPr>
          <w:lang w:val="cs-CZ"/>
        </w:rPr>
      </w:pPr>
      <w:r w:rsidRPr="00ED3950">
        <w:rPr>
          <w:lang w:val="cs-CZ"/>
        </w:rPr>
        <w:t>Škodlivé činnosti jsou vyloučeny: seznam vyloučených činností vychází z nařízení JTF a dalších českých vyloučení (např. technologie bateriového skladování ene</w:t>
      </w:r>
      <w:r w:rsidRPr="00ED3950">
        <w:rPr>
          <w:lang w:val="cs-CZ"/>
        </w:rPr>
        <w:t xml:space="preserve">rgie, činnosti, které nejsou v souladu se zásadou "znečišťovatel platí"). Vyloučení se týkají především fosilních paliv, průmyslových odvětví, na něž se vztahuje systém obchodování s emisemi, a těžkého průmyslu. </w:t>
      </w:r>
    </w:p>
    <w:p w:rsidR="005840C5" w:rsidRPr="00ED3950" w:rsidRDefault="00ED3950">
      <w:pPr>
        <w:pStyle w:val="lp11"/>
        <w:numPr>
          <w:ilvl w:val="0"/>
          <w:numId w:val="53"/>
        </w:numPr>
        <w:rPr>
          <w:lang w:val="cs-CZ"/>
        </w:rPr>
      </w:pPr>
      <w:r w:rsidRPr="00ED3950">
        <w:rPr>
          <w:lang w:val="cs-CZ"/>
        </w:rPr>
        <w:t>Uplatňují se technické podmínky (na podporu</w:t>
      </w:r>
      <w:r w:rsidRPr="00ED3950">
        <w:rPr>
          <w:lang w:val="cs-CZ"/>
        </w:rPr>
        <w:t xml:space="preserve"> činností): ty jsou odvozeny z taxonomie EU, nařízení o společných ustanoveních a nařízení o regionální politice. Jedná se o specifická kritéria. Existují také české požadavky (např. související s BAT, minimální záruka 20 let na </w:t>
      </w:r>
      <w:proofErr w:type="spellStart"/>
      <w:r w:rsidRPr="00ED3950">
        <w:rPr>
          <w:lang w:val="cs-CZ"/>
        </w:rPr>
        <w:t>fotovoltaický</w:t>
      </w:r>
      <w:proofErr w:type="spellEnd"/>
      <w:r w:rsidRPr="00ED3950">
        <w:rPr>
          <w:lang w:val="cs-CZ"/>
        </w:rPr>
        <w:t xml:space="preserve"> výkon atd.)</w:t>
      </w:r>
    </w:p>
    <w:p w:rsidR="005840C5" w:rsidRPr="00ED3950" w:rsidRDefault="00ED3950">
      <w:pPr>
        <w:pStyle w:val="lp11"/>
        <w:numPr>
          <w:ilvl w:val="0"/>
          <w:numId w:val="53"/>
        </w:numPr>
        <w:rPr>
          <w:lang w:val="cs-CZ"/>
        </w:rPr>
      </w:pPr>
      <w:r w:rsidRPr="00ED3950">
        <w:rPr>
          <w:lang w:val="cs-CZ"/>
        </w:rPr>
        <w:t>J</w:t>
      </w:r>
      <w:r w:rsidRPr="00ED3950">
        <w:rPr>
          <w:lang w:val="cs-CZ"/>
        </w:rPr>
        <w:t>e zajištěn soulad se strategickými dokumenty: mezi ně patří regionální plány odpadového hospodářství, plány týkající se vodního hospodářství, povodní a kanalizace.</w:t>
      </w:r>
    </w:p>
    <w:p w:rsidR="005840C5" w:rsidRPr="00ED3950" w:rsidRDefault="00ED3950">
      <w:pPr>
        <w:pStyle w:val="lp11"/>
        <w:numPr>
          <w:ilvl w:val="0"/>
          <w:numId w:val="53"/>
        </w:numPr>
        <w:rPr>
          <w:lang w:val="cs-CZ"/>
        </w:rPr>
      </w:pPr>
      <w:r w:rsidRPr="00ED3950">
        <w:rPr>
          <w:lang w:val="cs-CZ"/>
        </w:rPr>
        <w:t xml:space="preserve">Uplatňují se doporučení nebo bonusy (za ekologické aktivity): existuje motivace k provádění </w:t>
      </w:r>
      <w:r w:rsidRPr="00ED3950">
        <w:rPr>
          <w:lang w:val="cs-CZ"/>
        </w:rPr>
        <w:t>dalších opatření, jako jsou zelené střechy, adaptační opatření a opatření na zvýšení energetické účinnosti.</w:t>
      </w:r>
    </w:p>
    <w:p w:rsidR="00C52545" w:rsidRPr="00ED3950" w:rsidRDefault="00C52545" w:rsidP="00C52545">
      <w:pPr>
        <w:rPr>
          <w:rFonts w:eastAsia="Calibri" w:cs="Arial"/>
          <w:lang w:val="cs-CZ"/>
        </w:rPr>
      </w:pPr>
    </w:p>
    <w:p w:rsidR="005840C5" w:rsidRPr="00ED3950" w:rsidRDefault="00ED3950">
      <w:pPr>
        <w:rPr>
          <w:rFonts w:eastAsia="Calibri" w:cs="Arial"/>
          <w:lang w:val="cs-CZ"/>
        </w:rPr>
      </w:pPr>
      <w:r w:rsidRPr="00ED3950">
        <w:rPr>
          <w:rFonts w:eastAsia="Calibri" w:cs="Arial"/>
          <w:lang w:val="cs-CZ"/>
        </w:rPr>
        <w:t xml:space="preserve">Manažeři ověřují studie proveditelnosti, projektovou dokumentaci </w:t>
      </w:r>
      <w:r w:rsidRPr="00ED3950">
        <w:rPr>
          <w:rFonts w:eastAsia="Calibri" w:cs="Arial"/>
          <w:lang w:val="cs-CZ"/>
        </w:rPr>
        <w:t xml:space="preserve">a </w:t>
      </w:r>
      <w:r w:rsidRPr="00ED3950">
        <w:rPr>
          <w:rFonts w:eastAsia="Calibri" w:cs="Arial"/>
          <w:lang w:val="cs-CZ"/>
        </w:rPr>
        <w:t>certifikace (např. EIA). Musí existovat souhlas orgánu odpovědného za sladění se</w:t>
      </w:r>
      <w:r w:rsidRPr="00ED3950">
        <w:rPr>
          <w:rFonts w:eastAsia="Calibri" w:cs="Arial"/>
          <w:lang w:val="cs-CZ"/>
        </w:rPr>
        <w:t xml:space="preserve"> strategickými dokumenty spolu s čestným prohlášením (k vlastnímu ověření dochází pouze v případě, že jsou prováděny audity). Podmínky jsou více či méně ověřovány v závislosti na stupni jejich priority (např. typy sprch a toalet).</w:t>
      </w:r>
    </w:p>
    <w:p w:rsidR="00C52545" w:rsidRPr="00ED3950" w:rsidRDefault="00C52545" w:rsidP="00C52545">
      <w:pPr>
        <w:rPr>
          <w:rFonts w:eastAsia="Calibri" w:cs="Arial"/>
          <w:lang w:val="cs-CZ"/>
        </w:rPr>
      </w:pPr>
    </w:p>
    <w:p w:rsidR="005840C5" w:rsidRPr="00ED3950" w:rsidRDefault="00ED3950">
      <w:pPr>
        <w:numPr>
          <w:ilvl w:val="2"/>
          <w:numId w:val="0"/>
        </w:numPr>
        <w:tabs>
          <w:tab w:val="left" w:pos="851"/>
        </w:tabs>
        <w:ind w:left="1134" w:hanging="567"/>
        <w:contextualSpacing/>
        <w:outlineLvl w:val="2"/>
        <w:rPr>
          <w:rFonts w:eastAsia="Calibri" w:cs="Arial"/>
          <w:b/>
          <w:i/>
          <w:color w:val="F04E30"/>
          <w:lang w:val="cs-CZ"/>
        </w:rPr>
      </w:pPr>
      <w:bookmarkStart w:id="166" w:name="_Toc127978751"/>
      <w:bookmarkStart w:id="167" w:name="_Toc131757499"/>
      <w:bookmarkStart w:id="168" w:name="_Toc131775892"/>
      <w:r w:rsidRPr="00ED3950">
        <w:rPr>
          <w:rFonts w:eastAsia="Calibri" w:cs="Arial"/>
          <w:b/>
          <w:i/>
          <w:color w:val="F04E30"/>
          <w:lang w:val="cs-CZ"/>
        </w:rPr>
        <w:t>Výzvy</w:t>
      </w:r>
      <w:bookmarkEnd w:id="166"/>
      <w:bookmarkEnd w:id="167"/>
      <w:bookmarkEnd w:id="168"/>
    </w:p>
    <w:p w:rsidR="005840C5" w:rsidRPr="00ED3950" w:rsidRDefault="00ED3950">
      <w:pPr>
        <w:rPr>
          <w:rFonts w:eastAsia="Calibri" w:cs="Arial"/>
          <w:lang w:val="cs-CZ"/>
        </w:rPr>
      </w:pPr>
      <w:r w:rsidRPr="00ED3950">
        <w:rPr>
          <w:rFonts w:eastAsia="Calibri" w:cs="Arial"/>
          <w:lang w:val="cs-CZ"/>
        </w:rPr>
        <w:t>Tým si je vědom om</w:t>
      </w:r>
      <w:r w:rsidRPr="00ED3950">
        <w:rPr>
          <w:rFonts w:eastAsia="Calibri" w:cs="Arial"/>
          <w:lang w:val="cs-CZ"/>
        </w:rPr>
        <w:t>ezení svého přístupu, a to zejména:</w:t>
      </w:r>
    </w:p>
    <w:p w:rsidR="005840C5" w:rsidRPr="00ED3950" w:rsidRDefault="00ED3950">
      <w:pPr>
        <w:pStyle w:val="lp11"/>
        <w:numPr>
          <w:ilvl w:val="0"/>
          <w:numId w:val="8"/>
        </w:numPr>
        <w:rPr>
          <w:lang w:val="cs-CZ"/>
        </w:rPr>
      </w:pPr>
      <w:r w:rsidRPr="00ED3950">
        <w:rPr>
          <w:lang w:val="cs-CZ"/>
        </w:rPr>
        <w:t>Přílišné zjednodušení;</w:t>
      </w:r>
    </w:p>
    <w:p w:rsidR="005840C5" w:rsidRPr="00ED3950" w:rsidRDefault="00ED3950">
      <w:pPr>
        <w:pStyle w:val="lp11"/>
        <w:numPr>
          <w:ilvl w:val="0"/>
          <w:numId w:val="8"/>
        </w:numPr>
        <w:rPr>
          <w:lang w:val="cs-CZ"/>
        </w:rPr>
      </w:pPr>
      <w:r w:rsidRPr="00ED3950">
        <w:rPr>
          <w:lang w:val="cs-CZ"/>
        </w:rPr>
        <w:t>skutečnost, že tento přístup není vhodný pro všechny (obvykle je obtížné stanovit obecná pravidla pro opatření k přizpůsobení se klimatu, která jsou velmi závislá na kontextu);</w:t>
      </w:r>
    </w:p>
    <w:p w:rsidR="005840C5" w:rsidRPr="00ED3950" w:rsidRDefault="00ED3950">
      <w:pPr>
        <w:pStyle w:val="lp11"/>
        <w:numPr>
          <w:ilvl w:val="0"/>
          <w:numId w:val="8"/>
        </w:numPr>
        <w:rPr>
          <w:lang w:val="cs-CZ"/>
        </w:rPr>
      </w:pPr>
      <w:r w:rsidRPr="00ED3950">
        <w:rPr>
          <w:lang w:val="cs-CZ"/>
        </w:rPr>
        <w:t>Obtížnost nalezení r</w:t>
      </w:r>
      <w:r w:rsidRPr="00ED3950">
        <w:rPr>
          <w:lang w:val="cs-CZ"/>
        </w:rPr>
        <w:t>ovnováhy mezi přílišnou komplikovaností a absencí pokynů nebo chybnými pokyny.</w:t>
      </w:r>
    </w:p>
    <w:p w:rsidR="005840C5" w:rsidRPr="00ED3950" w:rsidRDefault="00ED3950">
      <w:pPr>
        <w:tabs>
          <w:tab w:val="left" w:pos="851"/>
        </w:tabs>
        <w:contextualSpacing/>
        <w:rPr>
          <w:rFonts w:eastAsia="Calibri" w:cs="Arial"/>
          <w:lang w:val="cs-CZ"/>
        </w:rPr>
      </w:pPr>
      <w:r w:rsidRPr="00ED3950">
        <w:rPr>
          <w:rFonts w:eastAsia="Calibri" w:cs="Arial"/>
          <w:lang w:val="cs-CZ"/>
        </w:rPr>
        <w:t>Proto je věnováno úsilí zdokonalení těchto pokynů.</w:t>
      </w:r>
    </w:p>
    <w:p w:rsidR="00C52545" w:rsidRPr="00ED3950" w:rsidRDefault="00C52545" w:rsidP="00C52545">
      <w:pPr>
        <w:rPr>
          <w:rFonts w:eastAsia="Calibri" w:cs="Arial"/>
          <w:lang w:val="cs-CZ"/>
        </w:rPr>
      </w:pPr>
    </w:p>
    <w:p w:rsidR="005840C5" w:rsidRPr="00ED3950" w:rsidRDefault="00ED3950">
      <w:pPr>
        <w:numPr>
          <w:ilvl w:val="1"/>
          <w:numId w:val="0"/>
        </w:numPr>
        <w:tabs>
          <w:tab w:val="left" w:pos="851"/>
        </w:tabs>
        <w:spacing w:before="120" w:after="120"/>
        <w:ind w:left="567"/>
        <w:contextualSpacing/>
        <w:outlineLvl w:val="1"/>
        <w:rPr>
          <w:rFonts w:eastAsia="Calibri" w:cs="Arial"/>
          <w:b/>
          <w:color w:val="005962"/>
          <w:sz w:val="24"/>
          <w:lang w:val="cs-CZ"/>
        </w:rPr>
      </w:pPr>
      <w:bookmarkStart w:id="169" w:name="_Toc127978752"/>
      <w:bookmarkStart w:id="170" w:name="_Toc131757500"/>
      <w:bookmarkStart w:id="171" w:name="_Toc131775893"/>
      <w:proofErr w:type="spellStart"/>
      <w:r w:rsidRPr="00ED3950">
        <w:rPr>
          <w:rFonts w:eastAsia="Calibri" w:cs="Arial"/>
          <w:b/>
          <w:color w:val="005962"/>
          <w:sz w:val="24"/>
          <w:lang w:val="cs-CZ"/>
        </w:rPr>
        <w:t>Kristína</w:t>
      </w:r>
      <w:proofErr w:type="spellEnd"/>
      <w:r w:rsidRPr="00ED3950">
        <w:rPr>
          <w:rFonts w:eastAsia="Calibri" w:cs="Arial"/>
          <w:b/>
          <w:color w:val="005962"/>
          <w:sz w:val="24"/>
          <w:lang w:val="cs-CZ"/>
        </w:rPr>
        <w:t xml:space="preserve"> </w:t>
      </w:r>
      <w:proofErr w:type="spellStart"/>
      <w:r w:rsidRPr="00ED3950">
        <w:rPr>
          <w:rFonts w:eastAsia="Calibri" w:cs="Arial"/>
          <w:b/>
          <w:color w:val="005962"/>
          <w:sz w:val="24"/>
          <w:lang w:val="cs-CZ"/>
        </w:rPr>
        <w:t>Korčeková</w:t>
      </w:r>
      <w:proofErr w:type="spellEnd"/>
      <w:r w:rsidRPr="00ED3950">
        <w:rPr>
          <w:rFonts w:eastAsia="Calibri" w:cs="Arial"/>
          <w:b/>
          <w:color w:val="005962"/>
          <w:sz w:val="24"/>
          <w:lang w:val="cs-CZ"/>
        </w:rPr>
        <w:t xml:space="preserve"> - Úřad vlády Slovenské republiky (Slovensko)</w:t>
      </w:r>
      <w:bookmarkEnd w:id="169"/>
      <w:bookmarkEnd w:id="170"/>
      <w:bookmarkEnd w:id="171"/>
    </w:p>
    <w:p w:rsidR="005840C5" w:rsidRPr="00ED3950" w:rsidRDefault="00ED3950">
      <w:pPr>
        <w:numPr>
          <w:ilvl w:val="2"/>
          <w:numId w:val="0"/>
        </w:numPr>
        <w:tabs>
          <w:tab w:val="left" w:pos="851"/>
        </w:tabs>
        <w:ind w:left="1134" w:hanging="567"/>
        <w:contextualSpacing/>
        <w:outlineLvl w:val="2"/>
        <w:rPr>
          <w:rFonts w:eastAsia="Calibri" w:cs="Arial"/>
          <w:b/>
          <w:i/>
          <w:color w:val="F04E30"/>
          <w:lang w:val="cs-CZ"/>
        </w:rPr>
      </w:pPr>
      <w:bookmarkStart w:id="172" w:name="_Toc127978753"/>
      <w:bookmarkStart w:id="173" w:name="_Toc131757501"/>
      <w:bookmarkStart w:id="174" w:name="_Toc131775894"/>
      <w:r w:rsidRPr="00ED3950">
        <w:rPr>
          <w:rFonts w:eastAsia="Calibri" w:cs="Arial"/>
          <w:b/>
          <w:i/>
          <w:color w:val="F04E30"/>
          <w:lang w:val="cs-CZ"/>
        </w:rPr>
        <w:t>Kontext</w:t>
      </w:r>
      <w:bookmarkEnd w:id="172"/>
      <w:bookmarkEnd w:id="173"/>
      <w:bookmarkEnd w:id="174"/>
    </w:p>
    <w:p w:rsidR="005840C5" w:rsidRPr="00ED3950" w:rsidRDefault="00ED3950">
      <w:pPr>
        <w:rPr>
          <w:rFonts w:eastAsia="Calibri" w:cs="Arial"/>
          <w:lang w:val="cs-CZ"/>
        </w:rPr>
      </w:pPr>
      <w:r w:rsidRPr="00ED3950">
        <w:rPr>
          <w:rFonts w:eastAsia="Calibri" w:cs="Arial"/>
          <w:lang w:val="cs-CZ"/>
        </w:rPr>
        <w:t xml:space="preserve">Slovensko se </w:t>
      </w:r>
      <w:r w:rsidRPr="00ED3950">
        <w:rPr>
          <w:rFonts w:eastAsia="Calibri" w:cs="Arial"/>
          <w:lang w:val="cs-CZ"/>
        </w:rPr>
        <w:t xml:space="preserve">snaží zaujmout </w:t>
      </w:r>
      <w:r w:rsidRPr="00ED3950">
        <w:rPr>
          <w:rFonts w:eastAsia="Calibri" w:cs="Arial"/>
          <w:lang w:val="cs-CZ"/>
        </w:rPr>
        <w:t xml:space="preserve">vedoucí postavení v </w:t>
      </w:r>
      <w:r w:rsidRPr="00ED3950">
        <w:rPr>
          <w:rFonts w:eastAsia="Calibri" w:cs="Arial"/>
          <w:lang w:val="cs-CZ"/>
        </w:rPr>
        <w:t xml:space="preserve">provádění RRP </w:t>
      </w:r>
      <w:r w:rsidRPr="00ED3950">
        <w:rPr>
          <w:rFonts w:eastAsia="Calibri" w:cs="Arial"/>
          <w:lang w:val="cs-CZ"/>
        </w:rPr>
        <w:t xml:space="preserve">a bylo </w:t>
      </w:r>
      <w:r w:rsidRPr="00ED3950">
        <w:rPr>
          <w:rFonts w:eastAsia="Calibri" w:cs="Arial"/>
          <w:lang w:val="cs-CZ"/>
        </w:rPr>
        <w:t xml:space="preserve">jedním z prvních </w:t>
      </w:r>
      <w:r w:rsidRPr="00ED3950">
        <w:rPr>
          <w:rFonts w:eastAsia="Calibri" w:cs="Arial"/>
          <w:lang w:val="cs-CZ"/>
        </w:rPr>
        <w:t xml:space="preserve">členských států, které </w:t>
      </w:r>
      <w:r w:rsidRPr="00ED3950">
        <w:rPr>
          <w:rFonts w:eastAsia="Calibri" w:cs="Arial"/>
          <w:lang w:val="cs-CZ"/>
        </w:rPr>
        <w:t xml:space="preserve">proces </w:t>
      </w:r>
      <w:r w:rsidRPr="00ED3950">
        <w:rPr>
          <w:rFonts w:eastAsia="Calibri" w:cs="Arial"/>
          <w:lang w:val="cs-CZ"/>
        </w:rPr>
        <w:t xml:space="preserve">RRP </w:t>
      </w:r>
      <w:r w:rsidRPr="00ED3950">
        <w:rPr>
          <w:rFonts w:eastAsia="Calibri" w:cs="Arial"/>
          <w:lang w:val="cs-CZ"/>
        </w:rPr>
        <w:t xml:space="preserve">zahájily. To svědčí nejen o aktivním přístupu </w:t>
      </w:r>
      <w:r w:rsidRPr="00ED3950">
        <w:rPr>
          <w:rFonts w:eastAsia="Calibri" w:cs="Arial"/>
          <w:lang w:val="cs-CZ"/>
        </w:rPr>
        <w:t xml:space="preserve">Slovenska k tomuto tématu, </w:t>
      </w:r>
      <w:r w:rsidRPr="00ED3950">
        <w:rPr>
          <w:rFonts w:eastAsia="Calibri" w:cs="Arial"/>
          <w:lang w:val="cs-CZ"/>
        </w:rPr>
        <w:t xml:space="preserve">ale také o </w:t>
      </w:r>
      <w:r w:rsidRPr="00ED3950">
        <w:rPr>
          <w:rFonts w:eastAsia="Calibri" w:cs="Arial"/>
          <w:lang w:val="cs-CZ"/>
        </w:rPr>
        <w:t xml:space="preserve">jeho </w:t>
      </w:r>
      <w:r w:rsidRPr="00ED3950">
        <w:rPr>
          <w:rFonts w:eastAsia="Calibri" w:cs="Arial"/>
          <w:lang w:val="cs-CZ"/>
        </w:rPr>
        <w:t>ochotě přijímat lepší postupy. Slovensko zavedlo komplexní systém implementace RRF, který je př</w:t>
      </w:r>
      <w:r w:rsidRPr="00ED3950">
        <w:rPr>
          <w:rFonts w:eastAsia="Calibri" w:cs="Arial"/>
          <w:lang w:val="cs-CZ"/>
        </w:rPr>
        <w:t>izpůsobitelný budoucímu vývoji s tím, jak se budou zvyšovat jeho kapacity. To zahrnuje silný právní rámec a také schopnost přidávat v průběhu času nové složky. Obecně jsou preferovány jednoduché pokyny.</w:t>
      </w:r>
    </w:p>
    <w:p w:rsidR="00C52545" w:rsidRPr="00ED3950" w:rsidRDefault="00C52545" w:rsidP="00C52545">
      <w:pPr>
        <w:rPr>
          <w:rFonts w:eastAsia="Calibri" w:cs="Arial"/>
          <w:lang w:val="cs-CZ"/>
        </w:rPr>
      </w:pPr>
    </w:p>
    <w:p w:rsidR="005840C5" w:rsidRPr="00ED3950" w:rsidRDefault="00ED3950">
      <w:pPr>
        <w:rPr>
          <w:rFonts w:eastAsia="Calibri" w:cs="Arial"/>
          <w:lang w:val="cs-CZ"/>
        </w:rPr>
      </w:pPr>
      <w:r w:rsidRPr="00ED3950">
        <w:rPr>
          <w:rFonts w:eastAsia="Calibri" w:cs="Arial"/>
          <w:lang w:val="cs-CZ"/>
        </w:rPr>
        <w:t>Slovensko vyčlenilo 6,5 miliardy eur na dotace do ze</w:t>
      </w:r>
      <w:r w:rsidRPr="00ED3950">
        <w:rPr>
          <w:rFonts w:eastAsia="Calibri" w:cs="Arial"/>
          <w:lang w:val="cs-CZ"/>
        </w:rPr>
        <w:t xml:space="preserve">lené ekonomiky spolu s dalšími </w:t>
      </w:r>
      <w:r w:rsidRPr="00ED3950">
        <w:rPr>
          <w:rFonts w:eastAsia="Calibri" w:cs="Arial"/>
          <w:lang w:val="cs-CZ"/>
        </w:rPr>
        <w:t>"</w:t>
      </w:r>
      <w:r w:rsidRPr="00ED3950">
        <w:rPr>
          <w:rFonts w:eastAsia="Calibri" w:cs="Arial"/>
          <w:lang w:val="cs-CZ"/>
        </w:rPr>
        <w:t>zelenými</w:t>
      </w:r>
      <w:r w:rsidRPr="00ED3950">
        <w:rPr>
          <w:rFonts w:eastAsia="Calibri" w:cs="Arial"/>
          <w:lang w:val="cs-CZ"/>
        </w:rPr>
        <w:t xml:space="preserve">" </w:t>
      </w:r>
      <w:r w:rsidRPr="00ED3950">
        <w:rPr>
          <w:rFonts w:eastAsia="Calibri" w:cs="Arial"/>
          <w:lang w:val="cs-CZ"/>
        </w:rPr>
        <w:t xml:space="preserve">opatřeními v jiných rozpočtových složkách, jako jsou </w:t>
      </w:r>
      <w:r w:rsidRPr="00ED3950">
        <w:rPr>
          <w:rFonts w:eastAsia="Calibri" w:cs="Arial"/>
          <w:lang w:val="cs-CZ"/>
        </w:rPr>
        <w:t xml:space="preserve">investice do budov </w:t>
      </w:r>
      <w:r w:rsidRPr="00ED3950">
        <w:rPr>
          <w:rFonts w:eastAsia="Calibri" w:cs="Arial"/>
          <w:lang w:val="cs-CZ"/>
        </w:rPr>
        <w:t xml:space="preserve">(kde se používá zelené značení). </w:t>
      </w:r>
    </w:p>
    <w:p w:rsidR="00C52545" w:rsidRPr="00ED3950" w:rsidRDefault="00C52545" w:rsidP="00C52545">
      <w:pPr>
        <w:rPr>
          <w:rFonts w:eastAsia="Calibri" w:cs="Arial"/>
          <w:lang w:val="cs-CZ"/>
        </w:rPr>
      </w:pPr>
    </w:p>
    <w:p w:rsidR="005840C5" w:rsidRPr="00ED3950" w:rsidRDefault="00ED3950">
      <w:pPr>
        <w:numPr>
          <w:ilvl w:val="2"/>
          <w:numId w:val="0"/>
        </w:numPr>
        <w:tabs>
          <w:tab w:val="left" w:pos="851"/>
        </w:tabs>
        <w:ind w:left="567" w:hanging="567"/>
        <w:contextualSpacing/>
        <w:outlineLvl w:val="2"/>
        <w:rPr>
          <w:rFonts w:eastAsia="Calibri" w:cs="Arial"/>
          <w:b/>
          <w:bCs/>
          <w:lang w:val="cs-CZ"/>
        </w:rPr>
      </w:pPr>
      <w:bookmarkStart w:id="175" w:name="_Toc127978754"/>
      <w:bookmarkStart w:id="176" w:name="_Toc131757502"/>
      <w:r w:rsidRPr="00ED3950">
        <w:rPr>
          <w:rFonts w:eastAsia="Calibri" w:cs="Arial"/>
          <w:b/>
          <w:i/>
          <w:color w:val="F04E30"/>
          <w:lang w:val="cs-CZ"/>
        </w:rPr>
        <w:tab/>
      </w:r>
      <w:bookmarkStart w:id="177" w:name="_Toc131775895"/>
      <w:r w:rsidR="00C52545" w:rsidRPr="00ED3950">
        <w:rPr>
          <w:rFonts w:eastAsia="Calibri" w:cs="Arial"/>
          <w:b/>
          <w:i/>
          <w:color w:val="F04E30"/>
          <w:lang w:val="cs-CZ"/>
        </w:rPr>
        <w:t>Představení praxe na Slovensku</w:t>
      </w:r>
      <w:bookmarkEnd w:id="175"/>
      <w:bookmarkEnd w:id="176"/>
      <w:bookmarkEnd w:id="177"/>
    </w:p>
    <w:p w:rsidR="005840C5" w:rsidRPr="00ED3950" w:rsidRDefault="00ED3950">
      <w:pPr>
        <w:rPr>
          <w:rFonts w:eastAsia="Calibri" w:cs="Arial"/>
          <w:lang w:val="cs-CZ"/>
        </w:rPr>
      </w:pPr>
      <w:r w:rsidRPr="00ED3950">
        <w:rPr>
          <w:rFonts w:eastAsia="Calibri" w:cs="Arial"/>
          <w:szCs w:val="18"/>
          <w:lang w:val="cs-CZ"/>
        </w:rPr>
        <w:t xml:space="preserve">Úřad vlády není odpovědný za </w:t>
      </w:r>
      <w:r w:rsidRPr="00ED3950">
        <w:rPr>
          <w:rFonts w:eastAsia="Calibri" w:cs="Arial"/>
          <w:szCs w:val="18"/>
          <w:lang w:val="cs-CZ"/>
        </w:rPr>
        <w:t xml:space="preserve">uplatňování zásady </w:t>
      </w:r>
      <w:r w:rsidRPr="00ED3950">
        <w:rPr>
          <w:rFonts w:eastAsia="Calibri" w:cs="Arial"/>
          <w:szCs w:val="18"/>
          <w:lang w:val="cs-CZ"/>
        </w:rPr>
        <w:t xml:space="preserve">DNSH. </w:t>
      </w:r>
      <w:r w:rsidRPr="00ED3950">
        <w:rPr>
          <w:rFonts w:eastAsia="Calibri" w:cs="Arial"/>
          <w:szCs w:val="18"/>
          <w:lang w:val="cs-CZ"/>
        </w:rPr>
        <w:t xml:space="preserve">Spolupracuje se třemi ministerstvy, která určují zprostředkovatele pro </w:t>
      </w:r>
      <w:r w:rsidRPr="00ED3950">
        <w:rPr>
          <w:rFonts w:eastAsia="Calibri" w:cs="Arial"/>
          <w:szCs w:val="18"/>
          <w:lang w:val="cs-CZ"/>
        </w:rPr>
        <w:t xml:space="preserve">uplatňování principu </w:t>
      </w:r>
      <w:r w:rsidRPr="00ED3950">
        <w:rPr>
          <w:rFonts w:eastAsia="Calibri" w:cs="Arial"/>
          <w:szCs w:val="18"/>
          <w:lang w:val="cs-CZ"/>
        </w:rPr>
        <w:t xml:space="preserve">DNSH, a usiluje o větší svižnost procesu. Příjemci </w:t>
      </w:r>
      <w:r w:rsidRPr="00ED3950">
        <w:rPr>
          <w:rFonts w:eastAsia="Calibri" w:cs="Arial"/>
          <w:szCs w:val="18"/>
          <w:lang w:val="cs-CZ"/>
        </w:rPr>
        <w:lastRenderedPageBreak/>
        <w:t xml:space="preserve">mohou být ministerstva, soukromé osoby, města, podniky. </w:t>
      </w:r>
      <w:r w:rsidRPr="00ED3950">
        <w:rPr>
          <w:rFonts w:eastAsia="Calibri" w:cs="Arial"/>
          <w:szCs w:val="18"/>
          <w:lang w:val="cs-CZ"/>
        </w:rPr>
        <w:t xml:space="preserve">Proces podporuje nezávislý </w:t>
      </w:r>
      <w:r w:rsidRPr="00ED3950">
        <w:rPr>
          <w:rFonts w:eastAsia="Calibri" w:cs="Arial"/>
          <w:szCs w:val="18"/>
          <w:lang w:val="cs-CZ"/>
        </w:rPr>
        <w:t xml:space="preserve">poradní orgán </w:t>
      </w:r>
      <w:r w:rsidRPr="00ED3950">
        <w:rPr>
          <w:rFonts w:eastAsia="Calibri" w:cs="Arial"/>
          <w:szCs w:val="18"/>
          <w:lang w:val="cs-CZ"/>
        </w:rPr>
        <w:t xml:space="preserve">složený z </w:t>
      </w:r>
      <w:r w:rsidRPr="00ED3950">
        <w:rPr>
          <w:rFonts w:eastAsia="Calibri" w:cs="Arial"/>
          <w:szCs w:val="18"/>
          <w:lang w:val="cs-CZ"/>
        </w:rPr>
        <w:t>odborn</w:t>
      </w:r>
      <w:r w:rsidRPr="00ED3950">
        <w:rPr>
          <w:rFonts w:eastAsia="Calibri" w:cs="Arial"/>
          <w:szCs w:val="18"/>
          <w:lang w:val="cs-CZ"/>
        </w:rPr>
        <w:t xml:space="preserve">íků. </w:t>
      </w:r>
      <w:r w:rsidRPr="00ED3950">
        <w:rPr>
          <w:rFonts w:eastAsia="Calibri" w:cs="Arial"/>
          <w:lang w:val="cs-CZ"/>
        </w:rPr>
        <w:t xml:space="preserve">Současné řízení DNSH </w:t>
      </w:r>
      <w:r w:rsidRPr="00ED3950">
        <w:rPr>
          <w:rFonts w:eastAsia="Calibri" w:cs="Arial"/>
          <w:lang w:val="cs-CZ"/>
        </w:rPr>
        <w:t xml:space="preserve">není pevně stanoveno </w:t>
      </w:r>
      <w:r w:rsidRPr="00ED3950">
        <w:rPr>
          <w:rFonts w:eastAsia="Calibri" w:cs="Arial"/>
          <w:lang w:val="cs-CZ"/>
        </w:rPr>
        <w:t>a v jednotlivých odvětvích se liší</w:t>
      </w:r>
      <w:r w:rsidRPr="00ED3950">
        <w:rPr>
          <w:rFonts w:eastAsia="Calibri" w:cs="Arial"/>
          <w:lang w:val="cs-CZ"/>
        </w:rPr>
        <w:t xml:space="preserve">. </w:t>
      </w:r>
      <w:r w:rsidRPr="00ED3950">
        <w:rPr>
          <w:rFonts w:eastAsia="Calibri" w:cs="Arial"/>
          <w:lang w:val="cs-CZ"/>
        </w:rPr>
        <w:t xml:space="preserve">Například </w:t>
      </w:r>
      <w:r w:rsidRPr="00ED3950">
        <w:rPr>
          <w:rFonts w:eastAsia="Calibri" w:cs="Arial"/>
          <w:lang w:val="cs-CZ"/>
        </w:rPr>
        <w:t xml:space="preserve">Úřad vlády má na starosti zelené budovy, protože </w:t>
      </w:r>
      <w:r w:rsidRPr="00ED3950">
        <w:rPr>
          <w:rFonts w:eastAsia="Calibri" w:cs="Arial"/>
          <w:lang w:val="cs-CZ"/>
        </w:rPr>
        <w:t xml:space="preserve">uplatňování principu DNSH v tomto sektoru </w:t>
      </w:r>
      <w:r w:rsidRPr="00ED3950">
        <w:rPr>
          <w:rFonts w:eastAsia="Calibri" w:cs="Arial"/>
          <w:lang w:val="cs-CZ"/>
        </w:rPr>
        <w:t xml:space="preserve">je zefektivněno </w:t>
      </w:r>
      <w:r w:rsidRPr="00ED3950">
        <w:rPr>
          <w:rFonts w:eastAsia="Calibri" w:cs="Arial"/>
          <w:lang w:val="cs-CZ"/>
        </w:rPr>
        <w:t xml:space="preserve">napříč </w:t>
      </w:r>
      <w:r w:rsidRPr="00ED3950">
        <w:rPr>
          <w:rFonts w:eastAsia="Calibri" w:cs="Arial"/>
          <w:lang w:val="cs-CZ"/>
        </w:rPr>
        <w:t>několika ministerstvy</w:t>
      </w:r>
      <w:r w:rsidRPr="00ED3950">
        <w:rPr>
          <w:rFonts w:eastAsia="Calibri" w:cs="Arial"/>
          <w:lang w:val="cs-CZ"/>
        </w:rPr>
        <w:t xml:space="preserve">; zároveň </w:t>
      </w:r>
      <w:r w:rsidRPr="00ED3950">
        <w:rPr>
          <w:rFonts w:eastAsia="Calibri" w:cs="Arial"/>
          <w:lang w:val="cs-CZ"/>
        </w:rPr>
        <w:t>je Ministerstvo ho</w:t>
      </w:r>
      <w:r w:rsidRPr="00ED3950">
        <w:rPr>
          <w:rFonts w:eastAsia="Calibri" w:cs="Arial"/>
          <w:lang w:val="cs-CZ"/>
        </w:rPr>
        <w:t xml:space="preserve">spodářství v </w:t>
      </w:r>
      <w:r w:rsidRPr="00ED3950">
        <w:rPr>
          <w:rFonts w:eastAsia="Calibri" w:cs="Arial"/>
          <w:lang w:val="cs-CZ"/>
        </w:rPr>
        <w:t xml:space="preserve">uplatňování principu DNSH nezávislejší </w:t>
      </w:r>
      <w:r w:rsidRPr="00ED3950">
        <w:rPr>
          <w:rFonts w:eastAsia="Calibri" w:cs="Arial"/>
          <w:lang w:val="cs-CZ"/>
        </w:rPr>
        <w:t xml:space="preserve">a </w:t>
      </w:r>
      <w:r w:rsidRPr="00ED3950">
        <w:rPr>
          <w:rFonts w:eastAsia="Calibri" w:cs="Arial"/>
          <w:lang w:val="cs-CZ"/>
        </w:rPr>
        <w:t xml:space="preserve">pokrývá dílčí sektor </w:t>
      </w:r>
      <w:r w:rsidRPr="00ED3950">
        <w:rPr>
          <w:rFonts w:eastAsia="Calibri" w:cs="Arial"/>
          <w:lang w:val="cs-CZ"/>
        </w:rPr>
        <w:t xml:space="preserve">obnovitelných zdrojů </w:t>
      </w:r>
      <w:r w:rsidRPr="00ED3950">
        <w:rPr>
          <w:rFonts w:eastAsia="Calibri" w:cs="Arial"/>
          <w:lang w:val="cs-CZ"/>
        </w:rPr>
        <w:t>energie</w:t>
      </w:r>
      <w:r w:rsidRPr="00ED3950">
        <w:rPr>
          <w:rFonts w:eastAsia="Calibri" w:cs="Arial"/>
          <w:lang w:val="cs-CZ"/>
        </w:rPr>
        <w:t>.</w:t>
      </w:r>
    </w:p>
    <w:p w:rsidR="00C52545" w:rsidRPr="00ED3950" w:rsidRDefault="00C52545" w:rsidP="00C52545">
      <w:pPr>
        <w:rPr>
          <w:rFonts w:eastAsia="Calibri" w:cs="Arial"/>
          <w:lang w:val="cs-CZ"/>
        </w:rPr>
      </w:pPr>
    </w:p>
    <w:p w:rsidR="005840C5" w:rsidRPr="00ED3950" w:rsidRDefault="00ED3950">
      <w:pPr>
        <w:rPr>
          <w:rFonts w:eastAsia="Calibri" w:cs="Arial"/>
          <w:lang w:val="cs-CZ"/>
        </w:rPr>
      </w:pPr>
      <w:r w:rsidRPr="00ED3950">
        <w:rPr>
          <w:rFonts w:eastAsia="Calibri" w:cs="Arial"/>
          <w:lang w:val="cs-CZ"/>
        </w:rPr>
        <w:t>RRP byl sepsán Ministerstvem financí a Úřadem vlády poté, co byly dokončeny pokyny pro hodnocení DNSH pro všechny oblasti. Další technická pomoc pro b</w:t>
      </w:r>
      <w:r w:rsidRPr="00ED3950">
        <w:rPr>
          <w:rFonts w:eastAsia="Calibri" w:cs="Arial"/>
          <w:lang w:val="cs-CZ"/>
        </w:rPr>
        <w:t xml:space="preserve">udovy byla vypracována konkrétně prostřednictvím podmínek zelené značky, nastavení ověřovacích mechanismů uvedených v hodnocení. Pouze v případě, že jsou tato ochranná opatření splněna, </w:t>
      </w:r>
      <w:r w:rsidRPr="00ED3950">
        <w:rPr>
          <w:rFonts w:eastAsia="Calibri" w:cs="Arial"/>
          <w:lang w:val="cs-CZ"/>
        </w:rPr>
        <w:t xml:space="preserve">je </w:t>
      </w:r>
      <w:r w:rsidRPr="00ED3950">
        <w:rPr>
          <w:rFonts w:eastAsia="Calibri" w:cs="Arial"/>
          <w:lang w:val="cs-CZ"/>
        </w:rPr>
        <w:t xml:space="preserve">investice považována za </w:t>
      </w:r>
      <w:r w:rsidRPr="00ED3950">
        <w:rPr>
          <w:rFonts w:eastAsia="Calibri" w:cs="Arial"/>
          <w:lang w:val="cs-CZ"/>
        </w:rPr>
        <w:t>vyhovující.</w:t>
      </w:r>
    </w:p>
    <w:p w:rsidR="00C52545" w:rsidRPr="00ED3950" w:rsidRDefault="00C52545" w:rsidP="00C52545">
      <w:pPr>
        <w:rPr>
          <w:rFonts w:eastAsia="Calibri" w:cs="Arial"/>
          <w:lang w:val="cs-CZ"/>
        </w:rPr>
      </w:pPr>
    </w:p>
    <w:p w:rsidR="005840C5" w:rsidRPr="00ED3950" w:rsidRDefault="00ED3950">
      <w:pPr>
        <w:rPr>
          <w:rFonts w:eastAsia="Calibri" w:cs="Arial"/>
          <w:lang w:val="cs-CZ"/>
        </w:rPr>
      </w:pPr>
      <w:r w:rsidRPr="00ED3950">
        <w:rPr>
          <w:rFonts w:eastAsia="Calibri" w:cs="Arial"/>
          <w:lang w:val="cs-CZ"/>
        </w:rPr>
        <w:t>Tým zaměřený na princip DNSH p</w:t>
      </w:r>
      <w:r w:rsidRPr="00ED3950">
        <w:rPr>
          <w:rFonts w:eastAsia="Calibri" w:cs="Arial"/>
          <w:lang w:val="cs-CZ"/>
        </w:rPr>
        <w:t xml:space="preserve">ři Úřadu vlády provedl posouzení DNSH konkrétně pro stavební investice. Jsou v souladu s cílem zmírnění dopadů na klima a následně s </w:t>
      </w:r>
      <w:r w:rsidRPr="00ED3950">
        <w:rPr>
          <w:rFonts w:eastAsia="Calibri" w:cs="Arial"/>
          <w:lang w:val="cs-CZ"/>
        </w:rPr>
        <w:t>ochrannými opatřeními pro ostatní cíle. Konkrétní opatření jsou zjednodušena, ministerstva mají při tvorbě výzvy k předklád</w:t>
      </w:r>
      <w:r w:rsidRPr="00ED3950">
        <w:rPr>
          <w:rFonts w:eastAsia="Calibri" w:cs="Arial"/>
          <w:lang w:val="cs-CZ"/>
        </w:rPr>
        <w:t>ání žádostí o podporu kontrolní seznam, na kterém si mohou ověřit, které podmínky a jakým způsobem využívají a které jsou podle nich irelevantní. Například renovace rodinného domu nepodléhá regulaci související s ptáky. Tým se snaží najít rovnováhu, aby se</w:t>
      </w:r>
      <w:r w:rsidRPr="00ED3950">
        <w:rPr>
          <w:rFonts w:eastAsia="Calibri" w:cs="Arial"/>
          <w:lang w:val="cs-CZ"/>
        </w:rPr>
        <w:t xml:space="preserve"> proces zjednodušil. Vyplnil posouzení, aby byl hodnocen kladně, ale existují podmínky pro dodržování DNSH.</w:t>
      </w:r>
    </w:p>
    <w:p w:rsidR="005840C5" w:rsidRPr="00ED3950" w:rsidRDefault="00ED3950">
      <w:pPr>
        <w:pStyle w:val="lp11"/>
        <w:numPr>
          <w:ilvl w:val="0"/>
          <w:numId w:val="8"/>
        </w:numPr>
        <w:rPr>
          <w:lang w:val="cs-CZ"/>
        </w:rPr>
      </w:pPr>
      <w:r w:rsidRPr="00ED3950">
        <w:rPr>
          <w:lang w:val="cs-CZ"/>
        </w:rPr>
        <w:t>Kritéria pro vyloučení;</w:t>
      </w:r>
    </w:p>
    <w:p w:rsidR="005840C5" w:rsidRPr="00ED3950" w:rsidRDefault="00ED3950">
      <w:pPr>
        <w:pStyle w:val="lp11"/>
        <w:numPr>
          <w:ilvl w:val="0"/>
          <w:numId w:val="8"/>
        </w:numPr>
        <w:rPr>
          <w:lang w:val="cs-CZ"/>
        </w:rPr>
      </w:pPr>
      <w:r w:rsidRPr="00ED3950">
        <w:rPr>
          <w:lang w:val="cs-CZ"/>
        </w:rPr>
        <w:t xml:space="preserve">Technické podmínky; </w:t>
      </w:r>
    </w:p>
    <w:p w:rsidR="005840C5" w:rsidRPr="00ED3950" w:rsidRDefault="00ED3950">
      <w:pPr>
        <w:pStyle w:val="lp11"/>
        <w:numPr>
          <w:ilvl w:val="0"/>
          <w:numId w:val="8"/>
        </w:numPr>
        <w:rPr>
          <w:lang w:val="cs-CZ"/>
        </w:rPr>
      </w:pPr>
      <w:r w:rsidRPr="00ED3950">
        <w:rPr>
          <w:lang w:val="cs-CZ"/>
        </w:rPr>
        <w:t>Podmínky, které vyžadují soulad s platnými právními předpisy;</w:t>
      </w:r>
    </w:p>
    <w:p w:rsidR="005840C5" w:rsidRPr="00ED3950" w:rsidRDefault="00ED3950">
      <w:pPr>
        <w:pStyle w:val="lp11"/>
        <w:numPr>
          <w:ilvl w:val="0"/>
          <w:numId w:val="8"/>
        </w:numPr>
        <w:rPr>
          <w:lang w:val="cs-CZ"/>
        </w:rPr>
      </w:pPr>
      <w:r w:rsidRPr="00ED3950">
        <w:rPr>
          <w:lang w:val="cs-CZ"/>
        </w:rPr>
        <w:t>Doporučení.</w:t>
      </w:r>
    </w:p>
    <w:p w:rsidR="00C52545" w:rsidRPr="00ED3950" w:rsidRDefault="00C52545" w:rsidP="00C52545">
      <w:pPr>
        <w:rPr>
          <w:rFonts w:eastAsia="Calibri" w:cs="Arial"/>
          <w:lang w:val="cs-CZ"/>
        </w:rPr>
      </w:pPr>
    </w:p>
    <w:p w:rsidR="005840C5" w:rsidRPr="00ED3950" w:rsidRDefault="00ED3950">
      <w:pPr>
        <w:numPr>
          <w:ilvl w:val="2"/>
          <w:numId w:val="0"/>
        </w:numPr>
        <w:tabs>
          <w:tab w:val="left" w:pos="851"/>
        </w:tabs>
        <w:ind w:left="1134" w:hanging="567"/>
        <w:contextualSpacing/>
        <w:outlineLvl w:val="2"/>
        <w:rPr>
          <w:rFonts w:eastAsia="Calibri" w:cs="Arial"/>
          <w:b/>
          <w:i/>
          <w:color w:val="F04E30"/>
          <w:lang w:val="cs-CZ"/>
        </w:rPr>
      </w:pPr>
      <w:bookmarkStart w:id="178" w:name="_Toc127978755"/>
      <w:bookmarkStart w:id="179" w:name="_Toc131757503"/>
      <w:bookmarkStart w:id="180" w:name="_Toc131775896"/>
      <w:r w:rsidRPr="00ED3950">
        <w:rPr>
          <w:rFonts w:eastAsia="Calibri" w:cs="Arial"/>
          <w:b/>
          <w:i/>
          <w:color w:val="F04E30"/>
          <w:lang w:val="cs-CZ"/>
        </w:rPr>
        <w:t>Proces ověřování na Slovensk</w:t>
      </w:r>
      <w:r w:rsidRPr="00ED3950">
        <w:rPr>
          <w:rFonts w:eastAsia="Calibri" w:cs="Arial"/>
          <w:b/>
          <w:i/>
          <w:color w:val="F04E30"/>
          <w:lang w:val="cs-CZ"/>
        </w:rPr>
        <w:t>u</w:t>
      </w:r>
      <w:bookmarkEnd w:id="178"/>
      <w:bookmarkEnd w:id="179"/>
      <w:bookmarkEnd w:id="180"/>
    </w:p>
    <w:p w:rsidR="005840C5" w:rsidRPr="00ED3950" w:rsidRDefault="00ED3950">
      <w:pPr>
        <w:rPr>
          <w:rFonts w:eastAsia="Calibri" w:cs="Arial"/>
          <w:szCs w:val="18"/>
          <w:lang w:val="cs-CZ"/>
        </w:rPr>
      </w:pPr>
      <w:r w:rsidRPr="00ED3950">
        <w:rPr>
          <w:rFonts w:eastAsia="Calibri" w:cs="Arial"/>
          <w:szCs w:val="18"/>
          <w:lang w:val="cs-CZ"/>
        </w:rPr>
        <w:t xml:space="preserve">Ověřování uplatňování kritérií DNSH je v kompetenci Úřadu vlády. </w:t>
      </w:r>
      <w:r w:rsidRPr="00ED3950">
        <w:rPr>
          <w:rFonts w:eastAsia="Calibri" w:cs="Arial"/>
          <w:szCs w:val="18"/>
          <w:lang w:val="cs-CZ"/>
        </w:rPr>
        <w:t xml:space="preserve">Některá </w:t>
      </w:r>
      <w:r w:rsidRPr="00ED3950">
        <w:rPr>
          <w:rFonts w:eastAsia="Calibri" w:cs="Arial"/>
          <w:szCs w:val="18"/>
          <w:lang w:val="cs-CZ"/>
        </w:rPr>
        <w:t>kritéria jsou posuzována a definována na úrovni výzvy. Výzva je díky svému designu v souladu s DNSH. Například biomasa není podporována (vyloučením) nebo je na seznamu věcí, které j</w:t>
      </w:r>
      <w:r w:rsidRPr="00ED3950">
        <w:rPr>
          <w:rFonts w:eastAsia="Calibri" w:cs="Arial"/>
          <w:szCs w:val="18"/>
          <w:lang w:val="cs-CZ"/>
        </w:rPr>
        <w:t xml:space="preserve">sou financovány (zařazením, výčtem). </w:t>
      </w:r>
      <w:r w:rsidRPr="00ED3950">
        <w:rPr>
          <w:rFonts w:eastAsia="Calibri" w:cs="Arial"/>
          <w:szCs w:val="18"/>
          <w:lang w:val="cs-CZ"/>
        </w:rPr>
        <w:t xml:space="preserve">Předkladatelé nemusí zdůvodňovat, že dodržují platné zákony o životním prostředí. </w:t>
      </w:r>
      <w:r w:rsidRPr="00ED3950">
        <w:rPr>
          <w:rFonts w:eastAsia="Calibri" w:cs="Arial"/>
          <w:szCs w:val="18"/>
          <w:lang w:val="cs-CZ"/>
        </w:rPr>
        <w:t xml:space="preserve">Legislativní akty, </w:t>
      </w:r>
      <w:r w:rsidRPr="00ED3950">
        <w:rPr>
          <w:rFonts w:eastAsia="Calibri" w:cs="Arial"/>
          <w:szCs w:val="18"/>
          <w:lang w:val="cs-CZ"/>
        </w:rPr>
        <w:t xml:space="preserve">které jsou specifické pro danou výzvu, </w:t>
      </w:r>
      <w:r w:rsidRPr="00ED3950">
        <w:rPr>
          <w:rFonts w:eastAsia="Calibri" w:cs="Arial"/>
          <w:szCs w:val="18"/>
          <w:lang w:val="cs-CZ"/>
        </w:rPr>
        <w:t xml:space="preserve">např. kvalita materiálu, však </w:t>
      </w:r>
      <w:r w:rsidRPr="00ED3950">
        <w:rPr>
          <w:rFonts w:eastAsia="Calibri" w:cs="Arial"/>
          <w:szCs w:val="18"/>
          <w:lang w:val="cs-CZ"/>
        </w:rPr>
        <w:t xml:space="preserve">mohou být zahrnuty do kritérií na úrovni výzvy. Aktivní zdůvodnění je vyžadováno EK a musí být zahrnuto do provozní smlouvy (např. 70 % recyklace odpadu). Cílem tohoto přístupu je vytvořit komplexní přístup, který by mohla resortní ministerstva využívat v </w:t>
      </w:r>
      <w:r w:rsidRPr="00ED3950">
        <w:rPr>
          <w:rFonts w:eastAsia="Calibri" w:cs="Arial"/>
          <w:szCs w:val="18"/>
          <w:lang w:val="cs-CZ"/>
        </w:rPr>
        <w:t>praxi.</w:t>
      </w:r>
    </w:p>
    <w:p w:rsidR="00C52545" w:rsidRPr="00ED3950" w:rsidRDefault="00C52545" w:rsidP="00C52545">
      <w:pPr>
        <w:rPr>
          <w:rFonts w:eastAsia="Calibri" w:cs="Arial"/>
          <w:lang w:val="cs-CZ"/>
        </w:rPr>
      </w:pPr>
    </w:p>
    <w:p w:rsidR="005840C5" w:rsidRPr="00ED3950" w:rsidRDefault="00ED3950">
      <w:pPr>
        <w:numPr>
          <w:ilvl w:val="1"/>
          <w:numId w:val="0"/>
        </w:numPr>
        <w:tabs>
          <w:tab w:val="left" w:pos="851"/>
        </w:tabs>
        <w:spacing w:before="120" w:after="120"/>
        <w:ind w:left="1134" w:hanging="567"/>
        <w:contextualSpacing/>
        <w:outlineLvl w:val="1"/>
        <w:rPr>
          <w:rFonts w:eastAsia="Calibri" w:cs="Arial"/>
          <w:b/>
          <w:color w:val="005962"/>
          <w:sz w:val="24"/>
          <w:lang w:val="cs-CZ"/>
        </w:rPr>
      </w:pPr>
      <w:bookmarkStart w:id="181" w:name="_Toc127978756"/>
      <w:bookmarkStart w:id="182" w:name="_Toc131757504"/>
      <w:bookmarkStart w:id="183" w:name="_Toc131775897"/>
      <w:r w:rsidRPr="00ED3950">
        <w:rPr>
          <w:rFonts w:eastAsia="Calibri" w:cs="Arial"/>
          <w:b/>
          <w:color w:val="005962"/>
          <w:sz w:val="24"/>
          <w:lang w:val="cs-CZ"/>
        </w:rPr>
        <w:t xml:space="preserve">Emma </w:t>
      </w:r>
      <w:proofErr w:type="spellStart"/>
      <w:r w:rsidRPr="00ED3950">
        <w:rPr>
          <w:rFonts w:eastAsia="Calibri" w:cs="Arial"/>
          <w:b/>
          <w:color w:val="005962"/>
          <w:sz w:val="24"/>
          <w:lang w:val="cs-CZ"/>
        </w:rPr>
        <w:t>Terämä</w:t>
      </w:r>
      <w:proofErr w:type="spellEnd"/>
      <w:r w:rsidRPr="00ED3950">
        <w:rPr>
          <w:rFonts w:eastAsia="Calibri" w:cs="Arial"/>
          <w:b/>
          <w:color w:val="005962"/>
          <w:sz w:val="24"/>
          <w:lang w:val="cs-CZ"/>
        </w:rPr>
        <w:t xml:space="preserve"> - Ministerstvo životního prostředí (Finsko)</w:t>
      </w:r>
      <w:bookmarkEnd w:id="181"/>
      <w:bookmarkEnd w:id="182"/>
      <w:bookmarkEnd w:id="183"/>
    </w:p>
    <w:p w:rsidR="005840C5" w:rsidRPr="00ED3950" w:rsidRDefault="00ED3950">
      <w:pPr>
        <w:numPr>
          <w:ilvl w:val="2"/>
          <w:numId w:val="0"/>
        </w:numPr>
        <w:tabs>
          <w:tab w:val="left" w:pos="851"/>
        </w:tabs>
        <w:ind w:left="1134" w:hanging="567"/>
        <w:contextualSpacing/>
        <w:outlineLvl w:val="2"/>
        <w:rPr>
          <w:rFonts w:eastAsia="Calibri" w:cs="Arial"/>
          <w:b/>
          <w:i/>
          <w:color w:val="F04E30"/>
          <w:lang w:val="cs-CZ"/>
        </w:rPr>
      </w:pPr>
      <w:bookmarkStart w:id="184" w:name="_Toc127978757"/>
      <w:bookmarkStart w:id="185" w:name="_Toc131757505"/>
      <w:bookmarkStart w:id="186" w:name="_Toc131775898"/>
      <w:r w:rsidRPr="00ED3950">
        <w:rPr>
          <w:rFonts w:eastAsia="Calibri" w:cs="Arial"/>
          <w:b/>
          <w:i/>
          <w:color w:val="F04E30"/>
          <w:lang w:val="cs-CZ"/>
        </w:rPr>
        <w:t>Kontext</w:t>
      </w:r>
      <w:bookmarkEnd w:id="184"/>
      <w:bookmarkEnd w:id="185"/>
      <w:bookmarkEnd w:id="186"/>
    </w:p>
    <w:p w:rsidR="005840C5" w:rsidRPr="00ED3950" w:rsidRDefault="00ED3950">
      <w:pPr>
        <w:rPr>
          <w:rFonts w:eastAsia="Calibri" w:cs="Arial"/>
          <w:szCs w:val="18"/>
          <w:lang w:val="cs-CZ"/>
        </w:rPr>
      </w:pPr>
      <w:r w:rsidRPr="00ED3950">
        <w:rPr>
          <w:rFonts w:eastAsia="Calibri" w:cs="Arial"/>
          <w:szCs w:val="18"/>
          <w:lang w:val="cs-CZ"/>
        </w:rPr>
        <w:t>V současné době se ve Finsku hodnocení vlivů na životní prostředí používá při přípravě právních předpisů (</w:t>
      </w:r>
      <w:r w:rsidRPr="00ED3950">
        <w:rPr>
          <w:rFonts w:eastAsia="Calibri" w:cs="Arial"/>
          <w:szCs w:val="18"/>
          <w:lang w:val="cs-CZ"/>
        </w:rPr>
        <w:t xml:space="preserve">hodnocení dopadů </w:t>
      </w:r>
      <w:r w:rsidRPr="00ED3950">
        <w:rPr>
          <w:rFonts w:eastAsia="Calibri" w:cs="Arial"/>
          <w:szCs w:val="18"/>
          <w:lang w:val="cs-CZ"/>
        </w:rPr>
        <w:t>regulace</w:t>
      </w:r>
      <w:r w:rsidRPr="00ED3950">
        <w:rPr>
          <w:rFonts w:eastAsia="Calibri" w:cs="Arial"/>
          <w:szCs w:val="18"/>
          <w:lang w:val="cs-CZ"/>
        </w:rPr>
        <w:t>, použití taxonomie, právní předpisy RRF pro provádění, zrychlené povolování pro období 2023-2026) a při provádění plánů.</w:t>
      </w:r>
    </w:p>
    <w:p w:rsidR="00C52545" w:rsidRPr="00ED3950" w:rsidRDefault="00C52545" w:rsidP="00C52545">
      <w:pPr>
        <w:rPr>
          <w:rFonts w:eastAsia="Calibri" w:cs="Arial"/>
          <w:lang w:val="cs-CZ"/>
        </w:rPr>
      </w:pPr>
    </w:p>
    <w:p w:rsidR="005840C5" w:rsidRPr="00ED3950" w:rsidRDefault="00ED3950">
      <w:pPr>
        <w:numPr>
          <w:ilvl w:val="2"/>
          <w:numId w:val="0"/>
        </w:numPr>
        <w:tabs>
          <w:tab w:val="left" w:pos="851"/>
        </w:tabs>
        <w:ind w:left="1134" w:hanging="567"/>
        <w:contextualSpacing/>
        <w:outlineLvl w:val="2"/>
        <w:rPr>
          <w:rFonts w:eastAsia="Calibri" w:cs="Arial"/>
          <w:b/>
          <w:i/>
          <w:color w:val="F04E30"/>
          <w:lang w:val="cs-CZ"/>
        </w:rPr>
      </w:pPr>
      <w:bookmarkStart w:id="187" w:name="_Toc127978758"/>
      <w:bookmarkStart w:id="188" w:name="_Toc131757506"/>
      <w:bookmarkStart w:id="189" w:name="_Toc131775899"/>
      <w:r w:rsidRPr="00ED3950">
        <w:rPr>
          <w:rFonts w:eastAsia="Calibri" w:cs="Arial"/>
          <w:b/>
          <w:i/>
          <w:color w:val="F04E30"/>
          <w:lang w:val="cs-CZ"/>
        </w:rPr>
        <w:t>Význam a využití kritérií DNSH mimo evropské financování</w:t>
      </w:r>
      <w:bookmarkEnd w:id="187"/>
      <w:bookmarkEnd w:id="188"/>
      <w:bookmarkEnd w:id="189"/>
    </w:p>
    <w:p w:rsidR="005840C5" w:rsidRPr="00ED3950" w:rsidRDefault="00ED3950">
      <w:pPr>
        <w:rPr>
          <w:rFonts w:eastAsia="Calibri" w:cs="Arial"/>
          <w:lang w:val="cs-CZ"/>
        </w:rPr>
      </w:pPr>
      <w:r w:rsidRPr="00ED3950">
        <w:rPr>
          <w:rFonts w:eastAsia="Calibri" w:cs="Arial"/>
          <w:lang w:val="cs-CZ"/>
        </w:rPr>
        <w:t>Již během období obnovy byla použita kritéria, která zajišťovala, aby invest</w:t>
      </w:r>
      <w:r w:rsidRPr="00ED3950">
        <w:rPr>
          <w:rFonts w:eastAsia="Calibri" w:cs="Arial"/>
          <w:lang w:val="cs-CZ"/>
        </w:rPr>
        <w:t>ice do obnovy podporovaly integritu životního prostředí. V tomto ohledu by DNSH mohl být užitečným zastřešujícím kritériem, které by aktérům umožnilo pokrýt všechny aspekty environmentální integrity.</w:t>
      </w:r>
    </w:p>
    <w:p w:rsidR="005840C5" w:rsidRPr="00ED3950" w:rsidRDefault="00ED3950">
      <w:pPr>
        <w:rPr>
          <w:rFonts w:eastAsia="Calibri" w:cs="Arial"/>
          <w:lang w:val="cs-CZ"/>
        </w:rPr>
      </w:pPr>
      <w:r w:rsidRPr="00ED3950">
        <w:rPr>
          <w:rFonts w:eastAsia="Calibri" w:cs="Arial"/>
          <w:lang w:val="cs-CZ"/>
        </w:rPr>
        <w:t>Pracovní skupina si také všimla, že překážkou rychlé rea</w:t>
      </w:r>
      <w:r w:rsidRPr="00ED3950">
        <w:rPr>
          <w:rFonts w:eastAsia="Calibri" w:cs="Arial"/>
          <w:lang w:val="cs-CZ"/>
        </w:rPr>
        <w:t xml:space="preserve">lizace může být vydávání povolení. To se týká zejména investic v oblasti energetiky. To vedlo k myšlence vypracovat právní předpis, který by vyžadoval prověřování budoucích investic ve fázi povolování s využitím principu DNSH. Princip DNSH se </w:t>
      </w:r>
      <w:r w:rsidRPr="00ED3950">
        <w:rPr>
          <w:rFonts w:eastAsia="Calibri" w:cs="Arial"/>
          <w:lang w:val="cs-CZ"/>
        </w:rPr>
        <w:lastRenderedPageBreak/>
        <w:t>tak stal klíč</w:t>
      </w:r>
      <w:r w:rsidRPr="00ED3950">
        <w:rPr>
          <w:rFonts w:eastAsia="Calibri" w:cs="Arial"/>
          <w:lang w:val="cs-CZ"/>
        </w:rPr>
        <w:t>ovým nástrojem pro přístup k urychlenému postupu. To vyžaduje zásadní zlepšení schopností regionálních státních správních orgánů.</w:t>
      </w:r>
    </w:p>
    <w:p w:rsidR="00C52545" w:rsidRPr="00ED3950" w:rsidRDefault="00C52545" w:rsidP="00C52545">
      <w:pPr>
        <w:rPr>
          <w:rFonts w:eastAsia="Calibri" w:cs="Arial"/>
          <w:lang w:val="cs-CZ"/>
        </w:rPr>
      </w:pPr>
    </w:p>
    <w:p w:rsidR="005840C5" w:rsidRPr="00ED3950" w:rsidRDefault="00ED3950">
      <w:pPr>
        <w:rPr>
          <w:rFonts w:eastAsia="Calibri" w:cs="Arial"/>
          <w:lang w:val="cs-CZ"/>
        </w:rPr>
      </w:pPr>
      <w:r w:rsidRPr="00ED3950">
        <w:rPr>
          <w:rFonts w:eastAsia="Calibri" w:cs="Arial"/>
          <w:lang w:val="cs-CZ"/>
        </w:rPr>
        <w:t>Zásada DNSH nemá vliv na samotné povolování v oblasti životního prostředí. Zaručuje pouze, že u způsobilých projektů bude pov</w:t>
      </w:r>
      <w:r w:rsidRPr="00ED3950">
        <w:rPr>
          <w:rFonts w:eastAsia="Calibri" w:cs="Arial"/>
          <w:lang w:val="cs-CZ"/>
        </w:rPr>
        <w:t>olení vydáno do 12 měsíců. V praxi se jedná o jednu fázi s obecným posouzením. Neprovádí se žádné hodnocení LCA ani vyloučení. Probíhá sektorový výběr, ale nedochází k vyloučení z RRF. Nepoužívají se žádná kvantitativní kritéria (ačkoli pro zdůvodnění dobr</w:t>
      </w:r>
      <w:r w:rsidRPr="00ED3950">
        <w:rPr>
          <w:rFonts w:eastAsia="Calibri" w:cs="Arial"/>
          <w:lang w:val="cs-CZ"/>
        </w:rPr>
        <w:t>ého výkonu lze použít kvantitativní práh). Neexistuje žádná hierarchie mezi různými typy dopadů.</w:t>
      </w:r>
    </w:p>
    <w:p w:rsidR="00C52545" w:rsidRPr="00ED3950" w:rsidRDefault="00C52545" w:rsidP="00C52545">
      <w:pPr>
        <w:rPr>
          <w:rFonts w:eastAsia="Calibri" w:cs="Arial"/>
          <w:lang w:val="cs-CZ"/>
        </w:rPr>
      </w:pPr>
    </w:p>
    <w:p w:rsidR="005840C5" w:rsidRPr="00ED3950" w:rsidRDefault="00ED3950">
      <w:pPr>
        <w:numPr>
          <w:ilvl w:val="2"/>
          <w:numId w:val="0"/>
        </w:numPr>
        <w:tabs>
          <w:tab w:val="left" w:pos="851"/>
        </w:tabs>
        <w:ind w:left="1134" w:hanging="567"/>
        <w:contextualSpacing/>
        <w:outlineLvl w:val="2"/>
        <w:rPr>
          <w:rFonts w:eastAsia="Calibri" w:cs="Arial"/>
          <w:b/>
          <w:i/>
          <w:color w:val="F04E30"/>
          <w:lang w:val="cs-CZ"/>
        </w:rPr>
      </w:pPr>
      <w:bookmarkStart w:id="190" w:name="_Toc127978759"/>
      <w:bookmarkStart w:id="191" w:name="_Toc131757507"/>
      <w:bookmarkStart w:id="192" w:name="_Toc131775900"/>
      <w:r w:rsidRPr="00ED3950">
        <w:rPr>
          <w:rFonts w:eastAsia="Calibri" w:cs="Arial"/>
          <w:b/>
          <w:i/>
          <w:color w:val="F04E30"/>
          <w:lang w:val="cs-CZ"/>
        </w:rPr>
        <w:t>Praktické úvahy</w:t>
      </w:r>
      <w:bookmarkEnd w:id="190"/>
      <w:bookmarkEnd w:id="191"/>
      <w:bookmarkEnd w:id="192"/>
    </w:p>
    <w:p w:rsidR="005840C5" w:rsidRPr="00ED3950" w:rsidRDefault="00ED3950">
      <w:pPr>
        <w:rPr>
          <w:rFonts w:eastAsia="Calibri" w:cs="Arial"/>
          <w:lang w:val="cs-CZ"/>
        </w:rPr>
      </w:pPr>
      <w:r w:rsidRPr="00ED3950">
        <w:rPr>
          <w:rFonts w:eastAsia="Calibri" w:cs="Arial"/>
          <w:lang w:val="cs-CZ"/>
        </w:rPr>
        <w:t xml:space="preserve">Tento systém </w:t>
      </w:r>
      <w:r w:rsidRPr="00ED3950">
        <w:rPr>
          <w:rFonts w:eastAsia="Calibri" w:cs="Arial"/>
          <w:lang w:val="cs-CZ"/>
        </w:rPr>
        <w:t xml:space="preserve">vyžaduje </w:t>
      </w:r>
      <w:r w:rsidRPr="00ED3950">
        <w:rPr>
          <w:rFonts w:eastAsia="Calibri" w:cs="Arial"/>
          <w:lang w:val="cs-CZ"/>
        </w:rPr>
        <w:t xml:space="preserve">silnou </w:t>
      </w:r>
      <w:r w:rsidRPr="00ED3950">
        <w:rPr>
          <w:rFonts w:eastAsia="Calibri" w:cs="Arial"/>
          <w:lang w:val="cs-CZ"/>
        </w:rPr>
        <w:t>meziresortní spolupráci. Za provádění hodnocení dopadů, které spadají do jejich odvětví, jsou odpovědná příslušná ministerstva. To je nutné k lepšímu pochopení významu jednotlivých typů hodnocení pro DNSH, pokud mohou být zapotřebí specializované odborné z</w:t>
      </w:r>
      <w:r w:rsidRPr="00ED3950">
        <w:rPr>
          <w:rFonts w:eastAsia="Calibri" w:cs="Arial"/>
          <w:lang w:val="cs-CZ"/>
        </w:rPr>
        <w:t>nalosti.</w:t>
      </w:r>
    </w:p>
    <w:p w:rsidR="006427C1" w:rsidRPr="00ED3950" w:rsidRDefault="006427C1" w:rsidP="00C52545">
      <w:pPr>
        <w:rPr>
          <w:rFonts w:eastAsia="Calibri" w:cs="Arial"/>
          <w:lang w:val="cs-CZ"/>
        </w:rPr>
      </w:pPr>
    </w:p>
    <w:p w:rsidR="005840C5" w:rsidRPr="00ED3950" w:rsidRDefault="00ED3950">
      <w:pPr>
        <w:pStyle w:val="Nadpis2"/>
        <w:numPr>
          <w:ilvl w:val="0"/>
          <w:numId w:val="0"/>
        </w:numPr>
        <w:ind w:left="567"/>
        <w:rPr>
          <w:lang w:val="cs-CZ"/>
        </w:rPr>
      </w:pPr>
      <w:bookmarkStart w:id="193" w:name="_Toc127978760"/>
      <w:bookmarkStart w:id="194" w:name="_Toc131757508"/>
      <w:bookmarkStart w:id="195" w:name="_Toc131775901"/>
      <w:r w:rsidRPr="00ED3950">
        <w:rPr>
          <w:lang w:val="cs-CZ"/>
        </w:rPr>
        <w:t>Panelová diskuse</w:t>
      </w:r>
      <w:bookmarkEnd w:id="193"/>
      <w:bookmarkEnd w:id="194"/>
      <w:bookmarkEnd w:id="195"/>
    </w:p>
    <w:p w:rsidR="005840C5" w:rsidRPr="00ED3950" w:rsidRDefault="00ED3950">
      <w:pPr>
        <w:rPr>
          <w:rFonts w:eastAsia="Calibri" w:cs="Arial"/>
          <w:lang w:val="cs-CZ"/>
        </w:rPr>
      </w:pPr>
      <w:r w:rsidRPr="00ED3950">
        <w:rPr>
          <w:rFonts w:eastAsia="Calibri" w:cs="Arial"/>
          <w:b/>
          <w:bCs/>
          <w:color w:val="F04E30"/>
          <w:lang w:val="cs-CZ"/>
        </w:rPr>
        <w:t>Projektový tým</w:t>
      </w:r>
      <w:r w:rsidRPr="00ED3950">
        <w:rPr>
          <w:rFonts w:eastAsia="Calibri" w:cs="Arial"/>
          <w:lang w:val="cs-CZ"/>
        </w:rPr>
        <w:t xml:space="preserve">: Chce některý z účastníků panelu zmínit praxi, o které se dosud nehovořilo? </w:t>
      </w:r>
    </w:p>
    <w:p w:rsidR="005840C5" w:rsidRPr="00ED3950" w:rsidRDefault="00ED3950">
      <w:pPr>
        <w:rPr>
          <w:rFonts w:eastAsia="Calibri" w:cs="Arial"/>
          <w:szCs w:val="18"/>
          <w:lang w:val="cs-CZ"/>
        </w:rPr>
      </w:pPr>
      <w:proofErr w:type="spellStart"/>
      <w:r w:rsidRPr="00ED3950">
        <w:rPr>
          <w:rFonts w:eastAsia="Calibri" w:cs="Arial"/>
          <w:b/>
          <w:bCs/>
          <w:color w:val="2998FF"/>
          <w:szCs w:val="18"/>
          <w:lang w:val="cs-CZ"/>
        </w:rPr>
        <w:t>Moritz</w:t>
      </w:r>
      <w:proofErr w:type="spellEnd"/>
      <w:r w:rsidRPr="00ED3950">
        <w:rPr>
          <w:rFonts w:eastAsia="Calibri" w:cs="Arial"/>
          <w:b/>
          <w:bCs/>
          <w:color w:val="2998FF"/>
          <w:szCs w:val="18"/>
          <w:lang w:val="cs-CZ"/>
        </w:rPr>
        <w:t xml:space="preserve"> Schwarz</w:t>
      </w:r>
      <w:r w:rsidRPr="00ED3950">
        <w:rPr>
          <w:rFonts w:eastAsia="Calibri" w:cs="Arial"/>
          <w:szCs w:val="18"/>
          <w:lang w:val="cs-CZ"/>
        </w:rPr>
        <w:t>: Ministerstvo financí dohlíží na provádění RRF a hodnocení DNSH. Kromě toho bude brzy zahájen projekt TSI, který se bude t</w:t>
      </w:r>
      <w:r w:rsidRPr="00ED3950">
        <w:rPr>
          <w:rFonts w:eastAsia="Calibri" w:cs="Arial"/>
          <w:szCs w:val="18"/>
          <w:lang w:val="cs-CZ"/>
        </w:rPr>
        <w:t>ěmito tématy hlouběji zabývat. Princip DNSH zatím vyhodnocovala resortní ministerstva. Mezi jednotlivými ministerstvy existují rozdíly, stejně jako určité rozdíly v jejich metodikách. Nyní je cílem hodnocení a provádění sjednotit (s prioritou na RRP). Konc</w:t>
      </w:r>
      <w:r w:rsidRPr="00ED3950">
        <w:rPr>
          <w:rFonts w:eastAsia="Calibri" w:cs="Arial"/>
          <w:szCs w:val="18"/>
          <w:lang w:val="cs-CZ"/>
        </w:rPr>
        <w:t xml:space="preserve">epce související s DNSH se ministerstva snaží začlenit do legislativy, procesů a zeleného rozpočtování. </w:t>
      </w:r>
      <w:r w:rsidRPr="00ED3950">
        <w:rPr>
          <w:rFonts w:eastAsia="Calibri" w:cs="Arial"/>
          <w:lang w:val="cs-CZ"/>
        </w:rPr>
        <w:t xml:space="preserve">Cílem je propojit princip DNSH a související přístupy </w:t>
      </w:r>
      <w:r w:rsidRPr="00ED3950">
        <w:rPr>
          <w:rFonts w:eastAsia="Calibri" w:cs="Arial"/>
          <w:lang w:val="cs-CZ"/>
        </w:rPr>
        <w:t>s procesy zeleného rozpočtování a vytvořit tak systematický přístup. Princip DNSH může hrát v zele</w:t>
      </w:r>
      <w:r w:rsidRPr="00ED3950">
        <w:rPr>
          <w:rFonts w:eastAsia="Calibri" w:cs="Arial"/>
          <w:lang w:val="cs-CZ"/>
        </w:rPr>
        <w:t xml:space="preserve">ném rozpočtování důležitou roli, i když úroveň podrobnosti bude třeba postupem času zvyšovat (krok za krokem). </w:t>
      </w:r>
      <w:r w:rsidRPr="00ED3950">
        <w:rPr>
          <w:rFonts w:eastAsia="Calibri" w:cs="Arial"/>
          <w:lang w:val="cs-CZ"/>
        </w:rPr>
        <w:t xml:space="preserve">Stručně řečeno, Rakousko uplatňuje přístup zdola nahoru a věnuje zvláštní pozornost rozpočtovým prvkům, které vyžadují pečlivější pozornost, aby </w:t>
      </w:r>
      <w:r w:rsidRPr="00ED3950">
        <w:rPr>
          <w:rFonts w:eastAsia="Calibri" w:cs="Arial"/>
          <w:lang w:val="cs-CZ"/>
        </w:rPr>
        <w:t>byly v souladu se zásadou DNSH.</w:t>
      </w:r>
    </w:p>
    <w:p w:rsidR="00C52545" w:rsidRPr="00ED3950" w:rsidRDefault="00C52545" w:rsidP="00C52545">
      <w:pPr>
        <w:rPr>
          <w:rFonts w:eastAsia="Calibri" w:cs="Arial"/>
          <w:lang w:val="cs-CZ"/>
        </w:rPr>
      </w:pPr>
    </w:p>
    <w:p w:rsidR="005840C5" w:rsidRPr="00ED3950" w:rsidRDefault="00ED3950">
      <w:pPr>
        <w:rPr>
          <w:rFonts w:eastAsia="Calibri" w:cs="Arial"/>
          <w:lang w:val="cs-CZ"/>
        </w:rPr>
      </w:pPr>
      <w:r w:rsidRPr="00ED3950">
        <w:rPr>
          <w:rFonts w:eastAsia="Calibri" w:cs="Arial"/>
          <w:b/>
          <w:bCs/>
          <w:color w:val="F04E30"/>
          <w:lang w:val="cs-CZ"/>
        </w:rPr>
        <w:t>Projektový tým</w:t>
      </w:r>
      <w:r w:rsidRPr="00ED3950">
        <w:rPr>
          <w:rFonts w:eastAsia="Calibri" w:cs="Arial"/>
          <w:lang w:val="cs-CZ"/>
        </w:rPr>
        <w:t>: Existují ve Finsku příklady vyloučení na základě zásady "znečišťovatel platí"?</w:t>
      </w:r>
    </w:p>
    <w:p w:rsidR="005840C5" w:rsidRPr="00ED3950" w:rsidRDefault="00ED3950">
      <w:pPr>
        <w:rPr>
          <w:rFonts w:eastAsia="Calibri" w:cs="Arial"/>
          <w:lang w:val="cs-CZ"/>
        </w:rPr>
      </w:pPr>
      <w:r w:rsidRPr="00ED3950">
        <w:rPr>
          <w:rFonts w:eastAsia="Calibri" w:cs="Arial"/>
          <w:b/>
          <w:color w:val="2998FF"/>
          <w:lang w:val="cs-CZ"/>
        </w:rPr>
        <w:t xml:space="preserve">Emma </w:t>
      </w:r>
      <w:proofErr w:type="spellStart"/>
      <w:r w:rsidRPr="00ED3950">
        <w:rPr>
          <w:rFonts w:eastAsia="Calibri" w:cs="Arial"/>
          <w:b/>
          <w:bCs/>
          <w:color w:val="2998FF"/>
          <w:lang w:val="cs-CZ"/>
        </w:rPr>
        <w:t>Terämä</w:t>
      </w:r>
      <w:proofErr w:type="spellEnd"/>
      <w:r w:rsidRPr="00ED3950">
        <w:rPr>
          <w:rFonts w:eastAsia="Calibri" w:cs="Arial"/>
          <w:lang w:val="cs-CZ"/>
        </w:rPr>
        <w:t xml:space="preserve">: Existuje zajímavý program na snížení vytápění olejem v budovách od administrativních až po soukromé rezidence. Tam </w:t>
      </w:r>
      <w:r w:rsidRPr="00ED3950">
        <w:rPr>
          <w:rFonts w:eastAsia="Calibri" w:cs="Arial"/>
          <w:lang w:val="cs-CZ"/>
        </w:rPr>
        <w:t>byl princip vyloučení použit k přechodu na centralizované systémy vytápění. Vzhledem k tomu, že ty se stále mohou spoléhat na staré uhelné systémy, může být dálkové vytápění stále podporováno tím, co je jinde vyloučeno (to je pouze kvůli přechodnému období</w:t>
      </w:r>
      <w:r w:rsidRPr="00ED3950">
        <w:rPr>
          <w:rFonts w:eastAsia="Calibri" w:cs="Arial"/>
          <w:lang w:val="cs-CZ"/>
        </w:rPr>
        <w:t>).</w:t>
      </w:r>
    </w:p>
    <w:p w:rsidR="00C52545" w:rsidRPr="00ED3950" w:rsidRDefault="00C52545" w:rsidP="00C52545">
      <w:pPr>
        <w:rPr>
          <w:rFonts w:eastAsia="Calibri" w:cs="Arial"/>
          <w:lang w:val="cs-CZ"/>
        </w:rPr>
      </w:pPr>
    </w:p>
    <w:p w:rsidR="005840C5" w:rsidRPr="00ED3950" w:rsidRDefault="00ED3950">
      <w:pPr>
        <w:rPr>
          <w:rFonts w:eastAsia="Calibri" w:cs="Arial"/>
          <w:lang w:val="cs-CZ"/>
        </w:rPr>
      </w:pPr>
      <w:r w:rsidRPr="00ED3950">
        <w:rPr>
          <w:rFonts w:eastAsia="Calibri" w:cs="Arial"/>
          <w:b/>
          <w:bCs/>
          <w:color w:val="F04E30"/>
          <w:lang w:val="cs-CZ"/>
        </w:rPr>
        <w:t>Projektový tým</w:t>
      </w:r>
      <w:r w:rsidRPr="00ED3950">
        <w:rPr>
          <w:rFonts w:eastAsia="Calibri" w:cs="Arial"/>
          <w:lang w:val="cs-CZ"/>
        </w:rPr>
        <w:t xml:space="preserve">: </w:t>
      </w:r>
      <w:r w:rsidRPr="00ED3950">
        <w:rPr>
          <w:rFonts w:eastAsia="Calibri" w:cs="Arial"/>
          <w:lang w:val="cs-CZ"/>
        </w:rPr>
        <w:t xml:space="preserve">Uvažujete o legislativních změnách, abyste dosáhli </w:t>
      </w:r>
      <w:r w:rsidRPr="00ED3950">
        <w:rPr>
          <w:rFonts w:eastAsia="Calibri" w:cs="Arial"/>
          <w:lang w:val="cs-CZ"/>
        </w:rPr>
        <w:t xml:space="preserve">souladu s DNSH? </w:t>
      </w:r>
    </w:p>
    <w:p w:rsidR="005840C5" w:rsidRPr="00ED3950" w:rsidRDefault="00ED3950">
      <w:pPr>
        <w:rPr>
          <w:rFonts w:eastAsia="Calibri" w:cs="Arial"/>
          <w:lang w:val="cs-CZ"/>
        </w:rPr>
      </w:pPr>
      <w:r w:rsidRPr="00ED3950">
        <w:rPr>
          <w:rFonts w:eastAsia="Calibri" w:cs="Arial"/>
          <w:b/>
          <w:bCs/>
          <w:color w:val="2998FF"/>
          <w:lang w:val="cs-CZ"/>
        </w:rPr>
        <w:t>Jan Hlaváček</w:t>
      </w:r>
      <w:r w:rsidRPr="00ED3950">
        <w:rPr>
          <w:rFonts w:eastAsia="Calibri" w:cs="Arial"/>
          <w:lang w:val="cs-CZ"/>
        </w:rPr>
        <w:t xml:space="preserve">: Hlaváček: </w:t>
      </w:r>
      <w:r w:rsidRPr="00ED3950">
        <w:rPr>
          <w:rFonts w:eastAsia="Calibri" w:cs="Arial"/>
          <w:lang w:val="cs-CZ"/>
        </w:rPr>
        <w:t xml:space="preserve">Mohlo by to být užitečné v případě posuzování vlivů na životní prostředí s cílem zlepšit </w:t>
      </w:r>
      <w:r w:rsidRPr="00ED3950">
        <w:rPr>
          <w:rFonts w:eastAsia="Calibri" w:cs="Arial"/>
          <w:lang w:val="cs-CZ"/>
        </w:rPr>
        <w:t>pokrytí</w:t>
      </w:r>
      <w:r w:rsidRPr="00ED3950">
        <w:rPr>
          <w:rFonts w:eastAsia="Calibri" w:cs="Arial"/>
          <w:lang w:val="cs-CZ"/>
        </w:rPr>
        <w:t xml:space="preserve"> klimatu.</w:t>
      </w:r>
      <w:r w:rsidRPr="00ED3950">
        <w:rPr>
          <w:rFonts w:eastAsia="Calibri" w:cs="Arial"/>
          <w:lang w:val="cs-CZ"/>
        </w:rPr>
        <w:t xml:space="preserve"> O této možnosti se stále diskutuje.</w:t>
      </w:r>
    </w:p>
    <w:p w:rsidR="005840C5" w:rsidRPr="00ED3950" w:rsidRDefault="00ED3950">
      <w:pPr>
        <w:rPr>
          <w:rFonts w:eastAsia="Calibri" w:cs="Arial"/>
          <w:szCs w:val="18"/>
          <w:lang w:val="cs-CZ"/>
        </w:rPr>
      </w:pPr>
      <w:proofErr w:type="spellStart"/>
      <w:r w:rsidRPr="00ED3950">
        <w:rPr>
          <w:rFonts w:eastAsia="Calibri" w:cs="Arial"/>
          <w:b/>
          <w:bCs/>
          <w:color w:val="2998FF"/>
          <w:szCs w:val="18"/>
          <w:lang w:val="cs-CZ"/>
        </w:rPr>
        <w:t>Kr</w:t>
      </w:r>
      <w:r w:rsidRPr="00ED3950">
        <w:rPr>
          <w:rFonts w:eastAsia="Calibri" w:cs="Arial"/>
          <w:b/>
          <w:bCs/>
          <w:color w:val="2998FF"/>
          <w:szCs w:val="18"/>
          <w:lang w:val="cs-CZ"/>
        </w:rPr>
        <w:t>istína</w:t>
      </w:r>
      <w:proofErr w:type="spellEnd"/>
      <w:r w:rsidRPr="00ED3950">
        <w:rPr>
          <w:rFonts w:eastAsia="Calibri" w:cs="Arial"/>
          <w:b/>
          <w:bCs/>
          <w:color w:val="2998FF"/>
          <w:szCs w:val="18"/>
          <w:lang w:val="cs-CZ"/>
        </w:rPr>
        <w:t xml:space="preserve"> </w:t>
      </w:r>
      <w:proofErr w:type="spellStart"/>
      <w:r w:rsidRPr="00ED3950">
        <w:rPr>
          <w:rFonts w:eastAsia="Calibri" w:cs="Arial"/>
          <w:b/>
          <w:bCs/>
          <w:color w:val="2998FF"/>
          <w:szCs w:val="18"/>
          <w:lang w:val="cs-CZ"/>
        </w:rPr>
        <w:t>Korčeková</w:t>
      </w:r>
      <w:proofErr w:type="spellEnd"/>
      <w:r w:rsidRPr="00ED3950">
        <w:rPr>
          <w:rFonts w:eastAsia="Calibri" w:cs="Arial"/>
          <w:b/>
          <w:bCs/>
          <w:color w:val="2998FF"/>
          <w:szCs w:val="18"/>
          <w:lang w:val="cs-CZ"/>
        </w:rPr>
        <w:t xml:space="preserve">: </w:t>
      </w:r>
      <w:r w:rsidRPr="00ED3950">
        <w:rPr>
          <w:rFonts w:eastAsia="Calibri" w:cs="Arial"/>
          <w:szCs w:val="18"/>
          <w:lang w:val="cs-CZ"/>
        </w:rPr>
        <w:t xml:space="preserve">Některé aspekty, </w:t>
      </w:r>
      <w:r w:rsidRPr="00ED3950">
        <w:rPr>
          <w:rFonts w:eastAsia="Calibri" w:cs="Arial"/>
          <w:szCs w:val="18"/>
          <w:lang w:val="cs-CZ"/>
        </w:rPr>
        <w:t>jako například 70 % recyklace odpadu, již byly promítnuty do vnitrostátního práva (od technických podmínek po zákonný požadavek). K dalším podobným změnám může dojít i v souvislosti s jinými kritérii.</w:t>
      </w:r>
    </w:p>
    <w:p w:rsidR="00C52545" w:rsidRPr="00ED3950" w:rsidRDefault="00C52545" w:rsidP="00C52545">
      <w:pPr>
        <w:rPr>
          <w:rFonts w:eastAsia="Calibri" w:cs="Arial"/>
          <w:lang w:val="cs-CZ"/>
        </w:rPr>
      </w:pPr>
    </w:p>
    <w:p w:rsidR="005840C5" w:rsidRPr="00ED3950" w:rsidRDefault="00ED3950">
      <w:pPr>
        <w:rPr>
          <w:rFonts w:eastAsia="Calibri" w:cs="Arial"/>
          <w:lang w:val="cs-CZ"/>
        </w:rPr>
      </w:pPr>
      <w:r w:rsidRPr="00ED3950">
        <w:rPr>
          <w:rFonts w:eastAsia="Calibri" w:cs="Arial"/>
          <w:b/>
          <w:bCs/>
          <w:color w:val="F04E30"/>
          <w:lang w:val="cs-CZ"/>
        </w:rPr>
        <w:t>Projektový tým</w:t>
      </w:r>
      <w:r w:rsidRPr="00ED3950">
        <w:rPr>
          <w:rFonts w:eastAsia="Calibri" w:cs="Arial"/>
          <w:lang w:val="cs-CZ"/>
        </w:rPr>
        <w:t xml:space="preserve">: Předložené přístupy naznačují nerovnoměrnou úroveň integrity mezi podrobným/zjednodušeným hodnocením. Jaká by byla </w:t>
      </w:r>
      <w:r w:rsidRPr="00ED3950">
        <w:rPr>
          <w:rFonts w:eastAsia="Calibri" w:cs="Arial"/>
          <w:i/>
          <w:lang w:val="cs-CZ"/>
        </w:rPr>
        <w:t xml:space="preserve">absolutní </w:t>
      </w:r>
      <w:r w:rsidRPr="00ED3950">
        <w:rPr>
          <w:rFonts w:eastAsia="Calibri" w:cs="Arial"/>
          <w:lang w:val="cs-CZ"/>
        </w:rPr>
        <w:t>přijatelná úroveň?</w:t>
      </w:r>
    </w:p>
    <w:p w:rsidR="005840C5" w:rsidRPr="00ED3950" w:rsidRDefault="00ED3950">
      <w:pPr>
        <w:rPr>
          <w:rFonts w:eastAsia="Calibri" w:cs="Arial"/>
          <w:lang w:val="cs-CZ"/>
        </w:rPr>
      </w:pPr>
      <w:r w:rsidRPr="00ED3950">
        <w:rPr>
          <w:rFonts w:eastAsia="Calibri" w:cs="Arial"/>
          <w:b/>
          <w:bCs/>
          <w:color w:val="2998FF"/>
          <w:lang w:val="cs-CZ"/>
        </w:rPr>
        <w:t xml:space="preserve">Emma </w:t>
      </w:r>
      <w:proofErr w:type="spellStart"/>
      <w:r w:rsidRPr="00ED3950">
        <w:rPr>
          <w:rFonts w:eastAsia="Calibri" w:cs="Arial"/>
          <w:b/>
          <w:bCs/>
          <w:color w:val="2998FF"/>
          <w:lang w:val="cs-CZ"/>
        </w:rPr>
        <w:t>Terämä</w:t>
      </w:r>
      <w:proofErr w:type="spellEnd"/>
      <w:r w:rsidRPr="00ED3950">
        <w:rPr>
          <w:rFonts w:eastAsia="Calibri" w:cs="Arial"/>
          <w:lang w:val="cs-CZ"/>
        </w:rPr>
        <w:t>: Při zahájení RRF byl Institut životního prostředí požádán, aby vyjasnil, jaké budou úrovně integr</w:t>
      </w:r>
      <w:r w:rsidRPr="00ED3950">
        <w:rPr>
          <w:rFonts w:eastAsia="Calibri" w:cs="Arial"/>
          <w:lang w:val="cs-CZ"/>
        </w:rPr>
        <w:t xml:space="preserve">ity pro jednotlivé sektory (tj. jaké aspekty a výklad jsou potřebné pro uplatnění zásady DNSH v jednotlivých sektorech). To vedlo k přípravě pokynů, které se částečně opírají o vnitrostátní </w:t>
      </w:r>
      <w:r w:rsidRPr="00ED3950">
        <w:rPr>
          <w:rFonts w:eastAsia="Calibri" w:cs="Arial"/>
          <w:lang w:val="cs-CZ"/>
        </w:rPr>
        <w:lastRenderedPageBreak/>
        <w:t xml:space="preserve">právní předpisy. Nyní, když je zásada DNSH </w:t>
      </w:r>
      <w:r w:rsidRPr="00ED3950">
        <w:rPr>
          <w:rFonts w:eastAsia="Calibri" w:cs="Arial"/>
          <w:lang w:val="cs-CZ"/>
        </w:rPr>
        <w:t>postupně začleňována do</w:t>
      </w:r>
      <w:r w:rsidRPr="00ED3950">
        <w:rPr>
          <w:rFonts w:eastAsia="Calibri" w:cs="Arial"/>
          <w:lang w:val="cs-CZ"/>
        </w:rPr>
        <w:t xml:space="preserve"> vnitrostátních právních předpisů, se otázka zužuje na potřebu objasnit zásadu DNSH všem tvůrcům projektů. To je obzvláště ošemetné, protože TSC taxonomie se vyvíjejí - to se původně neočekávalo.</w:t>
      </w:r>
    </w:p>
    <w:p w:rsidR="005840C5" w:rsidRPr="00ED3950" w:rsidRDefault="00ED3950">
      <w:pPr>
        <w:rPr>
          <w:rFonts w:eastAsia="Calibri" w:cs="Arial"/>
          <w:lang w:val="cs-CZ"/>
        </w:rPr>
      </w:pPr>
      <w:r w:rsidRPr="00ED3950">
        <w:rPr>
          <w:rFonts w:eastAsia="Calibri" w:cs="Arial"/>
          <w:lang w:val="cs-CZ"/>
        </w:rPr>
        <w:t xml:space="preserve">V širším měřítku by se mělo uvažovat o zdůvodnění/objasnění toho, kdy použít zásadu DNSH, s ohledem na potřeby a možnosti koncového uživatele. Zaprvé by mohla být použita ke zvýšení informovanosti; zadruhé by mohla být použita k zajištění toho, že </w:t>
      </w:r>
      <w:r w:rsidRPr="00ED3950">
        <w:rPr>
          <w:rFonts w:eastAsia="Calibri" w:cs="Arial"/>
          <w:lang w:val="cs-CZ"/>
        </w:rPr>
        <w:t xml:space="preserve">nedojde </w:t>
      </w:r>
      <w:r w:rsidRPr="00ED3950">
        <w:rPr>
          <w:rFonts w:eastAsia="Calibri" w:cs="Arial"/>
          <w:lang w:val="cs-CZ"/>
        </w:rPr>
        <w:t xml:space="preserve">k významné újmě. Vnitrostátní prahové hodnoty již existují a měly by být uvedeny v pokynech. </w:t>
      </w:r>
    </w:p>
    <w:p w:rsidR="00C52545" w:rsidRPr="00ED3950" w:rsidRDefault="00C52545" w:rsidP="00C52545">
      <w:pPr>
        <w:rPr>
          <w:rFonts w:eastAsia="Calibri" w:cs="Arial"/>
          <w:lang w:val="cs-CZ"/>
        </w:rPr>
      </w:pPr>
    </w:p>
    <w:p w:rsidR="005840C5" w:rsidRPr="00ED3950" w:rsidRDefault="00ED3950">
      <w:pPr>
        <w:rPr>
          <w:rFonts w:eastAsia="Calibri" w:cs="Arial"/>
          <w:lang w:val="cs-CZ"/>
        </w:rPr>
      </w:pPr>
      <w:r w:rsidRPr="00ED3950">
        <w:rPr>
          <w:rFonts w:eastAsia="Calibri" w:cs="Arial"/>
          <w:b/>
          <w:bCs/>
          <w:color w:val="F04E30"/>
          <w:lang w:val="cs-CZ"/>
        </w:rPr>
        <w:t>Projektový tým</w:t>
      </w:r>
      <w:r w:rsidRPr="00ED3950">
        <w:rPr>
          <w:rFonts w:eastAsia="Calibri" w:cs="Arial"/>
          <w:lang w:val="cs-CZ"/>
        </w:rPr>
        <w:t xml:space="preserve">: Jaké postupy lze použít </w:t>
      </w:r>
      <w:r w:rsidRPr="00ED3950">
        <w:rPr>
          <w:rFonts w:eastAsia="Calibri" w:cs="Arial"/>
          <w:lang w:val="cs-CZ"/>
        </w:rPr>
        <w:t xml:space="preserve">nebo </w:t>
      </w:r>
      <w:r w:rsidRPr="00ED3950">
        <w:rPr>
          <w:rFonts w:eastAsia="Calibri" w:cs="Arial"/>
          <w:lang w:val="cs-CZ"/>
        </w:rPr>
        <w:t>zlepšit, aby se zabránilo administrativní zátěži?</w:t>
      </w:r>
    </w:p>
    <w:p w:rsidR="005840C5" w:rsidRPr="00ED3950" w:rsidRDefault="00ED3950">
      <w:pPr>
        <w:rPr>
          <w:rFonts w:eastAsia="Calibri" w:cs="Arial"/>
          <w:szCs w:val="18"/>
          <w:lang w:val="cs-CZ"/>
        </w:rPr>
      </w:pPr>
      <w:proofErr w:type="spellStart"/>
      <w:r w:rsidRPr="00ED3950">
        <w:rPr>
          <w:rFonts w:eastAsia="Calibri" w:cs="Arial"/>
          <w:b/>
          <w:bCs/>
          <w:color w:val="2998FF"/>
          <w:szCs w:val="18"/>
          <w:lang w:val="cs-CZ"/>
        </w:rPr>
        <w:t>Kristína</w:t>
      </w:r>
      <w:proofErr w:type="spellEnd"/>
      <w:r w:rsidRPr="00ED3950">
        <w:rPr>
          <w:rFonts w:eastAsia="Calibri" w:cs="Arial"/>
          <w:b/>
          <w:bCs/>
          <w:color w:val="2998FF"/>
          <w:szCs w:val="18"/>
          <w:lang w:val="cs-CZ"/>
        </w:rPr>
        <w:t xml:space="preserve"> </w:t>
      </w:r>
      <w:proofErr w:type="spellStart"/>
      <w:r w:rsidRPr="00ED3950">
        <w:rPr>
          <w:rFonts w:eastAsia="Calibri" w:cs="Arial"/>
          <w:b/>
          <w:bCs/>
          <w:color w:val="2998FF"/>
          <w:szCs w:val="18"/>
          <w:lang w:val="cs-CZ"/>
        </w:rPr>
        <w:t>Korčeková</w:t>
      </w:r>
      <w:proofErr w:type="spellEnd"/>
      <w:r w:rsidRPr="00ED3950">
        <w:rPr>
          <w:rFonts w:eastAsia="Calibri" w:cs="Arial"/>
          <w:color w:val="2998FF"/>
          <w:szCs w:val="18"/>
          <w:lang w:val="cs-CZ"/>
        </w:rPr>
        <w:t xml:space="preserve">: </w:t>
      </w:r>
      <w:r w:rsidRPr="00ED3950">
        <w:rPr>
          <w:rFonts w:eastAsia="Calibri" w:cs="Arial"/>
          <w:szCs w:val="18"/>
          <w:lang w:val="cs-CZ"/>
        </w:rPr>
        <w:t xml:space="preserve">Při navrhování procesů je </w:t>
      </w:r>
      <w:r w:rsidRPr="00ED3950">
        <w:rPr>
          <w:rFonts w:eastAsia="Calibri" w:cs="Arial"/>
          <w:szCs w:val="18"/>
          <w:lang w:val="cs-CZ"/>
        </w:rPr>
        <w:t>důležité ponechat pr</w:t>
      </w:r>
      <w:r w:rsidRPr="00ED3950">
        <w:rPr>
          <w:rFonts w:eastAsia="Calibri" w:cs="Arial"/>
          <w:szCs w:val="18"/>
          <w:lang w:val="cs-CZ"/>
        </w:rPr>
        <w:t xml:space="preserve">ostor pro </w:t>
      </w:r>
      <w:r w:rsidRPr="00ED3950">
        <w:rPr>
          <w:rFonts w:eastAsia="Calibri" w:cs="Arial"/>
          <w:szCs w:val="18"/>
          <w:lang w:val="cs-CZ"/>
        </w:rPr>
        <w:t>interpretaci. Vzhledem k tomu, že politika DNSH již zakazuje škodlivé činnosti, je nejlepší proces zjednodušit. Politika DNSH by navíc neměla být konečným cílem a neměla by bránit dobrým investicím, proto by měla být flexibilní. Při zvažování pot</w:t>
      </w:r>
      <w:r w:rsidRPr="00ED3950">
        <w:rPr>
          <w:rFonts w:eastAsia="Calibri" w:cs="Arial"/>
          <w:szCs w:val="18"/>
          <w:lang w:val="cs-CZ"/>
        </w:rPr>
        <w:t>enciálních těžebních projektů je například zásadní mít na paměti, že alternativou je získávání těchto materiálů ze zemí mimo EU, kde jsou environmentální standardy často nízké. Vytvoření ochranných opatření v takových případech může být dobrou strategií pr</w:t>
      </w:r>
      <w:r w:rsidRPr="00ED3950">
        <w:rPr>
          <w:rFonts w:eastAsia="Calibri" w:cs="Arial"/>
          <w:szCs w:val="18"/>
          <w:lang w:val="cs-CZ"/>
        </w:rPr>
        <w:t xml:space="preserve">o zmírnění případného negativního </w:t>
      </w:r>
      <w:r w:rsidRPr="00ED3950">
        <w:rPr>
          <w:rFonts w:eastAsia="Calibri" w:cs="Arial"/>
          <w:szCs w:val="18"/>
          <w:lang w:val="cs-CZ"/>
        </w:rPr>
        <w:t xml:space="preserve">dopadu na </w:t>
      </w:r>
      <w:r w:rsidRPr="00ED3950">
        <w:rPr>
          <w:rFonts w:eastAsia="Calibri" w:cs="Arial"/>
          <w:szCs w:val="18"/>
          <w:lang w:val="cs-CZ"/>
        </w:rPr>
        <w:t>životní prostředí</w:t>
      </w:r>
      <w:r w:rsidRPr="00ED3950">
        <w:rPr>
          <w:rFonts w:eastAsia="Calibri" w:cs="Arial"/>
          <w:szCs w:val="18"/>
          <w:lang w:val="cs-CZ"/>
        </w:rPr>
        <w:t>. Je také velmi důležité určit, kdo je odpovědný za zajištění souladu, ať už na úrovni státu nebo ministerstva.</w:t>
      </w:r>
    </w:p>
    <w:p w:rsidR="00C52545" w:rsidRPr="00ED3950" w:rsidRDefault="00C52545" w:rsidP="00C52545">
      <w:pPr>
        <w:rPr>
          <w:rFonts w:eastAsia="Calibri" w:cs="Arial"/>
          <w:lang w:val="cs-CZ"/>
        </w:rPr>
      </w:pPr>
    </w:p>
    <w:p w:rsidR="005840C5" w:rsidRPr="00ED3950" w:rsidRDefault="00ED3950">
      <w:pPr>
        <w:rPr>
          <w:rFonts w:eastAsia="Calibri" w:cs="Arial"/>
          <w:lang w:val="cs-CZ"/>
        </w:rPr>
      </w:pPr>
      <w:r w:rsidRPr="00ED3950">
        <w:rPr>
          <w:rFonts w:eastAsia="Calibri" w:cs="Arial"/>
          <w:b/>
          <w:bCs/>
          <w:color w:val="F04E30"/>
          <w:lang w:val="cs-CZ"/>
        </w:rPr>
        <w:t>Projektový tým</w:t>
      </w:r>
      <w:r w:rsidRPr="00ED3950">
        <w:rPr>
          <w:rFonts w:eastAsia="Calibri" w:cs="Arial"/>
          <w:lang w:val="cs-CZ"/>
        </w:rPr>
        <w:t>: Jak se vypořádat s různými prioritami a zároveň zachovat uživatels</w:t>
      </w:r>
      <w:r w:rsidRPr="00ED3950">
        <w:rPr>
          <w:rFonts w:eastAsia="Calibri" w:cs="Arial"/>
          <w:lang w:val="cs-CZ"/>
        </w:rPr>
        <w:t>ky přívětivý systém?</w:t>
      </w:r>
    </w:p>
    <w:p w:rsidR="005840C5" w:rsidRPr="00ED3950" w:rsidRDefault="00ED3950">
      <w:pPr>
        <w:rPr>
          <w:rFonts w:eastAsia="Calibri" w:cs="Arial"/>
          <w:szCs w:val="18"/>
          <w:lang w:val="cs-CZ"/>
        </w:rPr>
      </w:pPr>
      <w:r w:rsidRPr="00ED3950">
        <w:rPr>
          <w:rFonts w:eastAsia="Calibri" w:cs="Arial"/>
          <w:b/>
          <w:bCs/>
          <w:color w:val="2998FF"/>
          <w:szCs w:val="18"/>
          <w:lang w:val="cs-CZ"/>
        </w:rPr>
        <w:t>Jan Hlaváček</w:t>
      </w:r>
      <w:r w:rsidRPr="00ED3950">
        <w:rPr>
          <w:rFonts w:eastAsia="Calibri" w:cs="Arial"/>
          <w:szCs w:val="18"/>
          <w:lang w:val="cs-CZ"/>
        </w:rPr>
        <w:t>: Hlaváček: Jednou z hlavních priorit je zajistit, aby požadavky byly pro koncové uživatele jasné. To znamená, že kritéria by se měla zaměřit na priority jednotlivých odvětví.</w:t>
      </w:r>
    </w:p>
    <w:p w:rsidR="00C52545" w:rsidRPr="00ED3950" w:rsidRDefault="00C52545" w:rsidP="00C52545">
      <w:pPr>
        <w:rPr>
          <w:rFonts w:eastAsia="Calibri" w:cs="Arial"/>
          <w:lang w:val="cs-CZ"/>
        </w:rPr>
      </w:pPr>
    </w:p>
    <w:p w:rsidR="005840C5" w:rsidRPr="00ED3950" w:rsidRDefault="00ED3950">
      <w:pPr>
        <w:rPr>
          <w:rFonts w:eastAsia="Calibri" w:cs="Arial"/>
          <w:lang w:val="cs-CZ"/>
        </w:rPr>
      </w:pPr>
      <w:r w:rsidRPr="00ED3950">
        <w:rPr>
          <w:rFonts w:eastAsia="Calibri" w:cs="Arial"/>
          <w:b/>
          <w:bCs/>
          <w:color w:val="F04E30"/>
          <w:lang w:val="cs-CZ"/>
        </w:rPr>
        <w:t>Projektový tým</w:t>
      </w:r>
      <w:r w:rsidRPr="00ED3950">
        <w:rPr>
          <w:rFonts w:eastAsia="Calibri" w:cs="Arial"/>
          <w:lang w:val="cs-CZ"/>
        </w:rPr>
        <w:t xml:space="preserve">: Existují nějaké rozdíly mezi </w:t>
      </w:r>
      <w:r w:rsidRPr="00ED3950">
        <w:rPr>
          <w:rFonts w:eastAsia="Calibri" w:cs="Arial"/>
          <w:lang w:val="cs-CZ"/>
        </w:rPr>
        <w:t>f</w:t>
      </w:r>
      <w:r w:rsidRPr="00ED3950">
        <w:rPr>
          <w:rFonts w:eastAsia="Calibri" w:cs="Arial"/>
          <w:lang w:val="cs-CZ"/>
        </w:rPr>
        <w:t xml:space="preserve">inančními nástroji </w:t>
      </w:r>
      <w:r w:rsidRPr="00ED3950">
        <w:rPr>
          <w:rFonts w:eastAsia="Calibri" w:cs="Arial"/>
          <w:lang w:val="cs-CZ"/>
        </w:rPr>
        <w:t>a jinými investicemi?</w:t>
      </w:r>
    </w:p>
    <w:p w:rsidR="005840C5" w:rsidRPr="00ED3950" w:rsidRDefault="00ED3950">
      <w:pPr>
        <w:rPr>
          <w:rFonts w:eastAsia="Calibri" w:cs="Arial"/>
          <w:lang w:val="cs-CZ"/>
        </w:rPr>
      </w:pPr>
      <w:r w:rsidRPr="00ED3950">
        <w:rPr>
          <w:rFonts w:eastAsia="Calibri" w:cs="Arial"/>
          <w:b/>
          <w:color w:val="2998FF"/>
          <w:lang w:val="cs-CZ"/>
        </w:rPr>
        <w:t xml:space="preserve">Jan </w:t>
      </w:r>
      <w:r w:rsidRPr="00ED3950">
        <w:rPr>
          <w:rFonts w:eastAsia="Calibri" w:cs="Arial"/>
          <w:b/>
          <w:bCs/>
          <w:color w:val="2998FF"/>
          <w:lang w:val="cs-CZ"/>
        </w:rPr>
        <w:t>Hlaváček</w:t>
      </w:r>
      <w:r w:rsidRPr="00ED3950">
        <w:rPr>
          <w:rFonts w:eastAsia="Calibri" w:cs="Arial"/>
          <w:lang w:val="cs-CZ"/>
        </w:rPr>
        <w:t>: Hlaváček: V rámci JTF bude zahájena půjčka. Přístup je stejný. Existují technické podmínky, které musí splnit konečný uživatel. Vzhledem k tomu, že administrativní zátěž je ještě větší než u grantů, jsou zahrnuty pouze nejdůležitější podmínky (tj. bez úp</w:t>
      </w:r>
      <w:r w:rsidRPr="00ED3950">
        <w:rPr>
          <w:rFonts w:eastAsia="Calibri" w:cs="Arial"/>
          <w:lang w:val="cs-CZ"/>
        </w:rPr>
        <w:t>lného posouzení).</w:t>
      </w:r>
    </w:p>
    <w:p w:rsidR="005840C5" w:rsidRPr="00ED3950" w:rsidRDefault="00ED3950">
      <w:pPr>
        <w:rPr>
          <w:rFonts w:eastAsia="Calibri" w:cs="Arial"/>
          <w:szCs w:val="18"/>
          <w:lang w:val="cs-CZ"/>
        </w:rPr>
      </w:pPr>
      <w:proofErr w:type="spellStart"/>
      <w:r w:rsidRPr="00ED3950">
        <w:rPr>
          <w:rFonts w:eastAsia="Calibri" w:cs="Arial"/>
          <w:b/>
          <w:bCs/>
          <w:color w:val="2998FF"/>
          <w:szCs w:val="18"/>
          <w:lang w:val="cs-CZ"/>
        </w:rPr>
        <w:t>Moritz</w:t>
      </w:r>
      <w:proofErr w:type="spellEnd"/>
      <w:r w:rsidRPr="00ED3950">
        <w:rPr>
          <w:rFonts w:eastAsia="Calibri" w:cs="Arial"/>
          <w:b/>
          <w:bCs/>
          <w:color w:val="2998FF"/>
          <w:szCs w:val="18"/>
          <w:lang w:val="cs-CZ"/>
        </w:rPr>
        <w:t xml:space="preserve"> Schwarz</w:t>
      </w:r>
      <w:r w:rsidRPr="00ED3950">
        <w:rPr>
          <w:rFonts w:eastAsia="Calibri" w:cs="Arial"/>
          <w:szCs w:val="18"/>
          <w:lang w:val="cs-CZ"/>
        </w:rPr>
        <w:t>: Správní řízení se liší</w:t>
      </w:r>
      <w:r w:rsidRPr="00ED3950">
        <w:rPr>
          <w:rFonts w:eastAsia="Calibri" w:cs="Arial"/>
          <w:szCs w:val="18"/>
          <w:lang w:val="cs-CZ"/>
        </w:rPr>
        <w:t xml:space="preserve">. Zásada a její výklad by měly být co nejvíce sjednoceny. </w:t>
      </w:r>
      <w:r w:rsidRPr="00ED3950">
        <w:rPr>
          <w:rFonts w:eastAsia="Calibri" w:cs="Arial"/>
          <w:szCs w:val="18"/>
          <w:lang w:val="cs-CZ"/>
        </w:rPr>
        <w:t>Výsledek a obecné směřování by neměly záviset na použitém nástroji podpory zúčastněných stran, zejména pokud je cílem, aby zásada DNSH přinesl</w:t>
      </w:r>
      <w:r w:rsidRPr="00ED3950">
        <w:rPr>
          <w:rFonts w:eastAsia="Calibri" w:cs="Arial"/>
          <w:szCs w:val="18"/>
          <w:lang w:val="cs-CZ"/>
        </w:rPr>
        <w:t>a dopad v dlouhodobém horizontu. Je zapotřebí transparentnost této politiky (v případě, že DNSH není zajištěna, je zapotřebí silné politické zdůvodnění, např. nákup plynu v době energetické krize). V konečném důsledku musí být všechny politiky v souladu se</w:t>
      </w:r>
      <w:r w:rsidRPr="00ED3950">
        <w:rPr>
          <w:rFonts w:eastAsia="Calibri" w:cs="Arial"/>
          <w:szCs w:val="18"/>
          <w:lang w:val="cs-CZ"/>
        </w:rPr>
        <w:t xml:space="preserve"> zásadou DNSH - její provádění je otázkou výkladu, </w:t>
      </w:r>
      <w:r w:rsidRPr="00ED3950">
        <w:rPr>
          <w:rFonts w:eastAsia="Calibri" w:cs="Arial"/>
          <w:szCs w:val="18"/>
          <w:lang w:val="cs-CZ"/>
        </w:rPr>
        <w:t xml:space="preserve">nikoliv však </w:t>
      </w:r>
      <w:r w:rsidRPr="00ED3950">
        <w:rPr>
          <w:rFonts w:eastAsia="Calibri" w:cs="Arial"/>
          <w:szCs w:val="18"/>
          <w:lang w:val="cs-CZ"/>
        </w:rPr>
        <w:t>její závaznosti.</w:t>
      </w:r>
    </w:p>
    <w:p w:rsidR="00C52545" w:rsidRPr="00ED3950" w:rsidRDefault="00C52545" w:rsidP="00C52545">
      <w:pPr>
        <w:rPr>
          <w:rFonts w:eastAsia="Calibri" w:cs="Arial"/>
          <w:lang w:val="cs-CZ"/>
        </w:rPr>
      </w:pPr>
    </w:p>
    <w:p w:rsidR="005840C5" w:rsidRPr="00ED3950" w:rsidRDefault="00ED3950">
      <w:pPr>
        <w:rPr>
          <w:rFonts w:eastAsia="Calibri" w:cs="Arial"/>
          <w:lang w:val="cs-CZ"/>
        </w:rPr>
      </w:pPr>
      <w:r w:rsidRPr="00ED3950">
        <w:rPr>
          <w:rFonts w:eastAsia="Calibri" w:cs="Arial"/>
          <w:b/>
          <w:bCs/>
          <w:color w:val="F04E30"/>
          <w:lang w:val="cs-CZ"/>
        </w:rPr>
        <w:t>Projektový tým</w:t>
      </w:r>
      <w:r w:rsidRPr="00ED3950">
        <w:rPr>
          <w:rFonts w:eastAsia="Calibri" w:cs="Arial"/>
          <w:lang w:val="cs-CZ"/>
        </w:rPr>
        <w:t xml:space="preserve">: Pomohly by legislativní změny ke zjednodušení posuzování DNSH vzhledem k tomu, že </w:t>
      </w:r>
      <w:r w:rsidRPr="00ED3950">
        <w:rPr>
          <w:rFonts w:eastAsia="Calibri" w:cs="Arial"/>
          <w:lang w:val="cs-CZ"/>
        </w:rPr>
        <w:t xml:space="preserve">princip </w:t>
      </w:r>
      <w:r w:rsidRPr="00ED3950">
        <w:rPr>
          <w:rFonts w:eastAsia="Calibri" w:cs="Arial"/>
          <w:lang w:val="cs-CZ"/>
        </w:rPr>
        <w:t>DNSH je zde i nadále a v budoucnu se může rozšířit?</w:t>
      </w:r>
    </w:p>
    <w:p w:rsidR="005840C5" w:rsidRPr="00ED3950" w:rsidRDefault="00ED3950">
      <w:pPr>
        <w:rPr>
          <w:rFonts w:eastAsia="Calibri" w:cs="Arial"/>
          <w:lang w:val="cs-CZ"/>
        </w:rPr>
      </w:pPr>
      <w:proofErr w:type="spellStart"/>
      <w:r w:rsidRPr="00ED3950">
        <w:rPr>
          <w:rFonts w:eastAsia="Calibri" w:cs="Arial"/>
          <w:b/>
          <w:color w:val="2998FF"/>
          <w:lang w:val="cs-CZ"/>
        </w:rPr>
        <w:t>Moritz</w:t>
      </w:r>
      <w:proofErr w:type="spellEnd"/>
      <w:r w:rsidRPr="00ED3950">
        <w:rPr>
          <w:rFonts w:eastAsia="Calibri" w:cs="Arial"/>
          <w:b/>
          <w:color w:val="2998FF"/>
          <w:lang w:val="cs-CZ"/>
        </w:rPr>
        <w:t xml:space="preserve"> Schwarz</w:t>
      </w:r>
      <w:r w:rsidRPr="00ED3950">
        <w:rPr>
          <w:rFonts w:eastAsia="Calibri" w:cs="Arial"/>
          <w:b/>
          <w:bCs/>
          <w:lang w:val="cs-CZ"/>
        </w:rPr>
        <w:t xml:space="preserve">: </w:t>
      </w:r>
      <w:r w:rsidRPr="00ED3950">
        <w:rPr>
          <w:rFonts w:eastAsia="Calibri" w:cs="Arial"/>
          <w:lang w:val="cs-CZ"/>
        </w:rPr>
        <w:t xml:space="preserve">Očekává se, že politika bude v příštích 10-15 letech stále složitější. To </w:t>
      </w:r>
      <w:r w:rsidRPr="00ED3950">
        <w:rPr>
          <w:rFonts w:eastAsia="Calibri" w:cs="Arial"/>
          <w:lang w:val="cs-CZ"/>
        </w:rPr>
        <w:t>by mohl být případ legislativy týkající se RRF. Otázkou je, zda to byl nejlepší postup.</w:t>
      </w:r>
    </w:p>
    <w:p w:rsidR="005840C5" w:rsidRPr="00ED3950" w:rsidRDefault="00ED3950">
      <w:pPr>
        <w:rPr>
          <w:rFonts w:eastAsia="Calibri" w:cs="Arial"/>
          <w:lang w:val="cs-CZ"/>
        </w:rPr>
      </w:pPr>
      <w:r w:rsidRPr="00ED3950">
        <w:rPr>
          <w:rFonts w:eastAsia="Calibri" w:cs="Arial"/>
          <w:b/>
          <w:bCs/>
          <w:color w:val="2998FF"/>
          <w:lang w:val="cs-CZ"/>
        </w:rPr>
        <w:t xml:space="preserve">Emma </w:t>
      </w:r>
      <w:proofErr w:type="spellStart"/>
      <w:r w:rsidRPr="00ED3950">
        <w:rPr>
          <w:rFonts w:eastAsia="Calibri" w:cs="Arial"/>
          <w:b/>
          <w:bCs/>
          <w:color w:val="2998FF"/>
          <w:lang w:val="cs-CZ"/>
        </w:rPr>
        <w:t>Terämä</w:t>
      </w:r>
      <w:proofErr w:type="spellEnd"/>
      <w:r w:rsidRPr="00ED3950">
        <w:rPr>
          <w:rFonts w:eastAsia="Calibri" w:cs="Arial"/>
          <w:b/>
          <w:bCs/>
          <w:lang w:val="cs-CZ"/>
        </w:rPr>
        <w:t>:</w:t>
      </w:r>
      <w:r w:rsidRPr="00ED3950">
        <w:rPr>
          <w:rFonts w:eastAsia="Calibri" w:cs="Arial"/>
          <w:lang w:val="cs-CZ"/>
        </w:rPr>
        <w:t xml:space="preserve"> Transparentnost je zásadní a všechny vládní výdaje musí být v souladu s předpisy </w:t>
      </w:r>
      <w:r w:rsidRPr="00ED3950">
        <w:rPr>
          <w:rFonts w:eastAsia="Calibri" w:cs="Arial"/>
          <w:lang w:val="cs-CZ"/>
        </w:rPr>
        <w:t xml:space="preserve">DNSH. Při analýze různých cílů v oblasti životního prostředí je však nezbytné najít společnou řeč. Ministerstvo může upřednostnit své úsilí o dosažení cílů udržitelného rozvoje tím, že identifikuje "špatné" investice a jejich dopad na životní prostředí. V </w:t>
      </w:r>
      <w:r w:rsidRPr="00ED3950">
        <w:rPr>
          <w:rFonts w:eastAsia="Calibri" w:cs="Arial"/>
          <w:lang w:val="cs-CZ"/>
        </w:rPr>
        <w:t>důsledku toho je zásadní zajistit, aby proces identifikace špatných investic byl otevřený a transparentní.</w:t>
      </w:r>
    </w:p>
    <w:p w:rsidR="005840C5" w:rsidRPr="00ED3950" w:rsidRDefault="00ED3950">
      <w:pPr>
        <w:rPr>
          <w:rFonts w:eastAsia="Calibri" w:cs="Arial"/>
          <w:szCs w:val="18"/>
          <w:lang w:val="cs-CZ"/>
        </w:rPr>
      </w:pPr>
      <w:proofErr w:type="spellStart"/>
      <w:r w:rsidRPr="00ED3950">
        <w:rPr>
          <w:rFonts w:eastAsia="Calibri" w:cs="Arial"/>
          <w:b/>
          <w:bCs/>
          <w:color w:val="2998FF"/>
          <w:szCs w:val="18"/>
          <w:lang w:val="cs-CZ"/>
        </w:rPr>
        <w:t>Kristína</w:t>
      </w:r>
      <w:proofErr w:type="spellEnd"/>
      <w:r w:rsidRPr="00ED3950">
        <w:rPr>
          <w:rFonts w:eastAsia="Calibri" w:cs="Arial"/>
          <w:b/>
          <w:bCs/>
          <w:color w:val="2998FF"/>
          <w:szCs w:val="18"/>
          <w:lang w:val="cs-CZ"/>
        </w:rPr>
        <w:t xml:space="preserve"> </w:t>
      </w:r>
      <w:proofErr w:type="spellStart"/>
      <w:r w:rsidRPr="00ED3950">
        <w:rPr>
          <w:rFonts w:eastAsia="Calibri" w:cs="Arial"/>
          <w:b/>
          <w:bCs/>
          <w:color w:val="2998FF"/>
          <w:szCs w:val="18"/>
          <w:lang w:val="cs-CZ"/>
        </w:rPr>
        <w:t>Korčeková</w:t>
      </w:r>
      <w:proofErr w:type="spellEnd"/>
      <w:r w:rsidRPr="00ED3950">
        <w:rPr>
          <w:rFonts w:eastAsia="Calibri" w:cs="Arial"/>
          <w:b/>
          <w:bCs/>
          <w:color w:val="2998FF"/>
          <w:szCs w:val="18"/>
          <w:lang w:val="cs-CZ"/>
        </w:rPr>
        <w:t xml:space="preserve">: </w:t>
      </w:r>
      <w:r w:rsidRPr="00ED3950">
        <w:rPr>
          <w:rFonts w:eastAsia="Calibri" w:cs="Arial"/>
          <w:szCs w:val="18"/>
          <w:lang w:val="cs-CZ"/>
        </w:rPr>
        <w:t>Při čtení různých zpráv RRF je zřejmé, že mezi nimi existují značné rozdíly, zejména pokud jde o potřebu ochranných opatření</w:t>
      </w:r>
      <w:r w:rsidRPr="00ED3950">
        <w:rPr>
          <w:rFonts w:eastAsia="Calibri" w:cs="Arial"/>
          <w:b/>
          <w:bCs/>
          <w:szCs w:val="18"/>
          <w:lang w:val="cs-CZ"/>
        </w:rPr>
        <w:t xml:space="preserve">. </w:t>
      </w:r>
      <w:r w:rsidRPr="00ED3950">
        <w:rPr>
          <w:rFonts w:eastAsia="Calibri" w:cs="Arial"/>
          <w:szCs w:val="18"/>
          <w:lang w:val="cs-CZ"/>
        </w:rPr>
        <w:t>Pok</w:t>
      </w:r>
      <w:r w:rsidRPr="00ED3950">
        <w:rPr>
          <w:rFonts w:eastAsia="Calibri" w:cs="Arial"/>
          <w:szCs w:val="18"/>
          <w:lang w:val="cs-CZ"/>
        </w:rPr>
        <w:t xml:space="preserve">ud je DNSH skutečně evropskou zásadou, je třeba ji na úrovni Evropské komise jasněji definovat, aby byla zajištěna konzistentnost a srovnatelnost, a to i v případě, že nebude mít podobu směrnice. Úřad vlády doufá, že se mu podaří sladit svůj přístup s </w:t>
      </w:r>
      <w:r w:rsidRPr="00ED3950">
        <w:rPr>
          <w:rFonts w:eastAsia="Calibri" w:cs="Arial"/>
          <w:szCs w:val="18"/>
          <w:lang w:val="cs-CZ"/>
        </w:rPr>
        <w:lastRenderedPageBreak/>
        <w:t>oček</w:t>
      </w:r>
      <w:r w:rsidRPr="00ED3950">
        <w:rPr>
          <w:rFonts w:eastAsia="Calibri" w:cs="Arial"/>
          <w:szCs w:val="18"/>
          <w:lang w:val="cs-CZ"/>
        </w:rPr>
        <w:t xml:space="preserve">áváním EK prostřednictvím projektu TSI. Má však potíže získat </w:t>
      </w:r>
      <w:r w:rsidRPr="00ED3950">
        <w:rPr>
          <w:rFonts w:eastAsia="Calibri" w:cs="Arial"/>
          <w:szCs w:val="18"/>
          <w:lang w:val="cs-CZ"/>
        </w:rPr>
        <w:t xml:space="preserve">od </w:t>
      </w:r>
      <w:r w:rsidRPr="00ED3950">
        <w:rPr>
          <w:rFonts w:eastAsia="Calibri" w:cs="Arial"/>
          <w:szCs w:val="18"/>
          <w:lang w:val="cs-CZ"/>
        </w:rPr>
        <w:t xml:space="preserve">EK </w:t>
      </w:r>
      <w:r w:rsidRPr="00ED3950">
        <w:rPr>
          <w:rFonts w:eastAsia="Calibri" w:cs="Arial"/>
          <w:szCs w:val="18"/>
          <w:lang w:val="cs-CZ"/>
        </w:rPr>
        <w:t>jasné odpovědi</w:t>
      </w:r>
      <w:r w:rsidRPr="00ED3950">
        <w:rPr>
          <w:rFonts w:eastAsia="Calibri" w:cs="Arial"/>
          <w:szCs w:val="18"/>
          <w:lang w:val="cs-CZ"/>
        </w:rPr>
        <w:t xml:space="preserve">. Navzdory </w:t>
      </w:r>
      <w:r w:rsidRPr="00ED3950">
        <w:rPr>
          <w:rFonts w:eastAsia="Calibri" w:cs="Arial"/>
          <w:szCs w:val="18"/>
          <w:lang w:val="cs-CZ"/>
        </w:rPr>
        <w:t xml:space="preserve">vůli získat </w:t>
      </w:r>
      <w:r w:rsidRPr="00ED3950">
        <w:rPr>
          <w:rFonts w:eastAsia="Calibri" w:cs="Arial"/>
          <w:szCs w:val="18"/>
          <w:lang w:val="cs-CZ"/>
        </w:rPr>
        <w:t xml:space="preserve">odpovědi </w:t>
      </w:r>
      <w:r w:rsidRPr="00ED3950">
        <w:rPr>
          <w:rFonts w:eastAsia="Calibri" w:cs="Arial"/>
          <w:szCs w:val="18"/>
          <w:lang w:val="cs-CZ"/>
        </w:rPr>
        <w:t xml:space="preserve">od EK se </w:t>
      </w:r>
      <w:r w:rsidRPr="00ED3950">
        <w:rPr>
          <w:rFonts w:eastAsia="Calibri" w:cs="Arial"/>
          <w:szCs w:val="18"/>
          <w:lang w:val="cs-CZ"/>
        </w:rPr>
        <w:t>to v tuto chvíli nezdá jako reálná možnost.</w:t>
      </w:r>
    </w:p>
    <w:p w:rsidR="005840C5" w:rsidRPr="00ED3950" w:rsidRDefault="00ED3950">
      <w:pPr>
        <w:rPr>
          <w:rFonts w:eastAsia="Calibri" w:cs="Arial"/>
          <w:szCs w:val="18"/>
          <w:lang w:val="cs-CZ"/>
        </w:rPr>
      </w:pPr>
      <w:proofErr w:type="spellStart"/>
      <w:r w:rsidRPr="00ED3950">
        <w:rPr>
          <w:rFonts w:eastAsia="Calibri" w:cs="Arial"/>
          <w:b/>
          <w:bCs/>
          <w:color w:val="2998FF"/>
          <w:szCs w:val="18"/>
          <w:lang w:val="cs-CZ"/>
        </w:rPr>
        <w:t>Kristína</w:t>
      </w:r>
      <w:proofErr w:type="spellEnd"/>
      <w:r w:rsidRPr="00ED3950">
        <w:rPr>
          <w:rFonts w:eastAsia="Calibri" w:cs="Arial"/>
          <w:b/>
          <w:bCs/>
          <w:color w:val="2998FF"/>
          <w:szCs w:val="18"/>
          <w:lang w:val="cs-CZ"/>
        </w:rPr>
        <w:t xml:space="preserve"> </w:t>
      </w:r>
      <w:proofErr w:type="spellStart"/>
      <w:r w:rsidRPr="00ED3950">
        <w:rPr>
          <w:rFonts w:eastAsia="Calibri" w:cs="Arial"/>
          <w:b/>
          <w:bCs/>
          <w:color w:val="2998FF"/>
          <w:szCs w:val="18"/>
          <w:lang w:val="cs-CZ"/>
        </w:rPr>
        <w:t>Korčekova</w:t>
      </w:r>
      <w:proofErr w:type="spellEnd"/>
      <w:r w:rsidRPr="00ED3950">
        <w:rPr>
          <w:rFonts w:eastAsia="Calibri" w:cs="Arial"/>
          <w:color w:val="2998FF"/>
          <w:szCs w:val="18"/>
          <w:lang w:val="cs-CZ"/>
        </w:rPr>
        <w:t xml:space="preserve">: </w:t>
      </w:r>
      <w:r w:rsidRPr="00ED3950">
        <w:rPr>
          <w:rFonts w:eastAsia="Calibri" w:cs="Arial"/>
          <w:szCs w:val="18"/>
          <w:lang w:val="cs-CZ"/>
        </w:rPr>
        <w:t>Budovy jsou jednoduché. Dá se to napsat, ale inovace je složitější. Jak je vidět, přístup k budovám lze aplikovat i na jiná odvětví, ale větší projekty vyžadují jiná pravidla. Budov, které se mají stavět nebo rekonstruovat, je mnoho, takže standardizace je</w:t>
      </w:r>
      <w:r w:rsidRPr="00ED3950">
        <w:rPr>
          <w:rFonts w:eastAsia="Calibri" w:cs="Arial"/>
          <w:szCs w:val="18"/>
          <w:lang w:val="cs-CZ"/>
        </w:rPr>
        <w:t xml:space="preserve"> jednoduchá, ale větší programy vyžadují vlastní přístup DNSH.  </w:t>
      </w:r>
    </w:p>
    <w:p w:rsidR="00C52545" w:rsidRPr="00ED3950" w:rsidRDefault="00C52545" w:rsidP="00C52545">
      <w:pPr>
        <w:rPr>
          <w:rFonts w:eastAsia="Calibri" w:cs="Arial"/>
          <w:lang w:val="cs-CZ"/>
        </w:rPr>
      </w:pPr>
    </w:p>
    <w:p w:rsidR="005840C5" w:rsidRPr="00ED3950" w:rsidRDefault="00ED3950">
      <w:pPr>
        <w:rPr>
          <w:rFonts w:eastAsia="Calibri" w:cs="Arial"/>
          <w:lang w:val="cs-CZ"/>
        </w:rPr>
      </w:pPr>
      <w:r w:rsidRPr="00ED3950">
        <w:rPr>
          <w:rFonts w:eastAsia="Calibri" w:cs="Arial"/>
          <w:b/>
          <w:bCs/>
          <w:color w:val="F04E30"/>
          <w:lang w:val="cs-CZ"/>
        </w:rPr>
        <w:t>Projektový tým</w:t>
      </w:r>
      <w:r w:rsidRPr="00ED3950">
        <w:rPr>
          <w:rFonts w:eastAsia="Calibri" w:cs="Arial"/>
          <w:lang w:val="cs-CZ"/>
        </w:rPr>
        <w:t>: Jaká je nejvhodnější úroveň pro zavedení zásady DNSH a CP?</w:t>
      </w:r>
    </w:p>
    <w:p w:rsidR="005840C5" w:rsidRPr="00ED3950" w:rsidRDefault="00ED3950">
      <w:pPr>
        <w:rPr>
          <w:rFonts w:eastAsia="Calibri" w:cs="Arial"/>
          <w:lang w:val="cs-CZ"/>
        </w:rPr>
      </w:pPr>
      <w:proofErr w:type="spellStart"/>
      <w:r w:rsidRPr="00ED3950">
        <w:rPr>
          <w:rFonts w:eastAsia="Calibri" w:cs="Arial"/>
          <w:b/>
          <w:color w:val="2998FF"/>
          <w:lang w:val="cs-CZ"/>
        </w:rPr>
        <w:t>Moritz</w:t>
      </w:r>
      <w:proofErr w:type="spellEnd"/>
      <w:r w:rsidRPr="00ED3950">
        <w:rPr>
          <w:rFonts w:eastAsia="Calibri" w:cs="Arial"/>
          <w:b/>
          <w:color w:val="2998FF"/>
          <w:lang w:val="cs-CZ"/>
        </w:rPr>
        <w:t xml:space="preserve"> </w:t>
      </w:r>
      <w:r w:rsidRPr="00ED3950">
        <w:rPr>
          <w:rFonts w:eastAsia="Calibri" w:cs="Arial"/>
          <w:b/>
          <w:bCs/>
          <w:color w:val="2998FF"/>
          <w:lang w:val="cs-CZ"/>
        </w:rPr>
        <w:t>Schwarz</w:t>
      </w:r>
      <w:r w:rsidRPr="00ED3950">
        <w:rPr>
          <w:rFonts w:eastAsia="Calibri" w:cs="Arial"/>
          <w:lang w:val="cs-CZ"/>
        </w:rPr>
        <w:t>: Odpověď závisí na tom, kdo odpovídá. Na ministerstvu financí vznikají rozsáhlé programy, jejichž ko</w:t>
      </w:r>
      <w:r w:rsidRPr="00ED3950">
        <w:rPr>
          <w:rFonts w:eastAsia="Calibri" w:cs="Arial"/>
          <w:lang w:val="cs-CZ"/>
        </w:rPr>
        <w:t xml:space="preserve">nečnými uživateli jsou jednotlivci. Přístupem je tedy </w:t>
      </w:r>
      <w:r w:rsidRPr="00ED3950">
        <w:rPr>
          <w:rFonts w:eastAsia="Calibri" w:cs="Arial"/>
          <w:lang w:val="cs-CZ"/>
        </w:rPr>
        <w:t xml:space="preserve">vypracování </w:t>
      </w:r>
      <w:r w:rsidRPr="00ED3950">
        <w:rPr>
          <w:rFonts w:eastAsia="Calibri" w:cs="Arial"/>
          <w:lang w:val="cs-CZ"/>
        </w:rPr>
        <w:t xml:space="preserve">přesných pokynů </w:t>
      </w:r>
      <w:r w:rsidRPr="00ED3950">
        <w:rPr>
          <w:rFonts w:eastAsia="Calibri" w:cs="Arial"/>
          <w:lang w:val="cs-CZ"/>
        </w:rPr>
        <w:t xml:space="preserve">na </w:t>
      </w:r>
      <w:r w:rsidRPr="00ED3950">
        <w:rPr>
          <w:rFonts w:eastAsia="Calibri" w:cs="Arial"/>
          <w:lang w:val="cs-CZ"/>
        </w:rPr>
        <w:t>úrovni programu. To je třeba standardizovat, pokud se implementace liší. V každém případě se v případě zeleného rozpočtování, DNSH nebo KP provádí na úrovni programu, prot</w:t>
      </w:r>
      <w:r w:rsidRPr="00ED3950">
        <w:rPr>
          <w:rFonts w:eastAsia="Calibri" w:cs="Arial"/>
          <w:lang w:val="cs-CZ"/>
        </w:rPr>
        <w:t>ože zde lze nalézt nejvíce standardizovaných informací.</w:t>
      </w:r>
    </w:p>
    <w:p w:rsidR="00C52545" w:rsidRPr="00ED3950" w:rsidRDefault="00C52545" w:rsidP="00C52545">
      <w:pPr>
        <w:rPr>
          <w:rFonts w:eastAsia="Calibri" w:cs="Arial"/>
          <w:lang w:val="cs-CZ"/>
        </w:rPr>
      </w:pPr>
    </w:p>
    <w:p w:rsidR="005840C5" w:rsidRPr="00ED3950" w:rsidRDefault="00ED3950">
      <w:pPr>
        <w:rPr>
          <w:rFonts w:eastAsia="Calibri" w:cs="Arial"/>
          <w:lang w:val="cs-CZ"/>
        </w:rPr>
      </w:pPr>
      <w:r w:rsidRPr="00ED3950">
        <w:rPr>
          <w:rFonts w:eastAsia="Calibri" w:cs="Arial"/>
          <w:b/>
          <w:bCs/>
          <w:color w:val="F04E30"/>
          <w:lang w:val="cs-CZ"/>
        </w:rPr>
        <w:t>Projektový tým</w:t>
      </w:r>
      <w:r w:rsidRPr="00ED3950">
        <w:rPr>
          <w:rFonts w:eastAsia="Calibri" w:cs="Arial"/>
          <w:lang w:val="cs-CZ"/>
        </w:rPr>
        <w:t>: Jaký je nejnáročnější environmentální cíl v případě zjednodušeného posouzení?</w:t>
      </w:r>
    </w:p>
    <w:p w:rsidR="005840C5" w:rsidRPr="00ED3950" w:rsidRDefault="00ED3950">
      <w:pPr>
        <w:rPr>
          <w:rFonts w:eastAsia="Calibri" w:cs="Arial"/>
          <w:lang w:val="cs-CZ"/>
        </w:rPr>
      </w:pPr>
      <w:r w:rsidRPr="00ED3950">
        <w:rPr>
          <w:rFonts w:eastAsia="Calibri" w:cs="Arial"/>
          <w:b/>
          <w:bCs/>
          <w:color w:val="2998FF"/>
          <w:lang w:val="cs-CZ"/>
        </w:rPr>
        <w:t>Jan Hlaváček:</w:t>
      </w:r>
      <w:r w:rsidRPr="00ED3950">
        <w:rPr>
          <w:rFonts w:eastAsia="Calibri" w:cs="Arial"/>
          <w:lang w:val="cs-CZ"/>
        </w:rPr>
        <w:t xml:space="preserve"> Jan Hlaváček: Adaptace. Je hodně závislá na konkrétním projektu nebo lokalitě, takže nelze </w:t>
      </w:r>
      <w:r w:rsidRPr="00ED3950">
        <w:rPr>
          <w:rFonts w:eastAsia="Calibri" w:cs="Arial"/>
          <w:lang w:val="cs-CZ"/>
        </w:rPr>
        <w:t xml:space="preserve">stanovit obecná pravidla na národní úrovni. </w:t>
      </w:r>
    </w:p>
    <w:p w:rsidR="00C52545" w:rsidRPr="00ED3950" w:rsidRDefault="00C52545" w:rsidP="00C52545">
      <w:pPr>
        <w:rPr>
          <w:rFonts w:eastAsia="Calibri" w:cs="Arial"/>
          <w:lang w:val="cs-CZ"/>
        </w:rPr>
      </w:pPr>
    </w:p>
    <w:p w:rsidR="005840C5" w:rsidRPr="00ED3950" w:rsidRDefault="00ED3950">
      <w:pPr>
        <w:rPr>
          <w:rFonts w:eastAsia="Calibri" w:cs="Arial"/>
          <w:lang w:val="cs-CZ"/>
        </w:rPr>
      </w:pPr>
      <w:r w:rsidRPr="00ED3950">
        <w:rPr>
          <w:rFonts w:eastAsia="Calibri" w:cs="Arial"/>
          <w:b/>
          <w:bCs/>
          <w:color w:val="F04E30"/>
          <w:lang w:val="cs-CZ"/>
        </w:rPr>
        <w:t>Projektový tým</w:t>
      </w:r>
      <w:r w:rsidRPr="00ED3950">
        <w:rPr>
          <w:rFonts w:eastAsia="Calibri" w:cs="Arial"/>
          <w:lang w:val="cs-CZ"/>
        </w:rPr>
        <w:t xml:space="preserve">: Rozlišujete při provádění hodnocení DNSH na úrovni projektu mezi zjednodušeným a podrobným hodnocením pro různé cíle? Jak se vypořádáváte s různými taxonomickými cíli? </w:t>
      </w:r>
    </w:p>
    <w:p w:rsidR="005840C5" w:rsidRPr="00ED3950" w:rsidRDefault="00ED3950">
      <w:pPr>
        <w:rPr>
          <w:rFonts w:eastAsia="Calibri" w:cs="Arial"/>
          <w:lang w:val="cs-CZ"/>
        </w:rPr>
      </w:pPr>
      <w:r w:rsidRPr="00ED3950">
        <w:rPr>
          <w:rFonts w:eastAsia="Calibri" w:cs="Arial"/>
          <w:b/>
          <w:color w:val="2998FF"/>
          <w:lang w:val="cs-CZ"/>
        </w:rPr>
        <w:t xml:space="preserve">Jan </w:t>
      </w:r>
      <w:r w:rsidRPr="00ED3950">
        <w:rPr>
          <w:rFonts w:eastAsia="Calibri" w:cs="Arial"/>
          <w:b/>
          <w:bCs/>
          <w:color w:val="2998FF"/>
          <w:lang w:val="cs-CZ"/>
        </w:rPr>
        <w:t>Hlaváček</w:t>
      </w:r>
      <w:r w:rsidRPr="00ED3950">
        <w:rPr>
          <w:rFonts w:eastAsia="Calibri" w:cs="Arial"/>
          <w:lang w:val="cs-CZ"/>
        </w:rPr>
        <w:t>: Hlaváček: S</w:t>
      </w:r>
      <w:r w:rsidRPr="00ED3950">
        <w:rPr>
          <w:rFonts w:eastAsia="Calibri" w:cs="Arial"/>
          <w:lang w:val="cs-CZ"/>
        </w:rPr>
        <w:t xml:space="preserve">tejný přístup platí </w:t>
      </w:r>
      <w:r w:rsidRPr="00ED3950">
        <w:rPr>
          <w:rFonts w:eastAsia="Calibri" w:cs="Arial"/>
          <w:lang w:val="cs-CZ"/>
        </w:rPr>
        <w:t xml:space="preserve">pro </w:t>
      </w:r>
      <w:r w:rsidRPr="00ED3950">
        <w:rPr>
          <w:rFonts w:eastAsia="Calibri" w:cs="Arial"/>
          <w:lang w:val="cs-CZ"/>
        </w:rPr>
        <w:t>všechny. Taxonomie EU se používá pro všechna odvětví, takže se nerozlišuje mezi zmírňováním dopadů změny klimatu a nakládáním s odpady. Taxonomie EU není extrémně přísná, pokud jde o environmentální cíle, ale je přesnější u zmírňová</w:t>
      </w:r>
      <w:r w:rsidRPr="00ED3950">
        <w:rPr>
          <w:rFonts w:eastAsia="Calibri" w:cs="Arial"/>
          <w:lang w:val="cs-CZ"/>
        </w:rPr>
        <w:t xml:space="preserve">ní dopadů změny klimatu a přizpůsobování se této změně. Klimatické cíle stanovují více podmínek s vyšší mírou přesnosti. </w:t>
      </w:r>
    </w:p>
    <w:p w:rsidR="00C52545" w:rsidRPr="00ED3950" w:rsidRDefault="00C52545" w:rsidP="00C52545">
      <w:pPr>
        <w:rPr>
          <w:rFonts w:eastAsia="Calibri" w:cs="Arial"/>
          <w:lang w:val="cs-CZ"/>
        </w:rPr>
      </w:pPr>
    </w:p>
    <w:p w:rsidR="005840C5" w:rsidRPr="00ED3950" w:rsidRDefault="00ED3950">
      <w:pPr>
        <w:rPr>
          <w:rFonts w:eastAsia="Calibri" w:cs="Arial"/>
          <w:lang w:val="cs-CZ"/>
        </w:rPr>
      </w:pPr>
      <w:r w:rsidRPr="00ED3950">
        <w:rPr>
          <w:rFonts w:eastAsia="Calibri" w:cs="Arial"/>
          <w:b/>
          <w:bCs/>
          <w:color w:val="F04E30"/>
          <w:lang w:val="cs-CZ"/>
        </w:rPr>
        <w:t>Projektový tým</w:t>
      </w:r>
      <w:r w:rsidRPr="00ED3950">
        <w:rPr>
          <w:rFonts w:eastAsia="Calibri" w:cs="Arial"/>
          <w:lang w:val="cs-CZ"/>
        </w:rPr>
        <w:t>: Vyvinuli jste nějaké metody pro monitorování aplikace DNSH? Existují nějaké překážky? Nějaké první zkušenosti?</w:t>
      </w:r>
    </w:p>
    <w:p w:rsidR="005840C5" w:rsidRPr="00ED3950" w:rsidRDefault="00ED3950">
      <w:pPr>
        <w:rPr>
          <w:rFonts w:eastAsia="Calibri" w:cs="Arial"/>
          <w:lang w:val="cs-CZ"/>
        </w:rPr>
      </w:pPr>
      <w:r w:rsidRPr="00ED3950">
        <w:rPr>
          <w:rFonts w:eastAsia="Calibri" w:cs="Arial"/>
          <w:b/>
          <w:bCs/>
          <w:color w:val="2998FF"/>
          <w:lang w:val="cs-CZ"/>
        </w:rPr>
        <w:t xml:space="preserve">Emma </w:t>
      </w:r>
      <w:proofErr w:type="spellStart"/>
      <w:r w:rsidRPr="00ED3950">
        <w:rPr>
          <w:rFonts w:eastAsia="Calibri" w:cs="Arial"/>
          <w:b/>
          <w:bCs/>
          <w:color w:val="2998FF"/>
          <w:lang w:val="cs-CZ"/>
        </w:rPr>
        <w:t>Terämä</w:t>
      </w:r>
      <w:proofErr w:type="spellEnd"/>
      <w:r w:rsidRPr="00ED3950">
        <w:rPr>
          <w:rFonts w:eastAsia="Calibri" w:cs="Arial"/>
          <w:b/>
          <w:bCs/>
          <w:lang w:val="cs-CZ"/>
        </w:rPr>
        <w:t xml:space="preserve">: </w:t>
      </w:r>
      <w:r w:rsidRPr="00ED3950">
        <w:rPr>
          <w:rFonts w:eastAsia="Calibri" w:cs="Arial"/>
          <w:lang w:val="cs-CZ"/>
        </w:rPr>
        <w:t xml:space="preserve">Finsko má program, který </w:t>
      </w:r>
      <w:r w:rsidRPr="00ED3950">
        <w:rPr>
          <w:rFonts w:eastAsia="Calibri" w:cs="Arial"/>
          <w:lang w:val="cs-CZ"/>
        </w:rPr>
        <w:t>pomáhá</w:t>
      </w:r>
      <w:r w:rsidRPr="00ED3950">
        <w:rPr>
          <w:rFonts w:eastAsia="Calibri" w:cs="Arial"/>
          <w:lang w:val="cs-CZ"/>
        </w:rPr>
        <w:t xml:space="preserve"> místním a regionálním rozvojovým orgánům přilákat více zelených investic. Pro tento typ investic nyní ministerstvo vyžaduje DNSH. Toho však lze dosáhnout pouze prostřednictvím průzkumu na základě dokumentace.</w:t>
      </w:r>
    </w:p>
    <w:p w:rsidR="00C52545" w:rsidRPr="00ED3950" w:rsidRDefault="00C52545" w:rsidP="00C52545">
      <w:pPr>
        <w:rPr>
          <w:rFonts w:eastAsia="Calibri" w:cs="Arial"/>
          <w:lang w:val="cs-CZ"/>
        </w:rPr>
      </w:pPr>
    </w:p>
    <w:p w:rsidR="005840C5" w:rsidRPr="00ED3950" w:rsidRDefault="00ED3950">
      <w:pPr>
        <w:rPr>
          <w:rFonts w:eastAsia="Calibri" w:cs="Arial"/>
          <w:lang w:val="cs-CZ"/>
        </w:rPr>
      </w:pPr>
      <w:r w:rsidRPr="00ED3950">
        <w:rPr>
          <w:rFonts w:eastAsia="Calibri" w:cs="Arial"/>
          <w:b/>
          <w:bCs/>
          <w:color w:val="F04E30"/>
          <w:lang w:val="cs-CZ"/>
        </w:rPr>
        <w:t>P</w:t>
      </w:r>
      <w:r w:rsidRPr="00ED3950">
        <w:rPr>
          <w:rFonts w:eastAsia="Calibri" w:cs="Arial"/>
          <w:b/>
          <w:bCs/>
          <w:color w:val="F04E30"/>
          <w:lang w:val="cs-CZ"/>
        </w:rPr>
        <w:t>rojektový tým</w:t>
      </w:r>
      <w:r w:rsidRPr="00ED3950">
        <w:rPr>
          <w:rFonts w:eastAsia="Calibri" w:cs="Arial"/>
          <w:lang w:val="cs-CZ"/>
        </w:rPr>
        <w:t>: Jsou ještě nějaké další body, které byste chtěli vznést?</w:t>
      </w:r>
    </w:p>
    <w:p w:rsidR="005840C5" w:rsidRPr="00ED3950" w:rsidRDefault="00ED3950">
      <w:pPr>
        <w:rPr>
          <w:rFonts w:eastAsia="Calibri" w:cs="Arial"/>
          <w:szCs w:val="18"/>
          <w:lang w:val="cs-CZ"/>
        </w:rPr>
      </w:pPr>
      <w:proofErr w:type="spellStart"/>
      <w:r w:rsidRPr="00ED3950">
        <w:rPr>
          <w:rFonts w:eastAsia="Calibri" w:cs="Arial"/>
          <w:b/>
          <w:bCs/>
          <w:color w:val="2998FF"/>
          <w:szCs w:val="18"/>
          <w:lang w:val="cs-CZ"/>
        </w:rPr>
        <w:t>Moritz</w:t>
      </w:r>
      <w:proofErr w:type="spellEnd"/>
      <w:r w:rsidRPr="00ED3950">
        <w:rPr>
          <w:rFonts w:eastAsia="Calibri" w:cs="Arial"/>
          <w:b/>
          <w:bCs/>
          <w:color w:val="2998FF"/>
          <w:szCs w:val="18"/>
          <w:lang w:val="cs-CZ"/>
        </w:rPr>
        <w:t xml:space="preserve"> Schwarz</w:t>
      </w:r>
      <w:r w:rsidRPr="00ED3950">
        <w:rPr>
          <w:rFonts w:eastAsia="Calibri" w:cs="Arial"/>
          <w:szCs w:val="18"/>
          <w:lang w:val="cs-CZ"/>
        </w:rPr>
        <w:t xml:space="preserve">: Ptal jste se na </w:t>
      </w:r>
      <w:r w:rsidRPr="00ED3950">
        <w:rPr>
          <w:rFonts w:eastAsia="Calibri" w:cs="Arial"/>
          <w:szCs w:val="18"/>
          <w:lang w:val="cs-CZ"/>
        </w:rPr>
        <w:t>problém stanovení prahových hodnot. Vzhledem k velkým rozdílům mezi hodnocením v různých zemích mohou jakékoli kvantitativní prahové hodnoty představova</w:t>
      </w:r>
      <w:r w:rsidRPr="00ED3950">
        <w:rPr>
          <w:rFonts w:eastAsia="Calibri" w:cs="Arial"/>
          <w:szCs w:val="18"/>
          <w:lang w:val="cs-CZ"/>
        </w:rPr>
        <w:t xml:space="preserve">t problém a vést k nesrovnalostem. V závislosti na zemích by projekty v některých zemích byly v souladu s DNSH, ale v jiných ne. Konkrétními </w:t>
      </w:r>
      <w:r w:rsidRPr="00ED3950">
        <w:rPr>
          <w:rFonts w:eastAsia="Calibri" w:cs="Arial"/>
          <w:szCs w:val="18"/>
          <w:lang w:val="cs-CZ"/>
        </w:rPr>
        <w:t xml:space="preserve">relevantními příklady </w:t>
      </w:r>
      <w:r w:rsidRPr="00ED3950">
        <w:rPr>
          <w:rFonts w:eastAsia="Calibri" w:cs="Arial"/>
          <w:szCs w:val="18"/>
          <w:lang w:val="cs-CZ"/>
        </w:rPr>
        <w:t>jsou větrné turbíny a plynové kotle.</w:t>
      </w:r>
      <w:r w:rsidRPr="00ED3950">
        <w:rPr>
          <w:rFonts w:eastAsia="Calibri" w:cs="Arial"/>
          <w:szCs w:val="18"/>
          <w:lang w:val="cs-CZ"/>
        </w:rPr>
        <w:t xml:space="preserve"> Dlouhodobá </w:t>
      </w:r>
      <w:proofErr w:type="spellStart"/>
      <w:r w:rsidRPr="00ED3950">
        <w:rPr>
          <w:rFonts w:eastAsia="Calibri" w:cs="Arial"/>
          <w:szCs w:val="18"/>
          <w:lang w:val="cs-CZ"/>
        </w:rPr>
        <w:t>metaanalýza</w:t>
      </w:r>
      <w:proofErr w:type="spellEnd"/>
      <w:r w:rsidRPr="00ED3950">
        <w:rPr>
          <w:rFonts w:eastAsia="Calibri" w:cs="Arial"/>
          <w:szCs w:val="18"/>
          <w:lang w:val="cs-CZ"/>
        </w:rPr>
        <w:t xml:space="preserve"> bude nesmírně důležitá. </w:t>
      </w:r>
    </w:p>
    <w:p w:rsidR="00C52545" w:rsidRPr="00ED3950" w:rsidRDefault="00C52545" w:rsidP="00C52545">
      <w:pPr>
        <w:rPr>
          <w:rFonts w:eastAsia="Calibri" w:cs="Arial"/>
          <w:lang w:val="cs-CZ"/>
        </w:rPr>
      </w:pPr>
    </w:p>
    <w:p w:rsidR="005840C5" w:rsidRPr="00ED3950" w:rsidRDefault="00ED3950">
      <w:pPr>
        <w:rPr>
          <w:rFonts w:eastAsia="Calibri" w:cs="Arial"/>
          <w:lang w:val="cs-CZ"/>
        </w:rPr>
      </w:pPr>
      <w:r w:rsidRPr="00ED3950">
        <w:rPr>
          <w:rFonts w:eastAsia="Calibri" w:cs="Arial"/>
          <w:b/>
          <w:bCs/>
          <w:color w:val="F04E30"/>
          <w:lang w:val="cs-CZ"/>
        </w:rPr>
        <w:t>Projekt</w:t>
      </w:r>
      <w:r w:rsidRPr="00ED3950">
        <w:rPr>
          <w:rFonts w:eastAsia="Calibri" w:cs="Arial"/>
          <w:b/>
          <w:bCs/>
          <w:color w:val="F04E30"/>
          <w:lang w:val="cs-CZ"/>
        </w:rPr>
        <w:t>ový tým</w:t>
      </w:r>
      <w:r w:rsidRPr="00ED3950">
        <w:rPr>
          <w:rFonts w:eastAsia="Calibri" w:cs="Arial"/>
          <w:lang w:val="cs-CZ"/>
        </w:rPr>
        <w:t>: Jaké jsou hlavní priority, kterých chcete v příštích měsících dosáhnout?</w:t>
      </w:r>
    </w:p>
    <w:p w:rsidR="005840C5" w:rsidRPr="00ED3950" w:rsidRDefault="00ED3950">
      <w:pPr>
        <w:rPr>
          <w:rFonts w:eastAsia="Calibri" w:cs="Arial"/>
          <w:lang w:val="cs-CZ"/>
        </w:rPr>
      </w:pPr>
      <w:r w:rsidRPr="00ED3950">
        <w:rPr>
          <w:rFonts w:eastAsia="Calibri" w:cs="Arial"/>
          <w:b/>
          <w:bCs/>
          <w:color w:val="2998FF"/>
          <w:lang w:val="cs-CZ"/>
        </w:rPr>
        <w:t xml:space="preserve">Emma </w:t>
      </w:r>
      <w:proofErr w:type="spellStart"/>
      <w:r w:rsidRPr="00ED3950">
        <w:rPr>
          <w:rFonts w:eastAsia="Calibri" w:cs="Arial"/>
          <w:b/>
          <w:bCs/>
          <w:color w:val="2998FF"/>
          <w:lang w:val="cs-CZ"/>
        </w:rPr>
        <w:t>Terämä</w:t>
      </w:r>
      <w:proofErr w:type="spellEnd"/>
      <w:r w:rsidRPr="00ED3950">
        <w:rPr>
          <w:rFonts w:eastAsia="Calibri" w:cs="Arial"/>
          <w:lang w:val="cs-CZ"/>
        </w:rPr>
        <w:t xml:space="preserve">: Ema </w:t>
      </w:r>
      <w:proofErr w:type="spellStart"/>
      <w:r w:rsidRPr="00ED3950">
        <w:rPr>
          <w:rFonts w:eastAsia="Calibri" w:cs="Arial"/>
          <w:lang w:val="cs-CZ"/>
        </w:rPr>
        <w:t>Termaová</w:t>
      </w:r>
      <w:proofErr w:type="spellEnd"/>
      <w:r w:rsidRPr="00ED3950">
        <w:rPr>
          <w:rFonts w:eastAsia="Calibri" w:cs="Arial"/>
          <w:lang w:val="cs-CZ"/>
        </w:rPr>
        <w:t>: Budování kapacit. Školení DNSH pro povolovací orgány v souladu s novou legislativou. Zejména ostatní ministerstva budou muset vytvořit nové program</w:t>
      </w:r>
      <w:r w:rsidRPr="00ED3950">
        <w:rPr>
          <w:rFonts w:eastAsia="Calibri" w:cs="Arial"/>
          <w:lang w:val="cs-CZ"/>
        </w:rPr>
        <w:t xml:space="preserve">y sladěné s DNSH, a to </w:t>
      </w:r>
      <w:r w:rsidRPr="00ED3950">
        <w:rPr>
          <w:rFonts w:eastAsia="Calibri" w:cs="Arial"/>
          <w:lang w:val="cs-CZ"/>
        </w:rPr>
        <w:t>i po celostátních volbách ve 2. čtvrtletí 2023</w:t>
      </w:r>
      <w:r w:rsidRPr="00ED3950">
        <w:rPr>
          <w:rFonts w:eastAsia="Calibri" w:cs="Arial"/>
          <w:lang w:val="cs-CZ"/>
        </w:rPr>
        <w:t>.</w:t>
      </w:r>
    </w:p>
    <w:p w:rsidR="00C52545" w:rsidRPr="00ED3950" w:rsidRDefault="00C52545" w:rsidP="00C52545">
      <w:pPr>
        <w:rPr>
          <w:rFonts w:eastAsia="Calibri" w:cs="Arial"/>
          <w:lang w:val="cs-CZ"/>
        </w:rPr>
      </w:pPr>
    </w:p>
    <w:p w:rsidR="005840C5" w:rsidRPr="00ED3950" w:rsidRDefault="00ED3950">
      <w:pPr>
        <w:rPr>
          <w:rFonts w:eastAsia="Calibri" w:cs="Arial"/>
          <w:lang w:val="cs-CZ"/>
        </w:rPr>
      </w:pPr>
      <w:r w:rsidRPr="00ED3950">
        <w:rPr>
          <w:rFonts w:eastAsia="Calibri" w:cs="Arial"/>
          <w:b/>
          <w:bCs/>
          <w:color w:val="F04E30"/>
          <w:lang w:val="cs-CZ"/>
        </w:rPr>
        <w:lastRenderedPageBreak/>
        <w:t>Projektový tým</w:t>
      </w:r>
      <w:r w:rsidRPr="00ED3950">
        <w:rPr>
          <w:rFonts w:eastAsia="Calibri" w:cs="Arial"/>
          <w:lang w:val="cs-CZ"/>
        </w:rPr>
        <w:t xml:space="preserve">: Zjistili jste na základě svých zkušeností s </w:t>
      </w:r>
      <w:r w:rsidRPr="00ED3950">
        <w:rPr>
          <w:rFonts w:eastAsia="Calibri" w:cs="Arial"/>
          <w:lang w:val="cs-CZ"/>
        </w:rPr>
        <w:t xml:space="preserve">principem </w:t>
      </w:r>
      <w:r w:rsidRPr="00ED3950">
        <w:rPr>
          <w:rFonts w:eastAsia="Calibri" w:cs="Arial"/>
          <w:lang w:val="cs-CZ"/>
        </w:rPr>
        <w:t xml:space="preserve">DNSH a na </w:t>
      </w:r>
      <w:r w:rsidRPr="00ED3950">
        <w:rPr>
          <w:rFonts w:eastAsia="Calibri" w:cs="Arial"/>
          <w:lang w:val="cs-CZ"/>
        </w:rPr>
        <w:t xml:space="preserve">základě </w:t>
      </w:r>
      <w:r w:rsidRPr="00ED3950">
        <w:rPr>
          <w:rFonts w:eastAsia="Calibri" w:cs="Arial"/>
          <w:lang w:val="cs-CZ"/>
        </w:rPr>
        <w:t xml:space="preserve">výměny informací s ostatními </w:t>
      </w:r>
      <w:r w:rsidRPr="00ED3950">
        <w:rPr>
          <w:rFonts w:eastAsia="Calibri" w:cs="Arial"/>
          <w:lang w:val="cs-CZ"/>
        </w:rPr>
        <w:t xml:space="preserve">členskými státy </w:t>
      </w:r>
      <w:r w:rsidRPr="00ED3950">
        <w:rPr>
          <w:rFonts w:eastAsia="Calibri" w:cs="Arial"/>
          <w:lang w:val="cs-CZ"/>
        </w:rPr>
        <w:t>osvědčené postupy nebo inspirativní příklady na vni</w:t>
      </w:r>
      <w:r w:rsidRPr="00ED3950">
        <w:rPr>
          <w:rFonts w:eastAsia="Calibri" w:cs="Arial"/>
          <w:lang w:val="cs-CZ"/>
        </w:rPr>
        <w:t>trostátní úrovni?</w:t>
      </w:r>
    </w:p>
    <w:p w:rsidR="005840C5" w:rsidRPr="00ED3950" w:rsidRDefault="00ED3950">
      <w:pPr>
        <w:rPr>
          <w:rFonts w:eastAsia="Calibri" w:cs="Arial"/>
          <w:lang w:val="cs-CZ"/>
        </w:rPr>
      </w:pPr>
      <w:r w:rsidRPr="00ED3950">
        <w:rPr>
          <w:rFonts w:eastAsia="Calibri" w:cs="Arial"/>
          <w:b/>
          <w:color w:val="2998FF"/>
          <w:lang w:val="cs-CZ"/>
        </w:rPr>
        <w:t>Jan</w:t>
      </w:r>
      <w:bookmarkStart w:id="196" w:name="_Hlk127454506"/>
      <w:r w:rsidRPr="00ED3950">
        <w:rPr>
          <w:rFonts w:eastAsia="Calibri" w:cs="Arial"/>
          <w:b/>
          <w:bCs/>
          <w:color w:val="2998FF"/>
          <w:lang w:val="cs-CZ"/>
        </w:rPr>
        <w:t xml:space="preserve"> </w:t>
      </w:r>
      <w:proofErr w:type="gramStart"/>
      <w:r w:rsidRPr="00ED3950">
        <w:rPr>
          <w:rFonts w:eastAsia="Calibri" w:cs="Arial"/>
          <w:b/>
          <w:bCs/>
          <w:color w:val="2998FF"/>
          <w:lang w:val="cs-CZ"/>
        </w:rPr>
        <w:t>Hlaváček</w:t>
      </w:r>
      <w:bookmarkEnd w:id="196"/>
      <w:r w:rsidRPr="00ED3950">
        <w:rPr>
          <w:rFonts w:eastAsia="Calibri" w:cs="Arial"/>
          <w:lang w:val="cs-CZ"/>
        </w:rPr>
        <w:t xml:space="preserve"> : Byla</w:t>
      </w:r>
      <w:proofErr w:type="gramEnd"/>
      <w:r w:rsidRPr="00ED3950">
        <w:rPr>
          <w:rFonts w:eastAsia="Calibri" w:cs="Arial"/>
          <w:lang w:val="cs-CZ"/>
        </w:rPr>
        <w:t xml:space="preserve"> vypracována národní příručka pro DNSH a CP. Klíčová bude zpětná vazba od investorů - je proces proveditelný a přináší očekávané výsledky?</w:t>
      </w:r>
    </w:p>
    <w:p w:rsidR="005840C5" w:rsidRPr="00ED3950" w:rsidRDefault="00ED3950">
      <w:pPr>
        <w:rPr>
          <w:rFonts w:eastAsia="Calibri" w:cs="Arial"/>
          <w:lang w:val="cs-CZ"/>
        </w:rPr>
      </w:pPr>
      <w:proofErr w:type="spellStart"/>
      <w:r w:rsidRPr="00ED3950">
        <w:rPr>
          <w:rFonts w:eastAsia="Calibri" w:cs="Arial"/>
          <w:b/>
          <w:color w:val="2998FF"/>
          <w:lang w:val="cs-CZ"/>
        </w:rPr>
        <w:t>Moritz</w:t>
      </w:r>
      <w:proofErr w:type="spellEnd"/>
      <w:r w:rsidRPr="00ED3950">
        <w:rPr>
          <w:rFonts w:eastAsia="Calibri" w:cs="Arial"/>
          <w:b/>
          <w:color w:val="2998FF"/>
          <w:lang w:val="cs-CZ"/>
        </w:rPr>
        <w:t xml:space="preserve"> </w:t>
      </w:r>
      <w:r w:rsidRPr="00ED3950">
        <w:rPr>
          <w:rFonts w:eastAsia="Calibri" w:cs="Arial"/>
          <w:b/>
          <w:bCs/>
          <w:color w:val="2998FF"/>
          <w:lang w:val="cs-CZ"/>
        </w:rPr>
        <w:t>Schwarz</w:t>
      </w:r>
      <w:r w:rsidRPr="00ED3950">
        <w:rPr>
          <w:rFonts w:eastAsia="Calibri" w:cs="Arial"/>
          <w:lang w:val="cs-CZ"/>
        </w:rPr>
        <w:t>: Výsledky TSI ve Finsku a Česku budou užitečné. Je pozoruhodné, ž</w:t>
      </w:r>
      <w:r w:rsidRPr="00ED3950">
        <w:rPr>
          <w:rFonts w:eastAsia="Calibri" w:cs="Arial"/>
          <w:lang w:val="cs-CZ"/>
        </w:rPr>
        <w:t xml:space="preserve">e institucionální uspořádání se tak </w:t>
      </w:r>
      <w:r w:rsidRPr="00ED3950">
        <w:rPr>
          <w:rFonts w:eastAsia="Calibri" w:cs="Arial"/>
          <w:lang w:val="cs-CZ"/>
        </w:rPr>
        <w:t xml:space="preserve">výrazně </w:t>
      </w:r>
      <w:r w:rsidRPr="00ED3950">
        <w:rPr>
          <w:rFonts w:eastAsia="Calibri" w:cs="Arial"/>
          <w:lang w:val="cs-CZ"/>
        </w:rPr>
        <w:t>liší. Skutečnost, že v některých zemích jsou na DNSH centralizovány 2 plnohodnotné pracovní úvazky, pomáhá, zatímco Rakousko vyžadovalo koordinaci několika rezortních ministerstev.</w:t>
      </w:r>
    </w:p>
    <w:p w:rsidR="00C52545" w:rsidRPr="00ED3950" w:rsidRDefault="00C52545" w:rsidP="00C52545">
      <w:pPr>
        <w:rPr>
          <w:rFonts w:eastAsia="Calibri" w:cs="Arial"/>
          <w:lang w:val="cs-CZ"/>
        </w:rPr>
      </w:pPr>
    </w:p>
    <w:p w:rsidR="005840C5" w:rsidRPr="00ED3950" w:rsidRDefault="00ED3950">
      <w:pPr>
        <w:pStyle w:val="Nadpis3"/>
        <w:numPr>
          <w:ilvl w:val="0"/>
          <w:numId w:val="0"/>
        </w:numPr>
        <w:ind w:left="567"/>
        <w:rPr>
          <w:lang w:val="cs-CZ"/>
        </w:rPr>
      </w:pPr>
      <w:bookmarkStart w:id="197" w:name="_Toc127978761"/>
      <w:bookmarkStart w:id="198" w:name="_Toc131757509"/>
      <w:bookmarkStart w:id="199" w:name="_Toc131775902"/>
      <w:r w:rsidRPr="00ED3950">
        <w:rPr>
          <w:lang w:val="cs-CZ"/>
        </w:rPr>
        <w:t>Související otázky z chatu</w:t>
      </w:r>
      <w:bookmarkEnd w:id="197"/>
      <w:bookmarkEnd w:id="198"/>
      <w:bookmarkEnd w:id="199"/>
    </w:p>
    <w:p w:rsidR="005840C5" w:rsidRPr="00ED3950" w:rsidRDefault="00ED3950">
      <w:pPr>
        <w:rPr>
          <w:rFonts w:eastAsia="Calibri" w:cs="Arial"/>
          <w:lang w:val="cs-CZ"/>
        </w:rPr>
      </w:pPr>
      <w:r w:rsidRPr="00ED3950">
        <w:rPr>
          <w:rFonts w:eastAsia="Calibri" w:cs="Arial"/>
          <w:lang w:val="cs-CZ"/>
        </w:rPr>
        <w:t xml:space="preserve">Otázka belgického zástupce na </w:t>
      </w:r>
      <w:r w:rsidRPr="00ED3950">
        <w:rPr>
          <w:rFonts w:eastAsia="Calibri" w:cs="Arial"/>
          <w:lang w:val="cs-CZ"/>
        </w:rPr>
        <w:t>Jana Hlaváčka: Můžete uvést konkrétní příklady vyloučení na základě zásady "znečišťovatel platí"?</w:t>
      </w:r>
    </w:p>
    <w:p w:rsidR="005840C5" w:rsidRPr="00ED3950" w:rsidRDefault="00ED3950">
      <w:pPr>
        <w:rPr>
          <w:rFonts w:eastAsia="Calibri" w:cs="Arial"/>
          <w:lang w:val="cs-CZ"/>
        </w:rPr>
      </w:pPr>
      <w:r w:rsidRPr="00ED3950">
        <w:rPr>
          <w:rFonts w:eastAsia="Calibri" w:cs="Arial"/>
          <w:lang w:val="cs-CZ"/>
        </w:rPr>
        <w:t xml:space="preserve">Odpověď Jana Hlaváčka: </w:t>
      </w:r>
      <w:r w:rsidRPr="00ED3950">
        <w:rPr>
          <w:rFonts w:eastAsia="Calibri" w:cs="Arial"/>
          <w:lang w:val="cs-CZ"/>
        </w:rPr>
        <w:t>Hlaváček: K vyloučení na základě principu "znečišťovatel platí":</w:t>
      </w:r>
    </w:p>
    <w:p w:rsidR="005840C5" w:rsidRPr="00ED3950" w:rsidRDefault="00ED3950">
      <w:pPr>
        <w:numPr>
          <w:ilvl w:val="0"/>
          <w:numId w:val="23"/>
        </w:numPr>
        <w:tabs>
          <w:tab w:val="left" w:pos="851"/>
        </w:tabs>
        <w:contextualSpacing/>
        <w:rPr>
          <w:rFonts w:eastAsia="Calibri" w:cs="Arial"/>
          <w:lang w:val="cs-CZ"/>
        </w:rPr>
      </w:pPr>
      <w:r w:rsidRPr="00ED3950">
        <w:rPr>
          <w:rFonts w:eastAsia="Calibri" w:cs="Arial"/>
          <w:lang w:val="cs-CZ"/>
        </w:rPr>
        <w:t>Příklad JTF: rekultivace uhelných dolů -</w:t>
      </w:r>
      <w:r w:rsidRPr="00ED3950">
        <w:rPr>
          <w:rFonts w:eastAsia="Calibri" w:cs="Arial"/>
          <w:lang w:val="cs-CZ"/>
        </w:rPr>
        <w:t xml:space="preserve"> těžební společnosti musí rekultivovat těžební prostor v souladu s plánem schváleným Českým báňským úřadem. Činnosti, na které se vztahuje plán rekultivace, nejsou způsobilé.</w:t>
      </w:r>
    </w:p>
    <w:p w:rsidR="005840C5" w:rsidRPr="00ED3950" w:rsidRDefault="00ED3950">
      <w:pPr>
        <w:numPr>
          <w:ilvl w:val="0"/>
          <w:numId w:val="23"/>
        </w:numPr>
        <w:tabs>
          <w:tab w:val="left" w:pos="851"/>
        </w:tabs>
        <w:contextualSpacing/>
        <w:rPr>
          <w:rFonts w:eastAsia="Calibri" w:cs="Arial"/>
          <w:lang w:val="cs-CZ"/>
        </w:rPr>
      </w:pPr>
      <w:r w:rsidRPr="00ED3950">
        <w:rPr>
          <w:rFonts w:eastAsia="Calibri" w:cs="Arial"/>
          <w:lang w:val="cs-CZ"/>
        </w:rPr>
        <w:t xml:space="preserve">Obecný příklad: Sanace těchto lokalit není způsobilá (s výjimkou případů, kdy je </w:t>
      </w:r>
      <w:r w:rsidRPr="00ED3950">
        <w:rPr>
          <w:rFonts w:eastAsia="Calibri" w:cs="Arial"/>
          <w:lang w:val="cs-CZ"/>
        </w:rPr>
        <w:t>znečišťovatel neznámý nebo již neexistuje).</w:t>
      </w:r>
    </w:p>
    <w:p w:rsidR="00C52545" w:rsidRPr="00ED3950" w:rsidRDefault="00C52545" w:rsidP="00C52545">
      <w:pPr>
        <w:rPr>
          <w:rFonts w:eastAsia="Calibri" w:cs="Arial"/>
          <w:lang w:val="cs-CZ"/>
        </w:rPr>
      </w:pPr>
    </w:p>
    <w:p w:rsidR="00C52545" w:rsidRPr="00ED3950" w:rsidRDefault="00C52545" w:rsidP="00C52545">
      <w:pPr>
        <w:rPr>
          <w:rFonts w:eastAsia="Calibri" w:cs="Arial"/>
          <w:lang w:val="cs-CZ"/>
        </w:rPr>
      </w:pPr>
    </w:p>
    <w:p w:rsidR="00C52545" w:rsidRPr="00ED3950" w:rsidRDefault="00C52545" w:rsidP="00C52545">
      <w:pPr>
        <w:spacing w:after="200" w:line="276" w:lineRule="auto"/>
        <w:rPr>
          <w:rFonts w:eastAsia="Calibri" w:cs="Arial"/>
          <w:lang w:val="cs-CZ"/>
        </w:rPr>
      </w:pPr>
      <w:r w:rsidRPr="00ED3950">
        <w:rPr>
          <w:rFonts w:eastAsia="Calibri" w:cs="Arial"/>
          <w:lang w:val="cs-CZ"/>
        </w:rPr>
        <w:br w:type="page"/>
      </w:r>
    </w:p>
    <w:p w:rsidR="005840C5" w:rsidRPr="00ED3950" w:rsidRDefault="00ED3950">
      <w:pPr>
        <w:pStyle w:val="Nadpis1"/>
        <w:numPr>
          <w:ilvl w:val="0"/>
          <w:numId w:val="0"/>
        </w:numPr>
        <w:ind w:left="567"/>
        <w:rPr>
          <w:lang w:val="cs-CZ"/>
        </w:rPr>
      </w:pPr>
      <w:bookmarkStart w:id="200" w:name="_Toc131775903"/>
      <w:r w:rsidRPr="00ED3950">
        <w:rPr>
          <w:lang w:val="cs-CZ"/>
        </w:rPr>
        <w:lastRenderedPageBreak/>
        <w:t xml:space="preserve">Příloha E - Zápis z </w:t>
      </w:r>
      <w:proofErr w:type="spellStart"/>
      <w:r w:rsidR="00C52545" w:rsidRPr="00ED3950">
        <w:rPr>
          <w:lang w:val="cs-CZ"/>
        </w:rPr>
        <w:t>webináře</w:t>
      </w:r>
      <w:proofErr w:type="spellEnd"/>
      <w:r w:rsidR="00C52545" w:rsidRPr="00ED3950">
        <w:rPr>
          <w:lang w:val="cs-CZ"/>
        </w:rPr>
        <w:t xml:space="preserve"> 3</w:t>
      </w:r>
      <w:r w:rsidR="005777EF" w:rsidRPr="00ED3950">
        <w:rPr>
          <w:lang w:val="cs-CZ"/>
        </w:rPr>
        <w:t xml:space="preserve">: </w:t>
      </w:r>
      <w:r w:rsidR="00C52545" w:rsidRPr="00ED3950">
        <w:rPr>
          <w:lang w:val="cs-CZ"/>
        </w:rPr>
        <w:t xml:space="preserve">Uplatnění zásady DNSH na inovativní zelené </w:t>
      </w:r>
      <w:r w:rsidRPr="00ED3950">
        <w:rPr>
          <w:lang w:val="cs-CZ"/>
        </w:rPr>
        <w:t>technologie</w:t>
      </w:r>
      <w:bookmarkStart w:id="201" w:name="_Toc127978763"/>
      <w:bookmarkEnd w:id="200"/>
    </w:p>
    <w:p w:rsidR="005840C5" w:rsidRPr="00ED3950" w:rsidRDefault="00ED3950">
      <w:pPr>
        <w:pStyle w:val="Nadpis2"/>
        <w:numPr>
          <w:ilvl w:val="0"/>
          <w:numId w:val="0"/>
        </w:numPr>
        <w:ind w:left="567"/>
        <w:rPr>
          <w:lang w:val="cs-CZ"/>
        </w:rPr>
      </w:pPr>
      <w:bookmarkStart w:id="202" w:name="_Toc131757511"/>
      <w:bookmarkStart w:id="203" w:name="_Toc131775904"/>
      <w:r w:rsidRPr="00ED3950">
        <w:rPr>
          <w:lang w:val="cs-CZ"/>
        </w:rPr>
        <w:t>Příprava scény (</w:t>
      </w:r>
      <w:proofErr w:type="spellStart"/>
      <w:r w:rsidRPr="00ED3950">
        <w:rPr>
          <w:lang w:val="cs-CZ"/>
        </w:rPr>
        <w:t>Jeroen</w:t>
      </w:r>
      <w:proofErr w:type="spellEnd"/>
      <w:r w:rsidRPr="00ED3950">
        <w:rPr>
          <w:lang w:val="cs-CZ"/>
        </w:rPr>
        <w:t xml:space="preserve"> van der </w:t>
      </w:r>
      <w:proofErr w:type="spellStart"/>
      <w:r w:rsidRPr="00ED3950">
        <w:rPr>
          <w:lang w:val="cs-CZ"/>
        </w:rPr>
        <w:t>Laan</w:t>
      </w:r>
      <w:proofErr w:type="spellEnd"/>
      <w:r w:rsidRPr="00ED3950">
        <w:rPr>
          <w:lang w:val="cs-CZ"/>
        </w:rPr>
        <w:t xml:space="preserve">, </w:t>
      </w:r>
      <w:proofErr w:type="spellStart"/>
      <w:r w:rsidRPr="00ED3950">
        <w:rPr>
          <w:lang w:val="cs-CZ"/>
        </w:rPr>
        <w:t>Trinomics</w:t>
      </w:r>
      <w:proofErr w:type="spellEnd"/>
      <w:r w:rsidRPr="00ED3950">
        <w:rPr>
          <w:lang w:val="cs-CZ"/>
        </w:rPr>
        <w:t>)</w:t>
      </w:r>
      <w:bookmarkEnd w:id="201"/>
      <w:bookmarkEnd w:id="202"/>
      <w:bookmarkEnd w:id="203"/>
    </w:p>
    <w:p w:rsidR="005840C5" w:rsidRPr="00ED3950" w:rsidRDefault="00ED3950">
      <w:pPr>
        <w:rPr>
          <w:lang w:val="cs-CZ"/>
        </w:rPr>
      </w:pPr>
      <w:r w:rsidRPr="00ED3950">
        <w:rPr>
          <w:lang w:val="cs-CZ"/>
        </w:rPr>
        <w:t>Hlavním tématem je diskuse o DNSH v kontextu zelených technologií a inova</w:t>
      </w:r>
      <w:r w:rsidRPr="00ED3950">
        <w:rPr>
          <w:lang w:val="cs-CZ"/>
        </w:rPr>
        <w:t>cí. Hlavní výzvy:</w:t>
      </w:r>
    </w:p>
    <w:p w:rsidR="005840C5" w:rsidRPr="00ED3950" w:rsidRDefault="00ED3950">
      <w:pPr>
        <w:pStyle w:val="lp11"/>
        <w:numPr>
          <w:ilvl w:val="0"/>
          <w:numId w:val="8"/>
        </w:numPr>
        <w:rPr>
          <w:lang w:val="cs-CZ"/>
        </w:rPr>
      </w:pPr>
      <w:r w:rsidRPr="00ED3950">
        <w:rPr>
          <w:b/>
          <w:lang w:val="cs-CZ"/>
        </w:rPr>
        <w:t xml:space="preserve">Obtížnost odhadu </w:t>
      </w:r>
      <w:r w:rsidRPr="00ED3950">
        <w:rPr>
          <w:b/>
          <w:lang w:val="cs-CZ"/>
        </w:rPr>
        <w:t xml:space="preserve">dopadů na životní prostředí </w:t>
      </w:r>
      <w:r w:rsidRPr="00ED3950">
        <w:rPr>
          <w:b/>
          <w:lang w:val="cs-CZ"/>
        </w:rPr>
        <w:t xml:space="preserve">a rizika, že se neuplatní zásada DNSH, </w:t>
      </w:r>
      <w:r w:rsidRPr="00ED3950">
        <w:rPr>
          <w:lang w:val="cs-CZ"/>
        </w:rPr>
        <w:t xml:space="preserve">například </w:t>
      </w:r>
      <w:r w:rsidRPr="00ED3950">
        <w:rPr>
          <w:b/>
          <w:lang w:val="cs-CZ"/>
        </w:rPr>
        <w:t xml:space="preserve">u </w:t>
      </w:r>
      <w:r w:rsidRPr="00ED3950">
        <w:rPr>
          <w:lang w:val="cs-CZ"/>
        </w:rPr>
        <w:t xml:space="preserve">projektů </w:t>
      </w:r>
      <w:r w:rsidRPr="00ED3950">
        <w:rPr>
          <w:lang w:val="cs-CZ"/>
        </w:rPr>
        <w:t xml:space="preserve">souvisejících se </w:t>
      </w:r>
      <w:r w:rsidRPr="00ED3950">
        <w:rPr>
          <w:lang w:val="cs-CZ"/>
        </w:rPr>
        <w:t xml:space="preserve">sociálními inovacemi. </w:t>
      </w:r>
      <w:r w:rsidRPr="00ED3950">
        <w:rPr>
          <w:lang w:val="cs-CZ"/>
        </w:rPr>
        <w:t xml:space="preserve">Česko například pracuje na projektech v oblasti inovativních systémů nakládání s odpady. Jelikož se jedná o pilotní projekty, je obtížné pochopit dopady, když existuje taková nejistota ohledně výsledků projektu. </w:t>
      </w:r>
    </w:p>
    <w:p w:rsidR="005840C5" w:rsidRPr="00ED3950" w:rsidRDefault="00ED3950">
      <w:pPr>
        <w:pStyle w:val="lp11"/>
        <w:numPr>
          <w:ilvl w:val="0"/>
          <w:numId w:val="8"/>
        </w:numPr>
        <w:rPr>
          <w:lang w:val="cs-CZ"/>
        </w:rPr>
      </w:pPr>
      <w:r w:rsidRPr="00ED3950">
        <w:rPr>
          <w:b/>
          <w:lang w:val="cs-CZ"/>
        </w:rPr>
        <w:t xml:space="preserve">Chybějící technické pokyny </w:t>
      </w:r>
      <w:r w:rsidRPr="00ED3950">
        <w:rPr>
          <w:b/>
          <w:lang w:val="cs-CZ"/>
        </w:rPr>
        <w:t xml:space="preserve">a </w:t>
      </w:r>
      <w:r w:rsidRPr="00ED3950">
        <w:rPr>
          <w:b/>
          <w:lang w:val="cs-CZ"/>
        </w:rPr>
        <w:t>definice někte</w:t>
      </w:r>
      <w:r w:rsidRPr="00ED3950">
        <w:rPr>
          <w:b/>
          <w:lang w:val="cs-CZ"/>
        </w:rPr>
        <w:t xml:space="preserve">rých z těchto </w:t>
      </w:r>
      <w:r w:rsidRPr="00ED3950">
        <w:rPr>
          <w:b/>
          <w:bCs/>
          <w:lang w:val="cs-CZ"/>
        </w:rPr>
        <w:t xml:space="preserve">inovací v </w:t>
      </w:r>
      <w:r w:rsidRPr="00ED3950">
        <w:rPr>
          <w:b/>
          <w:lang w:val="cs-CZ"/>
        </w:rPr>
        <w:t>předpisech</w:t>
      </w:r>
      <w:r w:rsidRPr="00ED3950">
        <w:rPr>
          <w:b/>
          <w:lang w:val="cs-CZ"/>
        </w:rPr>
        <w:t xml:space="preserve">. </w:t>
      </w:r>
      <w:r w:rsidRPr="00ED3950">
        <w:rPr>
          <w:lang w:val="cs-CZ"/>
        </w:rPr>
        <w:t>Pro tyto činnosti neexistují TSC a příslušné akty v přenesené pravomoci v oblasti klimatu. Nejsou v taxonomii jako udržitelné činnosti, rovněž nejsou v seznamu umožňujících činností. Např. u zeleného vodíku Komise hovoří</w:t>
      </w:r>
      <w:r w:rsidRPr="00ED3950">
        <w:rPr>
          <w:lang w:val="cs-CZ"/>
        </w:rPr>
        <w:t xml:space="preserve"> o </w:t>
      </w:r>
      <w:proofErr w:type="spellStart"/>
      <w:r w:rsidRPr="00ED3950">
        <w:rPr>
          <w:lang w:val="cs-CZ"/>
        </w:rPr>
        <w:t>adicionalitě</w:t>
      </w:r>
      <w:proofErr w:type="spellEnd"/>
      <w:r w:rsidRPr="00ED3950">
        <w:rPr>
          <w:lang w:val="cs-CZ"/>
        </w:rPr>
        <w:t xml:space="preserve"> a hovoří o tom, kde lze nalézt kritéria relevantní pro posouzení. </w:t>
      </w:r>
    </w:p>
    <w:p w:rsidR="005840C5" w:rsidRPr="00ED3950" w:rsidRDefault="00ED3950">
      <w:pPr>
        <w:pStyle w:val="lp11"/>
        <w:numPr>
          <w:ilvl w:val="0"/>
          <w:numId w:val="8"/>
        </w:numPr>
        <w:rPr>
          <w:lang w:val="cs-CZ"/>
        </w:rPr>
      </w:pPr>
      <w:r w:rsidRPr="00ED3950">
        <w:rPr>
          <w:b/>
          <w:bCs/>
          <w:lang w:val="cs-CZ"/>
        </w:rPr>
        <w:t xml:space="preserve">Standardizace procesů: Jedním z </w:t>
      </w:r>
      <w:r w:rsidRPr="00ED3950">
        <w:rPr>
          <w:lang w:val="cs-CZ"/>
        </w:rPr>
        <w:t>hlavních cílů procesu podávání žádostí o DNSH je zamezit administrativní zátěži a podpořit efektivitu. To je zvláště náročné v některých obla</w:t>
      </w:r>
      <w:r w:rsidRPr="00ED3950">
        <w:rPr>
          <w:lang w:val="cs-CZ"/>
        </w:rPr>
        <w:t xml:space="preserve">stech, jako je výzkum, vývoj a inovace. Např. u menších výzkumných grantů na inovační projekty může být obtížné a časově náročné posoudit </w:t>
      </w:r>
      <w:r w:rsidRPr="00ED3950">
        <w:rPr>
          <w:lang w:val="cs-CZ"/>
        </w:rPr>
        <w:t xml:space="preserve">rizika </w:t>
      </w:r>
      <w:r w:rsidRPr="00ED3950">
        <w:rPr>
          <w:lang w:val="cs-CZ"/>
        </w:rPr>
        <w:t xml:space="preserve">spojená s DNSH. </w:t>
      </w:r>
    </w:p>
    <w:p w:rsidR="00C52545" w:rsidRPr="00ED3950" w:rsidRDefault="00C52545" w:rsidP="00C52545">
      <w:pPr>
        <w:rPr>
          <w:rFonts w:eastAsia="Calibri" w:cs="Arial"/>
          <w:lang w:val="cs-CZ"/>
        </w:rPr>
      </w:pPr>
    </w:p>
    <w:p w:rsidR="005840C5" w:rsidRPr="00ED3950" w:rsidRDefault="00ED3950">
      <w:pPr>
        <w:numPr>
          <w:ilvl w:val="1"/>
          <w:numId w:val="0"/>
        </w:numPr>
        <w:tabs>
          <w:tab w:val="left" w:pos="851"/>
        </w:tabs>
        <w:spacing w:before="120" w:after="120"/>
        <w:ind w:left="1134" w:hanging="567"/>
        <w:contextualSpacing/>
        <w:outlineLvl w:val="1"/>
        <w:rPr>
          <w:rFonts w:eastAsia="Calibri" w:cs="Arial"/>
          <w:b/>
          <w:color w:val="005962"/>
          <w:sz w:val="24"/>
          <w:lang w:val="cs-CZ"/>
        </w:rPr>
      </w:pPr>
      <w:bookmarkStart w:id="204" w:name="_Toc127978764"/>
      <w:bookmarkStart w:id="205" w:name="_Toc131757512"/>
      <w:bookmarkStart w:id="206" w:name="_Toc131775905"/>
      <w:r w:rsidRPr="00ED3950">
        <w:rPr>
          <w:rFonts w:eastAsia="Calibri" w:cs="Arial"/>
          <w:b/>
          <w:color w:val="005962"/>
          <w:sz w:val="24"/>
          <w:lang w:val="cs-CZ"/>
        </w:rPr>
        <w:t>Ivana Ptáčková - Ministerstvo průmyslu a obchodu (Česko)</w:t>
      </w:r>
      <w:bookmarkEnd w:id="204"/>
      <w:bookmarkEnd w:id="205"/>
      <w:bookmarkEnd w:id="206"/>
    </w:p>
    <w:p w:rsidR="005840C5" w:rsidRPr="00ED3950" w:rsidRDefault="00ED3950">
      <w:pPr>
        <w:numPr>
          <w:ilvl w:val="2"/>
          <w:numId w:val="0"/>
        </w:numPr>
        <w:tabs>
          <w:tab w:val="left" w:pos="851"/>
        </w:tabs>
        <w:ind w:left="1134" w:hanging="567"/>
        <w:contextualSpacing/>
        <w:outlineLvl w:val="2"/>
        <w:rPr>
          <w:rFonts w:eastAsia="Calibri" w:cs="Arial"/>
          <w:b/>
          <w:i/>
          <w:color w:val="F04E30"/>
          <w:lang w:val="cs-CZ"/>
        </w:rPr>
      </w:pPr>
      <w:bookmarkStart w:id="207" w:name="_Toc127978765"/>
      <w:bookmarkStart w:id="208" w:name="_Toc131757513"/>
      <w:bookmarkStart w:id="209" w:name="_Toc131775906"/>
      <w:r w:rsidRPr="00ED3950">
        <w:rPr>
          <w:rFonts w:eastAsia="Calibri" w:cs="Arial"/>
          <w:b/>
          <w:i/>
          <w:color w:val="F04E30"/>
          <w:lang w:val="cs-CZ"/>
        </w:rPr>
        <w:t>Kontext</w:t>
      </w:r>
      <w:bookmarkEnd w:id="207"/>
      <w:bookmarkEnd w:id="208"/>
      <w:bookmarkEnd w:id="209"/>
    </w:p>
    <w:p w:rsidR="005840C5" w:rsidRPr="00ED3950" w:rsidRDefault="00ED3950">
      <w:pPr>
        <w:rPr>
          <w:rFonts w:eastAsia="Calibri" w:cs="Arial"/>
          <w:lang w:val="cs-CZ"/>
        </w:rPr>
      </w:pPr>
      <w:r w:rsidRPr="00ED3950">
        <w:rPr>
          <w:rFonts w:eastAsia="Calibri" w:cs="Arial"/>
          <w:lang w:val="cs-CZ"/>
        </w:rPr>
        <w:t xml:space="preserve">Prezentace </w:t>
      </w:r>
      <w:r w:rsidRPr="00ED3950">
        <w:rPr>
          <w:rFonts w:eastAsia="Calibri" w:cs="Arial"/>
          <w:lang w:val="cs-CZ"/>
        </w:rPr>
        <w:t xml:space="preserve">se zabývá </w:t>
      </w:r>
      <w:r w:rsidRPr="00ED3950">
        <w:rPr>
          <w:rFonts w:eastAsia="Calibri" w:cs="Arial"/>
          <w:lang w:val="cs-CZ"/>
        </w:rPr>
        <w:t>uplatňováním zásady DNSH a KP ve strukturálních fondech (EFRR). Klíčovou cílovou skupinou ministerstva jsou střední až velké (veřejně vlastněné) podniky a zahrnuje všechna odvětví.</w:t>
      </w:r>
    </w:p>
    <w:p w:rsidR="005840C5" w:rsidRPr="00ED3950" w:rsidRDefault="00ED3950">
      <w:pPr>
        <w:rPr>
          <w:rFonts w:eastAsia="Calibri" w:cs="Arial"/>
          <w:lang w:val="cs-CZ"/>
        </w:rPr>
      </w:pPr>
      <w:r w:rsidRPr="00ED3950">
        <w:rPr>
          <w:rFonts w:eastAsia="Calibri" w:cs="Arial"/>
          <w:lang w:val="cs-CZ"/>
        </w:rPr>
        <w:t>Podnikatelé se potýkají s řadou problémů, o to důležitější je poskytnout ji</w:t>
      </w:r>
      <w:r w:rsidRPr="00ED3950">
        <w:rPr>
          <w:rFonts w:eastAsia="Calibri" w:cs="Arial"/>
          <w:lang w:val="cs-CZ"/>
        </w:rPr>
        <w:t>m jasné a srozumitelné informace o DNSH a CP.</w:t>
      </w:r>
    </w:p>
    <w:p w:rsidR="00C52545" w:rsidRPr="00ED3950" w:rsidRDefault="00C52545" w:rsidP="00C52545">
      <w:pPr>
        <w:rPr>
          <w:rFonts w:eastAsia="Calibri" w:cs="Arial"/>
          <w:lang w:val="cs-CZ"/>
        </w:rPr>
      </w:pPr>
    </w:p>
    <w:p w:rsidR="005840C5" w:rsidRPr="00ED3950" w:rsidRDefault="00ED3950">
      <w:pPr>
        <w:numPr>
          <w:ilvl w:val="2"/>
          <w:numId w:val="0"/>
        </w:numPr>
        <w:tabs>
          <w:tab w:val="left" w:pos="851"/>
        </w:tabs>
        <w:ind w:left="1134" w:hanging="567"/>
        <w:contextualSpacing/>
        <w:outlineLvl w:val="2"/>
        <w:rPr>
          <w:rFonts w:eastAsia="Calibri" w:cs="Arial"/>
          <w:b/>
          <w:i/>
          <w:color w:val="F04E30"/>
          <w:lang w:val="cs-CZ"/>
        </w:rPr>
      </w:pPr>
      <w:bookmarkStart w:id="210" w:name="_Toc127978766"/>
      <w:bookmarkStart w:id="211" w:name="_Toc131757514"/>
      <w:bookmarkStart w:id="212" w:name="_Toc131775907"/>
      <w:r w:rsidRPr="00ED3950">
        <w:rPr>
          <w:rFonts w:eastAsia="Calibri" w:cs="Arial"/>
          <w:b/>
          <w:i/>
          <w:color w:val="F04E30"/>
          <w:lang w:val="cs-CZ"/>
        </w:rPr>
        <w:t>Představení české praxe</w:t>
      </w:r>
      <w:bookmarkEnd w:id="210"/>
      <w:bookmarkEnd w:id="211"/>
      <w:bookmarkEnd w:id="212"/>
    </w:p>
    <w:p w:rsidR="005840C5" w:rsidRPr="00ED3950" w:rsidRDefault="00ED3950">
      <w:pPr>
        <w:rPr>
          <w:rFonts w:eastAsia="Calibri" w:cs="Arial"/>
          <w:lang w:val="cs-CZ"/>
        </w:rPr>
      </w:pPr>
      <w:r w:rsidRPr="00ED3950">
        <w:rPr>
          <w:rFonts w:eastAsia="Calibri" w:cs="Arial"/>
          <w:lang w:val="cs-CZ"/>
        </w:rPr>
        <w:t xml:space="preserve">Klíčovým zdrojem pro vypracování přístupu a metodiky ministerstva jsou technické pokyny vypracované Komisí. Tento přístup pak uplatňují řídicí orgány, např. </w:t>
      </w:r>
      <w:r w:rsidRPr="00ED3950">
        <w:rPr>
          <w:rFonts w:eastAsia="Calibri" w:cs="Arial"/>
          <w:lang w:val="cs-CZ"/>
        </w:rPr>
        <w:t xml:space="preserve">program pro </w:t>
      </w:r>
      <w:r w:rsidRPr="00ED3950">
        <w:rPr>
          <w:rFonts w:eastAsia="Calibri" w:cs="Arial"/>
          <w:lang w:val="cs-CZ"/>
        </w:rPr>
        <w:t>technologie a in</w:t>
      </w:r>
      <w:r w:rsidRPr="00ED3950">
        <w:rPr>
          <w:rFonts w:eastAsia="Calibri" w:cs="Arial"/>
          <w:lang w:val="cs-CZ"/>
        </w:rPr>
        <w:t>ovace.</w:t>
      </w:r>
    </w:p>
    <w:p w:rsidR="005840C5" w:rsidRPr="00ED3950" w:rsidRDefault="00ED3950">
      <w:pPr>
        <w:rPr>
          <w:rFonts w:eastAsia="Calibri" w:cs="Arial"/>
          <w:lang w:val="cs-CZ"/>
        </w:rPr>
      </w:pPr>
      <w:r w:rsidRPr="00ED3950">
        <w:rPr>
          <w:rFonts w:eastAsia="Calibri" w:cs="Arial"/>
          <w:lang w:val="cs-CZ"/>
        </w:rPr>
        <w:t>Pro všechna odvětví se hodnocení DNSH (a případně CP) skládá ze tří kroků:</w:t>
      </w:r>
    </w:p>
    <w:p w:rsidR="005840C5" w:rsidRPr="00ED3950" w:rsidRDefault="00ED3950">
      <w:pPr>
        <w:numPr>
          <w:ilvl w:val="0"/>
          <w:numId w:val="25"/>
        </w:numPr>
        <w:tabs>
          <w:tab w:val="left" w:pos="851"/>
        </w:tabs>
        <w:contextualSpacing/>
        <w:rPr>
          <w:rFonts w:eastAsia="Calibri" w:cs="Arial"/>
          <w:lang w:val="cs-CZ"/>
        </w:rPr>
      </w:pPr>
      <w:r w:rsidRPr="00ED3950">
        <w:rPr>
          <w:rFonts w:eastAsia="Calibri" w:cs="Arial"/>
          <w:lang w:val="cs-CZ"/>
        </w:rPr>
        <w:t>Řídicí orgán posuzuje specifické cíle jednotlivých typů opatření a programů. Může přitom vycházet z aktů v přenesené pravomoci;</w:t>
      </w:r>
    </w:p>
    <w:p w:rsidR="005840C5" w:rsidRPr="00ED3950" w:rsidRDefault="00ED3950">
      <w:pPr>
        <w:numPr>
          <w:ilvl w:val="0"/>
          <w:numId w:val="25"/>
        </w:numPr>
        <w:tabs>
          <w:tab w:val="left" w:pos="851"/>
        </w:tabs>
        <w:contextualSpacing/>
        <w:rPr>
          <w:rFonts w:eastAsia="Calibri" w:cs="Arial"/>
          <w:lang w:val="cs-CZ"/>
        </w:rPr>
      </w:pPr>
      <w:r w:rsidRPr="00ED3950">
        <w:rPr>
          <w:rFonts w:eastAsia="Calibri" w:cs="Arial"/>
          <w:lang w:val="cs-CZ"/>
        </w:rPr>
        <w:t>Analýza je zpřesněna na úrovni činností;</w:t>
      </w:r>
    </w:p>
    <w:p w:rsidR="005840C5" w:rsidRPr="00ED3950" w:rsidRDefault="00ED3950">
      <w:pPr>
        <w:numPr>
          <w:ilvl w:val="0"/>
          <w:numId w:val="25"/>
        </w:numPr>
        <w:tabs>
          <w:tab w:val="left" w:pos="851"/>
        </w:tabs>
        <w:contextualSpacing/>
        <w:rPr>
          <w:rFonts w:eastAsia="Calibri" w:cs="Arial"/>
          <w:lang w:val="cs-CZ"/>
        </w:rPr>
      </w:pPr>
      <w:r w:rsidRPr="00ED3950">
        <w:rPr>
          <w:rFonts w:eastAsia="Calibri" w:cs="Arial"/>
          <w:lang w:val="cs-CZ"/>
        </w:rPr>
        <w:t>Řídic</w:t>
      </w:r>
      <w:r w:rsidRPr="00ED3950">
        <w:rPr>
          <w:rFonts w:eastAsia="Calibri" w:cs="Arial"/>
          <w:lang w:val="cs-CZ"/>
        </w:rPr>
        <w:t>í orgán objasňuje potřebu posouzení DNSH a CP:</w:t>
      </w:r>
    </w:p>
    <w:p w:rsidR="005840C5" w:rsidRPr="00ED3950" w:rsidRDefault="00ED3950">
      <w:pPr>
        <w:numPr>
          <w:ilvl w:val="1"/>
          <w:numId w:val="25"/>
        </w:numPr>
        <w:tabs>
          <w:tab w:val="left" w:pos="851"/>
        </w:tabs>
        <w:contextualSpacing/>
        <w:rPr>
          <w:rFonts w:eastAsia="Calibri" w:cs="Arial"/>
          <w:lang w:val="cs-CZ"/>
        </w:rPr>
      </w:pPr>
      <w:r w:rsidRPr="00ED3950">
        <w:rPr>
          <w:rFonts w:eastAsia="Calibri" w:cs="Arial"/>
          <w:lang w:val="cs-CZ"/>
        </w:rPr>
        <w:t>Postup 1: na úrovni významného příspěvku se při realizaci investice očekávají zanedbatelné dopady;</w:t>
      </w:r>
    </w:p>
    <w:p w:rsidR="005840C5" w:rsidRPr="00ED3950" w:rsidRDefault="00ED3950">
      <w:pPr>
        <w:numPr>
          <w:ilvl w:val="1"/>
          <w:numId w:val="25"/>
        </w:numPr>
        <w:tabs>
          <w:tab w:val="left" w:pos="851"/>
        </w:tabs>
        <w:contextualSpacing/>
        <w:rPr>
          <w:rFonts w:eastAsia="Calibri" w:cs="Arial"/>
          <w:lang w:val="cs-CZ"/>
        </w:rPr>
      </w:pPr>
      <w:r w:rsidRPr="00ED3950">
        <w:rPr>
          <w:rFonts w:eastAsia="Calibri" w:cs="Arial"/>
          <w:lang w:val="cs-CZ"/>
        </w:rPr>
        <w:t>Postup 2: existují povinná kritéria DNSH a případně potřeba CP, která jsou uvedena v technických pokynech;</w:t>
      </w:r>
    </w:p>
    <w:p w:rsidR="005840C5" w:rsidRPr="00ED3950" w:rsidRDefault="00ED3950">
      <w:pPr>
        <w:numPr>
          <w:ilvl w:val="1"/>
          <w:numId w:val="25"/>
        </w:numPr>
        <w:tabs>
          <w:tab w:val="left" w:pos="851"/>
        </w:tabs>
        <w:contextualSpacing/>
        <w:rPr>
          <w:rFonts w:eastAsia="Calibri" w:cs="Arial"/>
          <w:lang w:val="cs-CZ"/>
        </w:rPr>
      </w:pPr>
      <w:r w:rsidRPr="00ED3950">
        <w:rPr>
          <w:rFonts w:eastAsia="Calibri" w:cs="Arial"/>
          <w:lang w:val="cs-CZ"/>
        </w:rPr>
        <w:t>Pos</w:t>
      </w:r>
      <w:r w:rsidRPr="00ED3950">
        <w:rPr>
          <w:rFonts w:eastAsia="Calibri" w:cs="Arial"/>
          <w:lang w:val="cs-CZ"/>
        </w:rPr>
        <w:t>tup č. 3: na investice lze použít technická screeningová kritéria (TSC) uvedená v aktech EU v přenesené pravomoci v oblasti taxonomie.</w:t>
      </w:r>
    </w:p>
    <w:p w:rsidR="005840C5" w:rsidRPr="00ED3950" w:rsidRDefault="00ED3950">
      <w:pPr>
        <w:numPr>
          <w:ilvl w:val="0"/>
          <w:numId w:val="25"/>
        </w:numPr>
        <w:tabs>
          <w:tab w:val="left" w:pos="851"/>
        </w:tabs>
        <w:contextualSpacing/>
        <w:rPr>
          <w:rFonts w:eastAsia="Calibri" w:cs="Arial"/>
          <w:lang w:val="cs-CZ"/>
        </w:rPr>
      </w:pPr>
      <w:r w:rsidRPr="00ED3950">
        <w:rPr>
          <w:rFonts w:eastAsia="Calibri" w:cs="Arial"/>
          <w:i/>
          <w:iCs/>
          <w:lang w:val="cs-CZ"/>
        </w:rPr>
        <w:lastRenderedPageBreak/>
        <w:t>Pro CP</w:t>
      </w:r>
      <w:r w:rsidRPr="00ED3950">
        <w:rPr>
          <w:rFonts w:eastAsia="Calibri" w:cs="Arial"/>
          <w:lang w:val="cs-CZ"/>
        </w:rPr>
        <w:t xml:space="preserve">. Řídicí orgán přímo posuzuje, zda by program mohl na úrovni činnosti překročit 20 000 t CO2e. To pomáhá objasnit, </w:t>
      </w:r>
      <w:r w:rsidRPr="00ED3950">
        <w:rPr>
          <w:rFonts w:eastAsia="Calibri" w:cs="Arial"/>
          <w:lang w:val="cs-CZ"/>
        </w:rPr>
        <w:t>do jaké míry je CP vyžadován.</w:t>
      </w:r>
    </w:p>
    <w:p w:rsidR="005840C5" w:rsidRPr="00ED3950" w:rsidRDefault="00ED3950">
      <w:pPr>
        <w:tabs>
          <w:tab w:val="left" w:pos="851"/>
        </w:tabs>
        <w:ind w:left="1571"/>
        <w:contextualSpacing/>
        <w:rPr>
          <w:rFonts w:eastAsia="Calibri" w:cs="Arial"/>
          <w:lang w:val="cs-CZ"/>
        </w:rPr>
      </w:pPr>
      <w:r w:rsidRPr="00ED3950">
        <w:rPr>
          <w:rFonts w:eastAsia="Calibri" w:cs="Arial"/>
          <w:lang w:val="cs-CZ"/>
        </w:rPr>
        <w:t>V současné době je tento přístup považován za spolehlivý pro menší investice. To umožňuje jeho zjednodušení a poskytnutí jasných pokynů menším žadatelům.</w:t>
      </w:r>
    </w:p>
    <w:p w:rsidR="00C52545" w:rsidRPr="00ED3950" w:rsidRDefault="00C52545" w:rsidP="00C52545">
      <w:pPr>
        <w:rPr>
          <w:rFonts w:eastAsia="Calibri" w:cs="Arial"/>
          <w:lang w:val="cs-CZ"/>
        </w:rPr>
      </w:pPr>
    </w:p>
    <w:p w:rsidR="005840C5" w:rsidRPr="00ED3950" w:rsidRDefault="00ED3950">
      <w:pPr>
        <w:rPr>
          <w:rFonts w:eastAsia="Calibri" w:cs="Arial"/>
          <w:lang w:val="cs-CZ"/>
        </w:rPr>
      </w:pPr>
      <w:r w:rsidRPr="00ED3950">
        <w:rPr>
          <w:rFonts w:eastAsia="Calibri" w:cs="Arial"/>
          <w:lang w:val="cs-CZ"/>
        </w:rPr>
        <w:t>V případě investic do výzkumu a vývoje a zelených inovací vyžaduje použití TSC jasnou definici a zkušenosti s používanou technologií. Pokud takové podrobnosti chybí, řídicí orgán používá klimatické značky (029 a 030) k identifikaci investic, u nichž se oče</w:t>
      </w:r>
      <w:r w:rsidRPr="00ED3950">
        <w:rPr>
          <w:rFonts w:eastAsia="Calibri" w:cs="Arial"/>
          <w:lang w:val="cs-CZ"/>
        </w:rPr>
        <w:t xml:space="preserve">kává pozitivní dopad. Pro tyto způsobilé investice poskytuje řídicí orgán žadatelům šablonu, jejímž prostřednictvím mohou žadatelé uvést, že splňují požadavky specifické pro každý </w:t>
      </w:r>
      <w:proofErr w:type="gramStart"/>
      <w:r w:rsidRPr="00ED3950">
        <w:rPr>
          <w:rFonts w:eastAsia="Calibri" w:cs="Arial"/>
          <w:lang w:val="cs-CZ"/>
        </w:rPr>
        <w:t>ze</w:t>
      </w:r>
      <w:proofErr w:type="gramEnd"/>
      <w:r w:rsidRPr="00ED3950">
        <w:rPr>
          <w:rFonts w:eastAsia="Calibri" w:cs="Arial"/>
          <w:lang w:val="cs-CZ"/>
        </w:rPr>
        <w:t xml:space="preserve"> 6 environmentálních cílů. Žadatel navrhne vlastní prohlášení, kterým prok</w:t>
      </w:r>
      <w:r w:rsidRPr="00ED3950">
        <w:rPr>
          <w:rFonts w:eastAsia="Calibri" w:cs="Arial"/>
          <w:lang w:val="cs-CZ"/>
        </w:rPr>
        <w:t>áže splnění požadavků. Formuláře jsou hodnoceny na základě bodového hodnocení. Bodové hodnocení se opírá o kvalitativní posouzení a může být -mimo jiné- doloženo podnikatelským plánem žadatele.</w:t>
      </w:r>
    </w:p>
    <w:p w:rsidR="00C52545" w:rsidRPr="00ED3950" w:rsidRDefault="00C52545" w:rsidP="00C52545">
      <w:pPr>
        <w:rPr>
          <w:rFonts w:eastAsia="Calibri" w:cs="Arial"/>
          <w:lang w:val="cs-CZ"/>
        </w:rPr>
      </w:pPr>
    </w:p>
    <w:p w:rsidR="005840C5" w:rsidRPr="00ED3950" w:rsidRDefault="00ED3950">
      <w:pPr>
        <w:rPr>
          <w:rFonts w:eastAsia="Calibri" w:cs="Arial"/>
          <w:lang w:val="cs-CZ"/>
        </w:rPr>
      </w:pPr>
      <w:r w:rsidRPr="00ED3950">
        <w:rPr>
          <w:rFonts w:eastAsia="Calibri" w:cs="Arial"/>
          <w:lang w:val="cs-CZ"/>
        </w:rPr>
        <w:t>V případě investic do energetické účinnosti, obnovitelných zd</w:t>
      </w:r>
      <w:r w:rsidRPr="00ED3950">
        <w:rPr>
          <w:rFonts w:eastAsia="Calibri" w:cs="Arial"/>
          <w:lang w:val="cs-CZ"/>
        </w:rPr>
        <w:t>rojů energie a energetické infrastruktury se vychází z evropské legislativy (včetně nařízení v přenesené pravomoci 2021/2139). Podobně jako v případě investic do výzkumu a vývoje jsou ke každé investici přiřazeny klimatické značky. Žadatel uvede, že splňuj</w:t>
      </w:r>
      <w:r w:rsidRPr="00ED3950">
        <w:rPr>
          <w:rFonts w:eastAsia="Calibri" w:cs="Arial"/>
          <w:lang w:val="cs-CZ"/>
        </w:rPr>
        <w:t>e všechna stávající kritéria TSC, a poskytne otevřené zdůvodnění, jak budou kritéria splněna.</w:t>
      </w:r>
    </w:p>
    <w:p w:rsidR="00C52545" w:rsidRPr="00ED3950" w:rsidRDefault="00C52545" w:rsidP="00C52545">
      <w:pPr>
        <w:rPr>
          <w:rFonts w:eastAsia="Calibri" w:cs="Arial"/>
          <w:lang w:val="cs-CZ"/>
        </w:rPr>
      </w:pPr>
    </w:p>
    <w:p w:rsidR="005840C5" w:rsidRPr="00ED3950" w:rsidRDefault="00ED3950">
      <w:pPr>
        <w:numPr>
          <w:ilvl w:val="2"/>
          <w:numId w:val="0"/>
        </w:numPr>
        <w:tabs>
          <w:tab w:val="left" w:pos="851"/>
        </w:tabs>
        <w:ind w:left="1134" w:hanging="567"/>
        <w:contextualSpacing/>
        <w:outlineLvl w:val="2"/>
        <w:rPr>
          <w:rFonts w:eastAsia="Calibri" w:cs="Arial"/>
          <w:b/>
          <w:i/>
          <w:color w:val="F04E30"/>
          <w:lang w:val="cs-CZ"/>
        </w:rPr>
      </w:pPr>
      <w:bookmarkStart w:id="213" w:name="_Toc127978767"/>
      <w:bookmarkStart w:id="214" w:name="_Toc131757515"/>
      <w:bookmarkStart w:id="215" w:name="_Toc131775908"/>
      <w:r w:rsidRPr="00ED3950">
        <w:rPr>
          <w:rFonts w:eastAsia="Calibri" w:cs="Arial"/>
          <w:b/>
          <w:i/>
          <w:color w:val="F04E30"/>
          <w:lang w:val="cs-CZ"/>
        </w:rPr>
        <w:t>Výzvy</w:t>
      </w:r>
      <w:bookmarkEnd w:id="213"/>
      <w:bookmarkEnd w:id="214"/>
      <w:bookmarkEnd w:id="215"/>
    </w:p>
    <w:p w:rsidR="005840C5" w:rsidRPr="00ED3950" w:rsidRDefault="00ED3950">
      <w:pPr>
        <w:rPr>
          <w:rFonts w:eastAsia="Calibri" w:cs="Arial"/>
          <w:lang w:val="cs-CZ"/>
        </w:rPr>
      </w:pPr>
      <w:r w:rsidRPr="00ED3950">
        <w:rPr>
          <w:rFonts w:eastAsia="Calibri" w:cs="Arial"/>
          <w:lang w:val="cs-CZ"/>
        </w:rPr>
        <w:t>Pro ministerstvo, řídicí orgány a žadatele z toho vyplývá řada výzev. Patří mezi ně zejména:</w:t>
      </w:r>
    </w:p>
    <w:p w:rsidR="005840C5" w:rsidRPr="00ED3950" w:rsidRDefault="00ED3950">
      <w:pPr>
        <w:pStyle w:val="lp11"/>
        <w:numPr>
          <w:ilvl w:val="0"/>
          <w:numId w:val="8"/>
        </w:numPr>
        <w:rPr>
          <w:lang w:val="cs-CZ"/>
        </w:rPr>
      </w:pPr>
      <w:r w:rsidRPr="00ED3950">
        <w:rPr>
          <w:lang w:val="cs-CZ"/>
        </w:rPr>
        <w:t xml:space="preserve">Specifika finančních nástrojů a související analýzy, které je </w:t>
      </w:r>
      <w:r w:rsidRPr="00ED3950">
        <w:rPr>
          <w:lang w:val="cs-CZ"/>
        </w:rPr>
        <w:t>třeba provést, nejsou zcela jasné;</w:t>
      </w:r>
    </w:p>
    <w:p w:rsidR="005840C5" w:rsidRPr="00ED3950" w:rsidRDefault="00ED3950">
      <w:pPr>
        <w:pStyle w:val="lp11"/>
        <w:numPr>
          <w:ilvl w:val="0"/>
          <w:numId w:val="8"/>
        </w:numPr>
        <w:rPr>
          <w:lang w:val="cs-CZ"/>
        </w:rPr>
      </w:pPr>
      <w:r w:rsidRPr="00ED3950">
        <w:rPr>
          <w:lang w:val="cs-CZ"/>
        </w:rPr>
        <w:t>Vzájemné vazby mezi TSC a již existujícími legislativními povinnostmi jsou nejasné;</w:t>
      </w:r>
    </w:p>
    <w:p w:rsidR="005840C5" w:rsidRPr="00ED3950" w:rsidRDefault="00ED3950">
      <w:pPr>
        <w:pStyle w:val="lp11"/>
        <w:numPr>
          <w:ilvl w:val="0"/>
          <w:numId w:val="8"/>
        </w:numPr>
        <w:rPr>
          <w:lang w:val="cs-CZ"/>
        </w:rPr>
      </w:pPr>
      <w:r w:rsidRPr="00ED3950">
        <w:rPr>
          <w:lang w:val="cs-CZ"/>
        </w:rPr>
        <w:t>Omezená kapacita a nemožnost malých a středních podniků používat taxonomii EU;</w:t>
      </w:r>
    </w:p>
    <w:p w:rsidR="005840C5" w:rsidRPr="00ED3950" w:rsidRDefault="00ED3950">
      <w:pPr>
        <w:pStyle w:val="lp11"/>
        <w:numPr>
          <w:ilvl w:val="0"/>
          <w:numId w:val="8"/>
        </w:numPr>
        <w:rPr>
          <w:lang w:val="cs-CZ"/>
        </w:rPr>
      </w:pPr>
      <w:r w:rsidRPr="00ED3950">
        <w:rPr>
          <w:lang w:val="cs-CZ"/>
        </w:rPr>
        <w:t xml:space="preserve">Identifikace a výběr požadavků nebo kritérií v oblastech, </w:t>
      </w:r>
      <w:r w:rsidRPr="00ED3950">
        <w:rPr>
          <w:lang w:val="cs-CZ"/>
        </w:rPr>
        <w:t>kde se očekává zveřejnění kritérií (např. textilní výrobky pro oběhový systém);</w:t>
      </w:r>
    </w:p>
    <w:p w:rsidR="005840C5" w:rsidRPr="00ED3950" w:rsidRDefault="00ED3950">
      <w:pPr>
        <w:pStyle w:val="lp11"/>
        <w:numPr>
          <w:ilvl w:val="0"/>
          <w:numId w:val="8"/>
        </w:numPr>
        <w:rPr>
          <w:lang w:val="cs-CZ"/>
        </w:rPr>
      </w:pPr>
      <w:r w:rsidRPr="00ED3950">
        <w:rPr>
          <w:lang w:val="cs-CZ"/>
        </w:rPr>
        <w:t>Volba kritérií v případech, kdy neexistují žádné specifikace - řídicí orgány prozatím využívají platné právní předpisy;</w:t>
      </w:r>
    </w:p>
    <w:p w:rsidR="005840C5" w:rsidRPr="00ED3950" w:rsidRDefault="00ED3950">
      <w:pPr>
        <w:pStyle w:val="lp11"/>
        <w:numPr>
          <w:ilvl w:val="0"/>
          <w:numId w:val="8"/>
        </w:numPr>
        <w:rPr>
          <w:lang w:val="cs-CZ"/>
        </w:rPr>
      </w:pPr>
      <w:r w:rsidRPr="00ED3950">
        <w:rPr>
          <w:lang w:val="cs-CZ"/>
        </w:rPr>
        <w:t>Identifikace a využití údajů k provádění CP.</w:t>
      </w:r>
    </w:p>
    <w:p w:rsidR="00C52545" w:rsidRPr="00ED3950" w:rsidRDefault="00C52545" w:rsidP="00C52545">
      <w:pPr>
        <w:rPr>
          <w:rFonts w:eastAsia="Calibri" w:cs="Arial"/>
          <w:lang w:val="cs-CZ"/>
        </w:rPr>
      </w:pPr>
    </w:p>
    <w:p w:rsidR="005840C5" w:rsidRPr="00ED3950" w:rsidRDefault="00ED3950">
      <w:pPr>
        <w:numPr>
          <w:ilvl w:val="1"/>
          <w:numId w:val="0"/>
        </w:numPr>
        <w:tabs>
          <w:tab w:val="left" w:pos="851"/>
        </w:tabs>
        <w:spacing w:before="120" w:after="120"/>
        <w:ind w:left="1134" w:hanging="567"/>
        <w:contextualSpacing/>
        <w:outlineLvl w:val="1"/>
        <w:rPr>
          <w:rFonts w:eastAsia="Calibri" w:cs="Arial"/>
          <w:b/>
          <w:color w:val="005962"/>
          <w:sz w:val="24"/>
          <w:lang w:val="cs-CZ"/>
        </w:rPr>
      </w:pPr>
      <w:bookmarkStart w:id="216" w:name="_Toc127978768"/>
      <w:bookmarkStart w:id="217" w:name="_Toc131757516"/>
      <w:bookmarkStart w:id="218" w:name="_Toc131775909"/>
      <w:proofErr w:type="spellStart"/>
      <w:r w:rsidRPr="00ED3950">
        <w:rPr>
          <w:rFonts w:eastAsia="Calibri" w:cs="Arial"/>
          <w:b/>
          <w:color w:val="005962"/>
          <w:sz w:val="24"/>
          <w:lang w:val="cs-CZ"/>
        </w:rPr>
        <w:t>Juha</w:t>
      </w:r>
      <w:proofErr w:type="spellEnd"/>
      <w:r w:rsidRPr="00ED3950">
        <w:rPr>
          <w:rFonts w:eastAsia="Calibri" w:cs="Arial"/>
          <w:b/>
          <w:color w:val="005962"/>
          <w:sz w:val="24"/>
          <w:lang w:val="cs-CZ"/>
        </w:rPr>
        <w:t xml:space="preserve"> </w:t>
      </w:r>
      <w:proofErr w:type="spellStart"/>
      <w:r w:rsidRPr="00ED3950">
        <w:rPr>
          <w:rFonts w:eastAsia="Calibri" w:cs="Arial"/>
          <w:b/>
          <w:color w:val="005962"/>
          <w:sz w:val="24"/>
          <w:lang w:val="cs-CZ"/>
        </w:rPr>
        <w:t>Ollik</w:t>
      </w:r>
      <w:r w:rsidRPr="00ED3950">
        <w:rPr>
          <w:rFonts w:eastAsia="Calibri" w:cs="Arial"/>
          <w:b/>
          <w:color w:val="005962"/>
          <w:sz w:val="24"/>
          <w:lang w:val="cs-CZ"/>
        </w:rPr>
        <w:t>ainen</w:t>
      </w:r>
      <w:proofErr w:type="spellEnd"/>
      <w:r w:rsidRPr="00ED3950">
        <w:rPr>
          <w:rFonts w:eastAsia="Calibri" w:cs="Arial"/>
          <w:b/>
          <w:color w:val="005962"/>
          <w:sz w:val="24"/>
          <w:lang w:val="cs-CZ"/>
        </w:rPr>
        <w:t xml:space="preserve"> - Finský klimatický fond (Finsko)</w:t>
      </w:r>
      <w:bookmarkEnd w:id="216"/>
      <w:bookmarkEnd w:id="217"/>
      <w:bookmarkEnd w:id="218"/>
    </w:p>
    <w:p w:rsidR="005840C5" w:rsidRPr="00ED3950" w:rsidRDefault="00ED3950">
      <w:pPr>
        <w:numPr>
          <w:ilvl w:val="2"/>
          <w:numId w:val="0"/>
        </w:numPr>
        <w:tabs>
          <w:tab w:val="left" w:pos="851"/>
        </w:tabs>
        <w:ind w:left="1134" w:hanging="567"/>
        <w:contextualSpacing/>
        <w:outlineLvl w:val="2"/>
        <w:rPr>
          <w:rFonts w:eastAsia="Calibri" w:cs="Arial"/>
          <w:b/>
          <w:i/>
          <w:color w:val="F04E30"/>
          <w:lang w:val="cs-CZ"/>
        </w:rPr>
      </w:pPr>
      <w:bookmarkStart w:id="219" w:name="_Toc127978769"/>
      <w:bookmarkStart w:id="220" w:name="_Toc131757517"/>
      <w:bookmarkStart w:id="221" w:name="_Toc131775910"/>
      <w:r w:rsidRPr="00ED3950">
        <w:rPr>
          <w:rFonts w:eastAsia="Calibri" w:cs="Arial"/>
          <w:b/>
          <w:i/>
          <w:color w:val="F04E30"/>
          <w:lang w:val="cs-CZ"/>
        </w:rPr>
        <w:t>Kontext</w:t>
      </w:r>
      <w:bookmarkEnd w:id="219"/>
      <w:bookmarkEnd w:id="220"/>
      <w:bookmarkEnd w:id="221"/>
    </w:p>
    <w:p w:rsidR="005840C5" w:rsidRPr="00ED3950" w:rsidRDefault="00ED3950">
      <w:pPr>
        <w:rPr>
          <w:rFonts w:eastAsia="Calibri" w:cs="Arial"/>
          <w:lang w:val="cs-CZ"/>
        </w:rPr>
      </w:pPr>
      <w:r w:rsidRPr="00ED3950">
        <w:rPr>
          <w:rFonts w:eastAsia="Calibri" w:cs="Arial"/>
          <w:lang w:val="cs-CZ"/>
        </w:rPr>
        <w:t xml:space="preserve">Fond je ve vlastnictví státu, investice směřují </w:t>
      </w:r>
      <w:r w:rsidRPr="00ED3950">
        <w:rPr>
          <w:rFonts w:eastAsia="Calibri" w:cs="Arial"/>
          <w:lang w:val="cs-CZ"/>
        </w:rPr>
        <w:t xml:space="preserve">především </w:t>
      </w:r>
      <w:r w:rsidRPr="00ED3950">
        <w:rPr>
          <w:rFonts w:eastAsia="Calibri" w:cs="Arial"/>
          <w:lang w:val="cs-CZ"/>
        </w:rPr>
        <w:t xml:space="preserve">do klimatických </w:t>
      </w:r>
      <w:r w:rsidRPr="00ED3950">
        <w:rPr>
          <w:rFonts w:eastAsia="Calibri" w:cs="Arial"/>
          <w:lang w:val="cs-CZ"/>
        </w:rPr>
        <w:t xml:space="preserve">technologií a </w:t>
      </w:r>
      <w:r w:rsidRPr="00ED3950">
        <w:rPr>
          <w:rFonts w:eastAsia="Calibri" w:cs="Arial"/>
          <w:lang w:val="cs-CZ"/>
        </w:rPr>
        <w:t xml:space="preserve">jsou ve fázi rozšiřování. Fond je v provozu od roku 2021. Doposud bylo učiněno </w:t>
      </w:r>
      <w:r w:rsidRPr="00ED3950">
        <w:rPr>
          <w:rFonts w:eastAsia="Calibri" w:cs="Arial"/>
          <w:lang w:val="cs-CZ"/>
        </w:rPr>
        <w:t xml:space="preserve">přibližně 20 </w:t>
      </w:r>
      <w:r w:rsidRPr="00ED3950">
        <w:rPr>
          <w:rFonts w:eastAsia="Calibri" w:cs="Arial"/>
          <w:lang w:val="cs-CZ"/>
        </w:rPr>
        <w:t>investičních rozhodnutí, kaž</w:t>
      </w:r>
      <w:r w:rsidRPr="00ED3950">
        <w:rPr>
          <w:rFonts w:eastAsia="Calibri" w:cs="Arial"/>
          <w:lang w:val="cs-CZ"/>
        </w:rPr>
        <w:t xml:space="preserve">dé v rozmezí investiční částky mezi 4-40 miliony eur. </w:t>
      </w:r>
    </w:p>
    <w:p w:rsidR="00C52545" w:rsidRPr="00ED3950" w:rsidRDefault="00C52545" w:rsidP="00C52545">
      <w:pPr>
        <w:rPr>
          <w:rFonts w:eastAsia="Calibri" w:cs="Arial"/>
          <w:lang w:val="cs-CZ"/>
        </w:rPr>
      </w:pPr>
    </w:p>
    <w:p w:rsidR="005840C5" w:rsidRPr="00ED3950" w:rsidRDefault="00ED3950">
      <w:pPr>
        <w:numPr>
          <w:ilvl w:val="2"/>
          <w:numId w:val="0"/>
        </w:numPr>
        <w:tabs>
          <w:tab w:val="left" w:pos="851"/>
        </w:tabs>
        <w:ind w:left="567" w:hanging="567"/>
        <w:contextualSpacing/>
        <w:outlineLvl w:val="2"/>
        <w:rPr>
          <w:rFonts w:eastAsia="Calibri" w:cs="Arial"/>
          <w:b/>
          <w:i/>
          <w:color w:val="F04E30"/>
          <w:lang w:val="cs-CZ"/>
        </w:rPr>
      </w:pPr>
      <w:bookmarkStart w:id="222" w:name="_Toc127978770"/>
      <w:r w:rsidRPr="00ED3950">
        <w:rPr>
          <w:rFonts w:eastAsia="Calibri" w:cs="Arial"/>
          <w:b/>
          <w:i/>
          <w:color w:val="F04E30"/>
          <w:lang w:val="cs-CZ"/>
        </w:rPr>
        <w:tab/>
      </w:r>
      <w:bookmarkStart w:id="223" w:name="_Toc131757518"/>
      <w:bookmarkStart w:id="224" w:name="_Toc131775911"/>
      <w:r w:rsidR="00C52545" w:rsidRPr="00ED3950">
        <w:rPr>
          <w:rFonts w:eastAsia="Calibri" w:cs="Arial"/>
          <w:b/>
          <w:i/>
          <w:color w:val="F04E30"/>
          <w:lang w:val="cs-CZ"/>
        </w:rPr>
        <w:t>Prezentace finské praxe</w:t>
      </w:r>
      <w:bookmarkEnd w:id="222"/>
      <w:bookmarkEnd w:id="223"/>
      <w:bookmarkEnd w:id="224"/>
    </w:p>
    <w:p w:rsidR="005840C5" w:rsidRPr="00ED3950" w:rsidRDefault="00ED3950">
      <w:pPr>
        <w:rPr>
          <w:rFonts w:eastAsia="Calibri" w:cs="Arial"/>
          <w:lang w:val="cs-CZ"/>
        </w:rPr>
      </w:pPr>
      <w:r w:rsidRPr="00ED3950">
        <w:rPr>
          <w:rFonts w:eastAsia="Calibri" w:cs="Arial"/>
          <w:lang w:val="cs-CZ"/>
        </w:rPr>
        <w:t xml:space="preserve">Každá investice musí splňovat předběžné podmínky. </w:t>
      </w:r>
      <w:r w:rsidRPr="00ED3950">
        <w:rPr>
          <w:rFonts w:eastAsia="Calibri" w:cs="Arial"/>
          <w:lang w:val="cs-CZ"/>
        </w:rPr>
        <w:t xml:space="preserve">Pokud jsou předběžné podmínky splněny, provede se konečná </w:t>
      </w:r>
      <w:proofErr w:type="spellStart"/>
      <w:r w:rsidRPr="00ED3950">
        <w:rPr>
          <w:rFonts w:eastAsia="Calibri" w:cs="Arial"/>
          <w:lang w:val="cs-CZ"/>
        </w:rPr>
        <w:t>prioritizace</w:t>
      </w:r>
      <w:proofErr w:type="spellEnd"/>
      <w:r w:rsidRPr="00ED3950">
        <w:rPr>
          <w:rFonts w:eastAsia="Calibri" w:cs="Arial"/>
          <w:lang w:val="cs-CZ"/>
        </w:rPr>
        <w:t xml:space="preserve"> a výběr investičních návrhů na základě kritérií dopadu. </w:t>
      </w:r>
      <w:r w:rsidRPr="00ED3950">
        <w:rPr>
          <w:rFonts w:eastAsia="Calibri" w:cs="Arial"/>
          <w:lang w:val="cs-CZ"/>
        </w:rPr>
        <w:t xml:space="preserve">Předpoklady </w:t>
      </w:r>
      <w:r w:rsidRPr="00ED3950">
        <w:rPr>
          <w:rFonts w:eastAsia="Calibri" w:cs="Arial"/>
          <w:lang w:val="cs-CZ"/>
        </w:rPr>
        <w:t>jsou následující:</w:t>
      </w:r>
    </w:p>
    <w:p w:rsidR="005840C5" w:rsidRPr="00ED3950" w:rsidRDefault="00ED3950">
      <w:pPr>
        <w:numPr>
          <w:ilvl w:val="0"/>
          <w:numId w:val="26"/>
        </w:numPr>
        <w:tabs>
          <w:tab w:val="left" w:pos="851"/>
        </w:tabs>
        <w:contextualSpacing/>
        <w:rPr>
          <w:rFonts w:eastAsia="Calibri" w:cs="Arial"/>
          <w:lang w:val="cs-CZ"/>
        </w:rPr>
      </w:pPr>
      <w:r w:rsidRPr="00ED3950">
        <w:rPr>
          <w:rFonts w:eastAsia="Calibri" w:cs="Arial"/>
          <w:lang w:val="cs-CZ"/>
        </w:rPr>
        <w:t>Věrohodný plán splácení investice a návratnosti kapitálu;</w:t>
      </w:r>
    </w:p>
    <w:p w:rsidR="005840C5" w:rsidRPr="00ED3950" w:rsidRDefault="00ED3950">
      <w:pPr>
        <w:numPr>
          <w:ilvl w:val="0"/>
          <w:numId w:val="26"/>
        </w:numPr>
        <w:tabs>
          <w:tab w:val="left" w:pos="851"/>
        </w:tabs>
        <w:contextualSpacing/>
        <w:rPr>
          <w:rFonts w:eastAsia="Calibri" w:cs="Arial"/>
          <w:lang w:val="cs-CZ"/>
        </w:rPr>
      </w:pPr>
      <w:r w:rsidRPr="00ED3950">
        <w:rPr>
          <w:rFonts w:eastAsia="Calibri" w:cs="Arial"/>
          <w:lang w:val="cs-CZ"/>
        </w:rPr>
        <w:t>Díky investicím Klimatického fondu bude p</w:t>
      </w:r>
      <w:r w:rsidRPr="00ED3950">
        <w:rPr>
          <w:rFonts w:eastAsia="Calibri" w:cs="Arial"/>
          <w:lang w:val="cs-CZ"/>
        </w:rPr>
        <w:t>rojekt realizován v první řadě dříve nebo ve větším měřítku;</w:t>
      </w:r>
    </w:p>
    <w:p w:rsidR="005840C5" w:rsidRPr="00ED3950" w:rsidRDefault="00ED3950">
      <w:pPr>
        <w:numPr>
          <w:ilvl w:val="0"/>
          <w:numId w:val="26"/>
        </w:numPr>
        <w:tabs>
          <w:tab w:val="left" w:pos="851"/>
        </w:tabs>
        <w:contextualSpacing/>
        <w:rPr>
          <w:rFonts w:eastAsia="Calibri" w:cs="Arial"/>
          <w:lang w:val="cs-CZ"/>
        </w:rPr>
      </w:pPr>
      <w:r w:rsidRPr="00ED3950">
        <w:rPr>
          <w:rFonts w:eastAsia="Calibri" w:cs="Arial"/>
          <w:lang w:val="cs-CZ"/>
        </w:rPr>
        <w:t>Sladění s DNSH.</w:t>
      </w:r>
    </w:p>
    <w:p w:rsidR="00C52545" w:rsidRPr="00ED3950" w:rsidRDefault="00C52545" w:rsidP="00C52545">
      <w:pPr>
        <w:rPr>
          <w:rFonts w:eastAsia="Calibri" w:cs="Arial"/>
          <w:lang w:val="cs-CZ"/>
        </w:rPr>
      </w:pPr>
    </w:p>
    <w:p w:rsidR="005840C5" w:rsidRPr="00ED3950" w:rsidRDefault="00ED3950">
      <w:pPr>
        <w:rPr>
          <w:rFonts w:eastAsia="Calibri" w:cs="Arial"/>
          <w:lang w:val="cs-CZ"/>
        </w:rPr>
      </w:pPr>
      <w:r w:rsidRPr="00ED3950">
        <w:rPr>
          <w:rFonts w:eastAsia="Calibri" w:cs="Arial"/>
          <w:lang w:val="cs-CZ"/>
        </w:rPr>
        <w:lastRenderedPageBreak/>
        <w:t xml:space="preserve">Následně se investice </w:t>
      </w:r>
      <w:r w:rsidRPr="00ED3950">
        <w:rPr>
          <w:rFonts w:eastAsia="Calibri" w:cs="Arial"/>
          <w:lang w:val="cs-CZ"/>
        </w:rPr>
        <w:t xml:space="preserve">analyzuje z hlediska </w:t>
      </w:r>
      <w:r w:rsidRPr="00ED3950">
        <w:rPr>
          <w:rFonts w:eastAsia="Calibri" w:cs="Arial"/>
          <w:lang w:val="cs-CZ"/>
        </w:rPr>
        <w:t xml:space="preserve">potenciálu snížení emisí, produktivity a obchodního potenciálu. Nakonec je provedeno specifické posouzení investičního návrhu. </w:t>
      </w:r>
      <w:r w:rsidRPr="00ED3950">
        <w:rPr>
          <w:rFonts w:eastAsia="Calibri" w:cs="Arial"/>
          <w:lang w:val="cs-CZ"/>
        </w:rPr>
        <w:t xml:space="preserve">Proces </w:t>
      </w:r>
      <w:r w:rsidRPr="00ED3950">
        <w:rPr>
          <w:rFonts w:eastAsia="Calibri" w:cs="Arial"/>
          <w:lang w:val="cs-CZ"/>
        </w:rPr>
        <w:t>D</w:t>
      </w:r>
      <w:r w:rsidRPr="00ED3950">
        <w:rPr>
          <w:rFonts w:eastAsia="Calibri" w:cs="Arial"/>
          <w:lang w:val="cs-CZ"/>
        </w:rPr>
        <w:t xml:space="preserve">NSH </w:t>
      </w:r>
      <w:r w:rsidRPr="00ED3950">
        <w:rPr>
          <w:rFonts w:eastAsia="Calibri" w:cs="Arial"/>
          <w:lang w:val="cs-CZ"/>
        </w:rPr>
        <w:t xml:space="preserve">začíná </w:t>
      </w:r>
      <w:r w:rsidRPr="00ED3950">
        <w:rPr>
          <w:rFonts w:eastAsia="Calibri" w:cs="Arial"/>
          <w:lang w:val="cs-CZ"/>
        </w:rPr>
        <w:t>úvodní analýzou DNSH</w:t>
      </w:r>
      <w:r w:rsidRPr="00ED3950">
        <w:rPr>
          <w:rFonts w:eastAsia="Calibri" w:cs="Arial"/>
          <w:lang w:val="cs-CZ"/>
        </w:rPr>
        <w:t>, kterou provádí navrhovatel</w:t>
      </w:r>
      <w:r w:rsidRPr="00ED3950">
        <w:rPr>
          <w:rFonts w:eastAsia="Calibri" w:cs="Arial"/>
          <w:lang w:val="cs-CZ"/>
        </w:rPr>
        <w:t xml:space="preserve">. Finský klimatický fond podporuje klienta v tomto procesu </w:t>
      </w:r>
      <w:r w:rsidRPr="00ED3950">
        <w:rPr>
          <w:rFonts w:eastAsia="Calibri" w:cs="Arial"/>
          <w:lang w:val="cs-CZ"/>
        </w:rPr>
        <w:t xml:space="preserve">- </w:t>
      </w:r>
      <w:r w:rsidRPr="00ED3950">
        <w:rPr>
          <w:rFonts w:eastAsia="Calibri" w:cs="Arial"/>
          <w:lang w:val="cs-CZ"/>
        </w:rPr>
        <w:t xml:space="preserve">podpora se ukázala jako obzvláště důležitá vzhledem k novosti DNSH, </w:t>
      </w:r>
      <w:r w:rsidRPr="00ED3950">
        <w:rPr>
          <w:rFonts w:eastAsia="Calibri" w:cs="Arial"/>
          <w:lang w:val="cs-CZ"/>
        </w:rPr>
        <w:t xml:space="preserve">složitosti </w:t>
      </w:r>
      <w:r w:rsidRPr="00ED3950">
        <w:rPr>
          <w:rFonts w:eastAsia="Calibri" w:cs="Arial"/>
          <w:lang w:val="cs-CZ"/>
        </w:rPr>
        <w:t>samotného procesu a velikosti společností (</w:t>
      </w:r>
      <w:r w:rsidRPr="00ED3950">
        <w:rPr>
          <w:rFonts w:eastAsia="Calibri" w:cs="Arial"/>
          <w:lang w:val="cs-CZ"/>
        </w:rPr>
        <w:t>což jsou často</w:t>
      </w:r>
      <w:r w:rsidRPr="00ED3950">
        <w:rPr>
          <w:rFonts w:eastAsia="Calibri" w:cs="Arial"/>
          <w:lang w:val="cs-CZ"/>
        </w:rPr>
        <w:t xml:space="preserve"> </w:t>
      </w:r>
      <w:r w:rsidRPr="00ED3950">
        <w:rPr>
          <w:rFonts w:eastAsia="Calibri" w:cs="Arial"/>
          <w:lang w:val="cs-CZ"/>
        </w:rPr>
        <w:t xml:space="preserve">malé </w:t>
      </w:r>
      <w:r w:rsidRPr="00ED3950">
        <w:rPr>
          <w:rFonts w:eastAsia="Calibri" w:cs="Arial"/>
          <w:lang w:val="cs-CZ"/>
        </w:rPr>
        <w:t>až mikro subjekty)</w:t>
      </w:r>
      <w:r w:rsidRPr="00ED3950">
        <w:rPr>
          <w:rFonts w:eastAsia="Calibri" w:cs="Arial"/>
          <w:lang w:val="cs-CZ"/>
        </w:rPr>
        <w:t xml:space="preserve">. </w:t>
      </w:r>
      <w:r w:rsidRPr="00ED3950">
        <w:rPr>
          <w:rFonts w:eastAsia="Calibri" w:cs="Arial"/>
          <w:lang w:val="cs-CZ"/>
        </w:rPr>
        <w:t xml:space="preserve">Analýzu DNSH pak ověřuje </w:t>
      </w:r>
      <w:r w:rsidRPr="00ED3950">
        <w:rPr>
          <w:rFonts w:eastAsia="Calibri" w:cs="Arial"/>
          <w:lang w:val="cs-CZ"/>
        </w:rPr>
        <w:t>fond</w:t>
      </w:r>
      <w:r w:rsidRPr="00ED3950">
        <w:rPr>
          <w:rFonts w:eastAsia="Calibri" w:cs="Arial"/>
          <w:lang w:val="cs-CZ"/>
        </w:rPr>
        <w:t xml:space="preserve">. Pro tento krok </w:t>
      </w:r>
      <w:r w:rsidRPr="00ED3950">
        <w:rPr>
          <w:rFonts w:eastAsia="Calibri" w:cs="Arial"/>
          <w:lang w:val="cs-CZ"/>
        </w:rPr>
        <w:t xml:space="preserve">si </w:t>
      </w:r>
      <w:r w:rsidRPr="00ED3950">
        <w:rPr>
          <w:rFonts w:eastAsia="Calibri" w:cs="Arial"/>
          <w:lang w:val="cs-CZ"/>
        </w:rPr>
        <w:t xml:space="preserve">fond </w:t>
      </w:r>
      <w:r w:rsidRPr="00ED3950">
        <w:rPr>
          <w:rFonts w:eastAsia="Calibri" w:cs="Arial"/>
          <w:lang w:val="cs-CZ"/>
        </w:rPr>
        <w:t xml:space="preserve">obvykle najímá technického experta se </w:t>
      </w:r>
      <w:r w:rsidRPr="00ED3950">
        <w:rPr>
          <w:rFonts w:eastAsia="Calibri" w:cs="Arial"/>
          <w:lang w:val="cs-CZ"/>
        </w:rPr>
        <w:t xml:space="preserve">specifickými </w:t>
      </w:r>
      <w:r w:rsidRPr="00ED3950">
        <w:rPr>
          <w:rFonts w:eastAsia="Calibri" w:cs="Arial"/>
          <w:lang w:val="cs-CZ"/>
        </w:rPr>
        <w:t>technickými znalostmi. Zjištěné otevřené problémy a nejasnosti jsou řešeny prostřednictvím následných opatření a povinnosti p</w:t>
      </w:r>
      <w:r w:rsidRPr="00ED3950">
        <w:rPr>
          <w:rFonts w:eastAsia="Calibri" w:cs="Arial"/>
          <w:lang w:val="cs-CZ"/>
        </w:rPr>
        <w:t>odávat zprávy.</w:t>
      </w:r>
    </w:p>
    <w:p w:rsidR="005840C5" w:rsidRPr="00ED3950" w:rsidRDefault="00ED3950">
      <w:pPr>
        <w:rPr>
          <w:rFonts w:eastAsia="Calibri" w:cs="Arial"/>
          <w:lang w:val="cs-CZ"/>
        </w:rPr>
      </w:pPr>
      <w:r w:rsidRPr="00ED3950">
        <w:rPr>
          <w:rFonts w:eastAsia="Calibri" w:cs="Arial"/>
          <w:lang w:val="cs-CZ"/>
        </w:rPr>
        <w:t xml:space="preserve">V současné době </w:t>
      </w:r>
      <w:r w:rsidRPr="00ED3950">
        <w:rPr>
          <w:rFonts w:eastAsia="Calibri" w:cs="Arial"/>
          <w:lang w:val="cs-CZ"/>
        </w:rPr>
        <w:t xml:space="preserve">fond používá jako </w:t>
      </w:r>
      <w:r w:rsidRPr="00ED3950">
        <w:rPr>
          <w:rFonts w:eastAsia="Calibri" w:cs="Arial"/>
          <w:lang w:val="cs-CZ"/>
        </w:rPr>
        <w:t xml:space="preserve">základ pro </w:t>
      </w:r>
      <w:r w:rsidRPr="00ED3950">
        <w:rPr>
          <w:rFonts w:eastAsia="Calibri" w:cs="Arial"/>
          <w:lang w:val="cs-CZ"/>
        </w:rPr>
        <w:t xml:space="preserve">uplatňování </w:t>
      </w:r>
      <w:r w:rsidRPr="00ED3950">
        <w:rPr>
          <w:rFonts w:eastAsia="Calibri" w:cs="Arial"/>
          <w:lang w:val="cs-CZ"/>
        </w:rPr>
        <w:t xml:space="preserve">zásady DNSH kritéria z </w:t>
      </w:r>
      <w:r w:rsidRPr="00ED3950">
        <w:rPr>
          <w:rFonts w:eastAsia="Calibri" w:cs="Arial"/>
          <w:lang w:val="cs-CZ"/>
        </w:rPr>
        <w:t>(i</w:t>
      </w:r>
      <w:r w:rsidRPr="00ED3950">
        <w:rPr>
          <w:rFonts w:eastAsia="Calibri" w:cs="Arial"/>
          <w:lang w:val="cs-CZ"/>
        </w:rPr>
        <w:t xml:space="preserve">) </w:t>
      </w:r>
      <w:r w:rsidRPr="00ED3950">
        <w:rPr>
          <w:rFonts w:eastAsia="Calibri" w:cs="Arial"/>
          <w:lang w:val="cs-CZ"/>
        </w:rPr>
        <w:t xml:space="preserve">aktů EU v </w:t>
      </w:r>
      <w:r w:rsidRPr="00ED3950">
        <w:rPr>
          <w:rFonts w:eastAsia="Calibri" w:cs="Arial"/>
          <w:lang w:val="cs-CZ"/>
        </w:rPr>
        <w:t xml:space="preserve">přenesené pravomoci v oblasti taxonomie a </w:t>
      </w:r>
      <w:r w:rsidRPr="00ED3950">
        <w:rPr>
          <w:rFonts w:eastAsia="Calibri" w:cs="Arial"/>
          <w:lang w:val="cs-CZ"/>
        </w:rPr>
        <w:t>(</w:t>
      </w:r>
      <w:proofErr w:type="spellStart"/>
      <w:r w:rsidRPr="00ED3950">
        <w:rPr>
          <w:rFonts w:eastAsia="Calibri" w:cs="Arial"/>
          <w:lang w:val="cs-CZ"/>
        </w:rPr>
        <w:t>ii</w:t>
      </w:r>
      <w:proofErr w:type="spellEnd"/>
      <w:r w:rsidRPr="00ED3950">
        <w:rPr>
          <w:rFonts w:eastAsia="Calibri" w:cs="Arial"/>
          <w:lang w:val="cs-CZ"/>
        </w:rPr>
        <w:t xml:space="preserve">) </w:t>
      </w:r>
      <w:r w:rsidRPr="00ED3950">
        <w:rPr>
          <w:rFonts w:eastAsia="Calibri" w:cs="Arial"/>
          <w:lang w:val="cs-CZ"/>
        </w:rPr>
        <w:t xml:space="preserve">pokynů DNSH </w:t>
      </w:r>
      <w:r w:rsidRPr="00ED3950">
        <w:rPr>
          <w:rFonts w:eastAsia="Calibri" w:cs="Arial"/>
          <w:lang w:val="cs-CZ"/>
        </w:rPr>
        <w:t xml:space="preserve">vypracovaných </w:t>
      </w:r>
      <w:r w:rsidRPr="00ED3950">
        <w:rPr>
          <w:rFonts w:eastAsia="Calibri" w:cs="Arial"/>
          <w:lang w:val="cs-CZ"/>
        </w:rPr>
        <w:t>Finským institutem životního prostředí</w:t>
      </w:r>
      <w:r w:rsidRPr="00ED3950">
        <w:rPr>
          <w:rFonts w:eastAsia="Calibri" w:cs="Arial"/>
          <w:lang w:val="cs-CZ"/>
        </w:rPr>
        <w:t xml:space="preserve">. </w:t>
      </w:r>
      <w:r w:rsidRPr="00ED3950">
        <w:rPr>
          <w:rFonts w:eastAsia="Calibri" w:cs="Arial"/>
          <w:lang w:val="cs-CZ"/>
        </w:rPr>
        <w:t>Tento proces stále probíhá a je př</w:t>
      </w:r>
      <w:r w:rsidRPr="00ED3950">
        <w:rPr>
          <w:rFonts w:eastAsia="Calibri" w:cs="Arial"/>
          <w:lang w:val="cs-CZ"/>
        </w:rPr>
        <w:t xml:space="preserve">ipraven začlenit další pokyny, jakmile budou k dispozici, konkrétně nové </w:t>
      </w:r>
      <w:r w:rsidRPr="00ED3950">
        <w:rPr>
          <w:rFonts w:eastAsia="Calibri" w:cs="Arial"/>
          <w:lang w:val="cs-CZ"/>
        </w:rPr>
        <w:t xml:space="preserve">akty </w:t>
      </w:r>
      <w:r w:rsidRPr="00ED3950">
        <w:rPr>
          <w:rFonts w:eastAsia="Calibri" w:cs="Arial"/>
          <w:lang w:val="cs-CZ"/>
        </w:rPr>
        <w:t>EU v přenesené pravomoci v oblasti taxonomie a vnitrostátní pokyny (</w:t>
      </w:r>
      <w:r w:rsidRPr="00ED3950">
        <w:rPr>
          <w:rFonts w:eastAsia="Calibri" w:cs="Arial"/>
          <w:lang w:val="cs-CZ"/>
        </w:rPr>
        <w:t>vypracované v rámci projektu TSI)</w:t>
      </w:r>
      <w:r w:rsidRPr="00ED3950">
        <w:rPr>
          <w:rFonts w:eastAsia="Calibri" w:cs="Arial"/>
          <w:lang w:val="cs-CZ"/>
        </w:rPr>
        <w:t>.</w:t>
      </w:r>
    </w:p>
    <w:p w:rsidR="00C52545" w:rsidRPr="00ED3950" w:rsidRDefault="00C52545" w:rsidP="00C52545">
      <w:pPr>
        <w:rPr>
          <w:rFonts w:eastAsia="Calibri" w:cs="Arial"/>
          <w:lang w:val="cs-CZ"/>
        </w:rPr>
      </w:pPr>
    </w:p>
    <w:p w:rsidR="005840C5" w:rsidRPr="00ED3950" w:rsidRDefault="00ED3950">
      <w:pPr>
        <w:numPr>
          <w:ilvl w:val="2"/>
          <w:numId w:val="0"/>
        </w:numPr>
        <w:tabs>
          <w:tab w:val="left" w:pos="851"/>
        </w:tabs>
        <w:ind w:left="1134" w:hanging="567"/>
        <w:contextualSpacing/>
        <w:outlineLvl w:val="2"/>
        <w:rPr>
          <w:rFonts w:eastAsia="Calibri" w:cs="Arial"/>
          <w:b/>
          <w:i/>
          <w:color w:val="F04E30"/>
          <w:lang w:val="cs-CZ"/>
        </w:rPr>
      </w:pPr>
      <w:bookmarkStart w:id="225" w:name="_Toc127978771"/>
      <w:bookmarkStart w:id="226" w:name="_Toc131757519"/>
      <w:bookmarkStart w:id="227" w:name="_Toc131775912"/>
      <w:r w:rsidRPr="00ED3950">
        <w:rPr>
          <w:rFonts w:eastAsia="Calibri" w:cs="Arial"/>
          <w:b/>
          <w:i/>
          <w:color w:val="F04E30"/>
          <w:lang w:val="cs-CZ"/>
        </w:rPr>
        <w:t>Pokračování: poznatky a budoucí výzvy</w:t>
      </w:r>
      <w:bookmarkEnd w:id="225"/>
      <w:bookmarkEnd w:id="226"/>
      <w:bookmarkEnd w:id="227"/>
    </w:p>
    <w:p w:rsidR="005840C5" w:rsidRPr="00ED3950" w:rsidRDefault="00ED3950">
      <w:pPr>
        <w:rPr>
          <w:lang w:val="cs-CZ"/>
        </w:rPr>
      </w:pPr>
      <w:r w:rsidRPr="00ED3950">
        <w:rPr>
          <w:lang w:val="cs-CZ"/>
        </w:rPr>
        <w:t>Uvádějí se získané zkušenosti a výzvy:</w:t>
      </w:r>
    </w:p>
    <w:p w:rsidR="005840C5" w:rsidRPr="00ED3950" w:rsidRDefault="00ED3950">
      <w:pPr>
        <w:pStyle w:val="lp11"/>
        <w:numPr>
          <w:ilvl w:val="0"/>
          <w:numId w:val="8"/>
        </w:numPr>
        <w:rPr>
          <w:lang w:val="cs-CZ"/>
        </w:rPr>
      </w:pPr>
      <w:r w:rsidRPr="00ED3950">
        <w:rPr>
          <w:lang w:val="cs-CZ"/>
        </w:rPr>
        <w:t xml:space="preserve">Princip </w:t>
      </w:r>
      <w:r w:rsidRPr="00ED3950">
        <w:rPr>
          <w:lang w:val="cs-CZ"/>
        </w:rPr>
        <w:t>DNSH je stále ve vývoji. Pro firmy je také nový, takže potřebují podporu;</w:t>
      </w:r>
    </w:p>
    <w:p w:rsidR="005840C5" w:rsidRPr="00ED3950" w:rsidRDefault="00ED3950">
      <w:pPr>
        <w:pStyle w:val="lp11"/>
        <w:numPr>
          <w:ilvl w:val="0"/>
          <w:numId w:val="8"/>
        </w:numPr>
        <w:rPr>
          <w:lang w:val="cs-CZ"/>
        </w:rPr>
      </w:pPr>
      <w:r w:rsidRPr="00ED3950">
        <w:rPr>
          <w:lang w:val="cs-CZ"/>
        </w:rPr>
        <w:t xml:space="preserve">Mnoho kritérií DNSH </w:t>
      </w:r>
      <w:r w:rsidRPr="00ED3950">
        <w:rPr>
          <w:lang w:val="cs-CZ"/>
        </w:rPr>
        <w:t xml:space="preserve">se týká </w:t>
      </w:r>
      <w:r w:rsidRPr="00ED3950">
        <w:rPr>
          <w:lang w:val="cs-CZ"/>
        </w:rPr>
        <w:t>provozní fáze a nelze je zkontrolovat předem</w:t>
      </w:r>
      <w:r w:rsidRPr="00ED3950">
        <w:rPr>
          <w:lang w:val="cs-CZ"/>
        </w:rPr>
        <w:t xml:space="preserve">. Stejně tak v </w:t>
      </w:r>
      <w:r w:rsidRPr="00ED3950">
        <w:rPr>
          <w:lang w:val="cs-CZ"/>
        </w:rPr>
        <w:t xml:space="preserve">mnoha případech EIA a environmentální povolení </w:t>
      </w:r>
      <w:r w:rsidRPr="00ED3950">
        <w:rPr>
          <w:lang w:val="cs-CZ"/>
        </w:rPr>
        <w:t>p</w:t>
      </w:r>
      <w:r w:rsidRPr="00ED3950">
        <w:rPr>
          <w:lang w:val="cs-CZ"/>
        </w:rPr>
        <w:t xml:space="preserve">odporují uplatnění DNSH </w:t>
      </w:r>
      <w:r w:rsidRPr="00ED3950">
        <w:rPr>
          <w:lang w:val="cs-CZ"/>
        </w:rPr>
        <w:t xml:space="preserve">až v pozdější fázi </w:t>
      </w:r>
      <w:r w:rsidRPr="00ED3950">
        <w:rPr>
          <w:lang w:val="cs-CZ"/>
        </w:rPr>
        <w:t>projektu</w:t>
      </w:r>
      <w:r w:rsidRPr="00ED3950">
        <w:rPr>
          <w:lang w:val="cs-CZ"/>
        </w:rPr>
        <w:t>;</w:t>
      </w:r>
    </w:p>
    <w:p w:rsidR="005840C5" w:rsidRPr="00ED3950" w:rsidRDefault="00ED3950">
      <w:pPr>
        <w:pStyle w:val="lp11"/>
        <w:numPr>
          <w:ilvl w:val="0"/>
          <w:numId w:val="8"/>
        </w:numPr>
        <w:rPr>
          <w:lang w:val="cs-CZ"/>
        </w:rPr>
      </w:pPr>
      <w:r w:rsidRPr="00ED3950">
        <w:rPr>
          <w:lang w:val="cs-CZ"/>
        </w:rPr>
        <w:t>Bylo by vhodné, aby požadavky byly na legislativní úrovni jasnější;</w:t>
      </w:r>
    </w:p>
    <w:p w:rsidR="005840C5" w:rsidRPr="00ED3950" w:rsidRDefault="00ED3950">
      <w:pPr>
        <w:pStyle w:val="lp11"/>
        <w:numPr>
          <w:ilvl w:val="0"/>
          <w:numId w:val="8"/>
        </w:numPr>
        <w:rPr>
          <w:lang w:val="cs-CZ"/>
        </w:rPr>
      </w:pPr>
      <w:r w:rsidRPr="00ED3950">
        <w:rPr>
          <w:lang w:val="cs-CZ"/>
        </w:rPr>
        <w:t xml:space="preserve">Pojem </w:t>
      </w:r>
      <w:r w:rsidRPr="00ED3950">
        <w:rPr>
          <w:lang w:val="cs-CZ"/>
        </w:rPr>
        <w:t xml:space="preserve">"dostatečná" úroveň analýzy je </w:t>
      </w:r>
      <w:r w:rsidRPr="00ED3950">
        <w:rPr>
          <w:lang w:val="cs-CZ"/>
        </w:rPr>
        <w:t>nejasný a obtížně definovatelný</w:t>
      </w:r>
      <w:r w:rsidRPr="00ED3950">
        <w:rPr>
          <w:lang w:val="cs-CZ"/>
        </w:rPr>
        <w:t>;</w:t>
      </w:r>
    </w:p>
    <w:p w:rsidR="005840C5" w:rsidRPr="00ED3950" w:rsidRDefault="00ED3950">
      <w:pPr>
        <w:pStyle w:val="lp11"/>
        <w:numPr>
          <w:ilvl w:val="0"/>
          <w:numId w:val="8"/>
        </w:numPr>
        <w:rPr>
          <w:lang w:val="cs-CZ"/>
        </w:rPr>
      </w:pPr>
      <w:r w:rsidRPr="00ED3950">
        <w:rPr>
          <w:lang w:val="cs-CZ"/>
        </w:rPr>
        <w:t>Pro různé typy projektů budou velmi užitečné referenční hodnoty a</w:t>
      </w:r>
      <w:r w:rsidRPr="00ED3950">
        <w:rPr>
          <w:lang w:val="cs-CZ"/>
        </w:rPr>
        <w:t xml:space="preserve"> příklady (např. </w:t>
      </w:r>
      <w:r w:rsidRPr="00ED3950">
        <w:rPr>
          <w:lang w:val="cs-CZ"/>
        </w:rPr>
        <w:t>příklady analýzy dat)</w:t>
      </w:r>
      <w:r w:rsidRPr="00ED3950">
        <w:rPr>
          <w:lang w:val="cs-CZ"/>
        </w:rPr>
        <w:t>;</w:t>
      </w:r>
    </w:p>
    <w:p w:rsidR="005840C5" w:rsidRPr="00ED3950" w:rsidRDefault="00ED3950">
      <w:pPr>
        <w:pStyle w:val="lp11"/>
        <w:numPr>
          <w:ilvl w:val="0"/>
          <w:numId w:val="8"/>
        </w:numPr>
        <w:rPr>
          <w:lang w:val="cs-CZ"/>
        </w:rPr>
      </w:pPr>
      <w:r w:rsidRPr="00ED3950">
        <w:rPr>
          <w:lang w:val="cs-CZ"/>
        </w:rPr>
        <w:t xml:space="preserve">K této analýze je třeba mít poměrně specifické znalosti. Odborník (odborníci) musí </w:t>
      </w:r>
      <w:r w:rsidRPr="00ED3950">
        <w:rPr>
          <w:lang w:val="cs-CZ"/>
        </w:rPr>
        <w:t xml:space="preserve">dobře </w:t>
      </w:r>
      <w:r w:rsidRPr="00ED3950">
        <w:rPr>
          <w:lang w:val="cs-CZ"/>
        </w:rPr>
        <w:t xml:space="preserve">znát </w:t>
      </w:r>
      <w:r w:rsidRPr="00ED3950">
        <w:rPr>
          <w:lang w:val="cs-CZ"/>
        </w:rPr>
        <w:t xml:space="preserve">národní </w:t>
      </w:r>
      <w:r w:rsidRPr="00ED3950">
        <w:rPr>
          <w:lang w:val="cs-CZ"/>
        </w:rPr>
        <w:t xml:space="preserve">legislativu, konkrétně v oblasti technologií. To je důvod, </w:t>
      </w:r>
      <w:r w:rsidRPr="00ED3950">
        <w:rPr>
          <w:lang w:val="cs-CZ"/>
        </w:rPr>
        <w:t xml:space="preserve">proč </w:t>
      </w:r>
      <w:r w:rsidRPr="00ED3950">
        <w:rPr>
          <w:lang w:val="cs-CZ"/>
        </w:rPr>
        <w:t>Fond ve fázi hodnocení využívá externí poradce;</w:t>
      </w:r>
    </w:p>
    <w:p w:rsidR="005840C5" w:rsidRPr="00ED3950" w:rsidRDefault="00ED3950">
      <w:pPr>
        <w:pStyle w:val="lp11"/>
        <w:numPr>
          <w:ilvl w:val="0"/>
          <w:numId w:val="8"/>
        </w:numPr>
        <w:rPr>
          <w:lang w:val="cs-CZ"/>
        </w:rPr>
      </w:pPr>
      <w:r w:rsidRPr="00ED3950">
        <w:rPr>
          <w:lang w:val="cs-CZ"/>
        </w:rPr>
        <w:t>Je</w:t>
      </w:r>
      <w:r w:rsidRPr="00ED3950">
        <w:rPr>
          <w:lang w:val="cs-CZ"/>
        </w:rPr>
        <w:t>dnou z věcí, o které se uvažuje, je akreditace poradců;</w:t>
      </w:r>
    </w:p>
    <w:p w:rsidR="005840C5" w:rsidRPr="00ED3950" w:rsidRDefault="00ED3950">
      <w:pPr>
        <w:pStyle w:val="lp11"/>
        <w:numPr>
          <w:ilvl w:val="0"/>
          <w:numId w:val="8"/>
        </w:numPr>
        <w:rPr>
          <w:lang w:val="cs-CZ"/>
        </w:rPr>
      </w:pPr>
      <w:r w:rsidRPr="00ED3950">
        <w:rPr>
          <w:lang w:val="cs-CZ"/>
        </w:rPr>
        <w:t xml:space="preserve">Navzdory snahám o omezení administrativní zátěže </w:t>
      </w:r>
      <w:r w:rsidRPr="00ED3950">
        <w:rPr>
          <w:lang w:val="cs-CZ"/>
        </w:rPr>
        <w:t xml:space="preserve">přináší </w:t>
      </w:r>
      <w:r w:rsidRPr="00ED3950">
        <w:rPr>
          <w:lang w:val="cs-CZ"/>
        </w:rPr>
        <w:t xml:space="preserve">každá </w:t>
      </w:r>
      <w:r w:rsidRPr="00ED3950">
        <w:rPr>
          <w:lang w:val="cs-CZ"/>
        </w:rPr>
        <w:t xml:space="preserve">analýza transakční náklady. </w:t>
      </w:r>
    </w:p>
    <w:p w:rsidR="00C52545" w:rsidRPr="00ED3950" w:rsidRDefault="00C52545" w:rsidP="00C52545">
      <w:pPr>
        <w:tabs>
          <w:tab w:val="left" w:pos="851"/>
        </w:tabs>
        <w:ind w:left="720"/>
        <w:contextualSpacing/>
        <w:rPr>
          <w:rFonts w:eastAsia="Calibri" w:cs="Arial"/>
          <w:lang w:val="cs-CZ"/>
        </w:rPr>
      </w:pPr>
    </w:p>
    <w:p w:rsidR="005840C5" w:rsidRPr="00ED3950" w:rsidRDefault="00ED3950">
      <w:pPr>
        <w:numPr>
          <w:ilvl w:val="1"/>
          <w:numId w:val="0"/>
        </w:numPr>
        <w:tabs>
          <w:tab w:val="left" w:pos="851"/>
        </w:tabs>
        <w:spacing w:before="120" w:after="120"/>
        <w:ind w:left="1134" w:hanging="567"/>
        <w:contextualSpacing/>
        <w:outlineLvl w:val="1"/>
        <w:rPr>
          <w:rFonts w:eastAsia="Calibri" w:cs="Arial"/>
          <w:b/>
          <w:color w:val="005962"/>
          <w:sz w:val="24"/>
          <w:lang w:val="cs-CZ"/>
        </w:rPr>
      </w:pPr>
      <w:bookmarkStart w:id="228" w:name="_Toc127978772"/>
      <w:bookmarkStart w:id="229" w:name="_Toc131757520"/>
      <w:bookmarkStart w:id="230" w:name="_Toc131775913"/>
      <w:proofErr w:type="spellStart"/>
      <w:r w:rsidRPr="00ED3950">
        <w:rPr>
          <w:rFonts w:eastAsia="Calibri" w:cs="Arial"/>
          <w:b/>
          <w:color w:val="005962"/>
          <w:sz w:val="24"/>
          <w:lang w:val="cs-CZ"/>
        </w:rPr>
        <w:t>Moritz</w:t>
      </w:r>
      <w:proofErr w:type="spellEnd"/>
      <w:r w:rsidRPr="00ED3950">
        <w:rPr>
          <w:rFonts w:eastAsia="Calibri" w:cs="Arial"/>
          <w:b/>
          <w:color w:val="005962"/>
          <w:sz w:val="24"/>
          <w:lang w:val="cs-CZ"/>
        </w:rPr>
        <w:t xml:space="preserve"> Schwarz &amp; </w:t>
      </w:r>
      <w:proofErr w:type="spellStart"/>
      <w:r w:rsidRPr="00ED3950">
        <w:rPr>
          <w:rFonts w:eastAsia="Calibri" w:cs="Arial"/>
          <w:b/>
          <w:color w:val="005962"/>
          <w:sz w:val="24"/>
          <w:lang w:val="cs-CZ"/>
        </w:rPr>
        <w:t>Kerstin</w:t>
      </w:r>
      <w:proofErr w:type="spellEnd"/>
      <w:r w:rsidRPr="00ED3950">
        <w:rPr>
          <w:rFonts w:eastAsia="Calibri" w:cs="Arial"/>
          <w:b/>
          <w:color w:val="005962"/>
          <w:sz w:val="24"/>
          <w:lang w:val="cs-CZ"/>
        </w:rPr>
        <w:t xml:space="preserve"> </w:t>
      </w:r>
      <w:proofErr w:type="spellStart"/>
      <w:r w:rsidRPr="00ED3950">
        <w:rPr>
          <w:rFonts w:eastAsia="Calibri" w:cs="Arial"/>
          <w:b/>
          <w:color w:val="005962"/>
          <w:sz w:val="24"/>
          <w:lang w:val="cs-CZ"/>
        </w:rPr>
        <w:t>Haider</w:t>
      </w:r>
      <w:proofErr w:type="spellEnd"/>
      <w:r w:rsidRPr="00ED3950">
        <w:rPr>
          <w:rFonts w:eastAsia="Calibri" w:cs="Arial"/>
          <w:b/>
          <w:color w:val="005962"/>
          <w:sz w:val="24"/>
          <w:lang w:val="cs-CZ"/>
        </w:rPr>
        <w:t xml:space="preserve"> - Ministerstvo financí (Rakousko)</w:t>
      </w:r>
      <w:bookmarkEnd w:id="228"/>
      <w:bookmarkEnd w:id="229"/>
      <w:bookmarkEnd w:id="230"/>
    </w:p>
    <w:p w:rsidR="005840C5" w:rsidRPr="00ED3950" w:rsidRDefault="00ED3950">
      <w:pPr>
        <w:numPr>
          <w:ilvl w:val="2"/>
          <w:numId w:val="0"/>
        </w:numPr>
        <w:tabs>
          <w:tab w:val="left" w:pos="851"/>
        </w:tabs>
        <w:ind w:left="1134" w:hanging="567"/>
        <w:contextualSpacing/>
        <w:outlineLvl w:val="2"/>
        <w:rPr>
          <w:rFonts w:eastAsia="Calibri" w:cs="Arial"/>
          <w:b/>
          <w:i/>
          <w:color w:val="F04E30"/>
          <w:lang w:val="cs-CZ"/>
        </w:rPr>
      </w:pPr>
      <w:bookmarkStart w:id="231" w:name="_Toc127978773"/>
      <w:bookmarkStart w:id="232" w:name="_Toc131757521"/>
      <w:bookmarkStart w:id="233" w:name="_Toc131775914"/>
      <w:r w:rsidRPr="00ED3950">
        <w:rPr>
          <w:rFonts w:eastAsia="Calibri" w:cs="Arial"/>
          <w:b/>
          <w:i/>
          <w:color w:val="F04E30"/>
          <w:lang w:val="cs-CZ"/>
        </w:rPr>
        <w:t>Kontext</w:t>
      </w:r>
      <w:bookmarkEnd w:id="231"/>
      <w:bookmarkEnd w:id="232"/>
      <w:bookmarkEnd w:id="233"/>
    </w:p>
    <w:p w:rsidR="005840C5" w:rsidRPr="00ED3950" w:rsidRDefault="00ED3950">
      <w:pPr>
        <w:rPr>
          <w:rFonts w:eastAsia="Calibri" w:cs="Arial"/>
          <w:lang w:val="cs-CZ"/>
        </w:rPr>
      </w:pPr>
      <w:r w:rsidRPr="00ED3950">
        <w:rPr>
          <w:rFonts w:eastAsia="Calibri" w:cs="Arial"/>
          <w:lang w:val="cs-CZ"/>
        </w:rPr>
        <w:t>V Rakousku je tvorba zeleného rozpočtu plně v režii ministerstva financí, a to jak strategicky, tak operativně. Ministerstvo uplatňuje holistický přístup k přezkumu všech aspektů rozpočtu. V tomto ohledu jde toto cvičení dále než k analýze rozpočtových pol</w:t>
      </w:r>
      <w:r w:rsidRPr="00ED3950">
        <w:rPr>
          <w:rFonts w:eastAsia="Calibri" w:cs="Arial"/>
          <w:lang w:val="cs-CZ"/>
        </w:rPr>
        <w:t>ožek - usnadnilo emisi zelených dluhopisů, vedlo k makroekonomickému modelování účinků skleníkových plynů a k modernizaci metodik pro hodnocení dopadů.</w:t>
      </w:r>
    </w:p>
    <w:p w:rsidR="00C52545" w:rsidRPr="00ED3950" w:rsidRDefault="00C52545" w:rsidP="00C52545">
      <w:pPr>
        <w:rPr>
          <w:rFonts w:eastAsia="Calibri" w:cs="Arial"/>
          <w:lang w:val="cs-CZ"/>
        </w:rPr>
      </w:pPr>
    </w:p>
    <w:p w:rsidR="005840C5" w:rsidRPr="00ED3950" w:rsidRDefault="00ED3950">
      <w:pPr>
        <w:numPr>
          <w:ilvl w:val="2"/>
          <w:numId w:val="0"/>
        </w:numPr>
        <w:tabs>
          <w:tab w:val="left" w:pos="851"/>
        </w:tabs>
        <w:ind w:left="1134" w:hanging="567"/>
        <w:contextualSpacing/>
        <w:outlineLvl w:val="2"/>
        <w:rPr>
          <w:rFonts w:eastAsia="Calibri" w:cs="Arial"/>
          <w:b/>
          <w:i/>
          <w:color w:val="F04E30"/>
          <w:lang w:val="cs-CZ"/>
        </w:rPr>
      </w:pPr>
      <w:bookmarkStart w:id="234" w:name="_Toc127978774"/>
      <w:bookmarkStart w:id="235" w:name="_Toc131757522"/>
      <w:bookmarkStart w:id="236" w:name="_Toc131775915"/>
      <w:r w:rsidRPr="00ED3950">
        <w:rPr>
          <w:rFonts w:eastAsia="Calibri" w:cs="Arial"/>
          <w:b/>
          <w:i/>
          <w:color w:val="F04E30"/>
          <w:lang w:val="cs-CZ"/>
        </w:rPr>
        <w:t>Představení metodiky</w:t>
      </w:r>
      <w:bookmarkEnd w:id="234"/>
      <w:bookmarkEnd w:id="235"/>
      <w:bookmarkEnd w:id="236"/>
    </w:p>
    <w:p w:rsidR="005840C5" w:rsidRPr="00ED3950" w:rsidRDefault="00ED3950">
      <w:pPr>
        <w:rPr>
          <w:rFonts w:eastAsia="Calibri" w:cs="Arial"/>
          <w:lang w:val="cs-CZ"/>
        </w:rPr>
      </w:pPr>
      <w:r w:rsidRPr="00ED3950">
        <w:rPr>
          <w:rFonts w:eastAsia="Calibri" w:cs="Arial"/>
          <w:lang w:val="cs-CZ"/>
        </w:rPr>
        <w:t>Zelené rozpočtování v Rakousku se řídí souborem zásad:</w:t>
      </w:r>
    </w:p>
    <w:p w:rsidR="005840C5" w:rsidRPr="00ED3950" w:rsidRDefault="00ED3950">
      <w:pPr>
        <w:pStyle w:val="lp11"/>
        <w:numPr>
          <w:ilvl w:val="0"/>
          <w:numId w:val="8"/>
        </w:numPr>
        <w:rPr>
          <w:lang w:val="cs-CZ"/>
        </w:rPr>
      </w:pPr>
      <w:r w:rsidRPr="00ED3950">
        <w:rPr>
          <w:lang w:val="cs-CZ"/>
        </w:rPr>
        <w:t>Celostní přístup: přezkoumá</w:t>
      </w:r>
      <w:r w:rsidRPr="00ED3950">
        <w:rPr>
          <w:lang w:val="cs-CZ"/>
        </w:rPr>
        <w:t>vají se všechny typy politik bez ohledu na ministerstvo nebo příslušný orgán;</w:t>
      </w:r>
    </w:p>
    <w:p w:rsidR="005840C5" w:rsidRPr="00ED3950" w:rsidRDefault="00ED3950">
      <w:pPr>
        <w:pStyle w:val="lp11"/>
        <w:numPr>
          <w:ilvl w:val="0"/>
          <w:numId w:val="8"/>
        </w:numPr>
        <w:rPr>
          <w:lang w:val="cs-CZ"/>
        </w:rPr>
      </w:pPr>
      <w:r w:rsidRPr="00ED3950">
        <w:rPr>
          <w:lang w:val="cs-CZ"/>
        </w:rPr>
        <w:t>Přezkoumejte všechny nástroje: včetně daní, daňových úlev, výdajů a příjmů;</w:t>
      </w:r>
    </w:p>
    <w:p w:rsidR="005840C5" w:rsidRPr="00ED3950" w:rsidRDefault="00ED3950">
      <w:pPr>
        <w:pStyle w:val="lp11"/>
        <w:numPr>
          <w:ilvl w:val="0"/>
          <w:numId w:val="8"/>
        </w:numPr>
        <w:rPr>
          <w:lang w:val="cs-CZ"/>
        </w:rPr>
      </w:pPr>
      <w:r w:rsidRPr="00ED3950">
        <w:rPr>
          <w:lang w:val="cs-CZ"/>
        </w:rPr>
        <w:t>Přijmout postupný přístup: vzhledem k úloze regionů hodlá ministerstvo rozšířit svůj přístup k regioná</w:t>
      </w:r>
      <w:r w:rsidRPr="00ED3950">
        <w:rPr>
          <w:lang w:val="cs-CZ"/>
        </w:rPr>
        <w:t>lnímu rozpočtování nad rámec federálních výdajů;</w:t>
      </w:r>
    </w:p>
    <w:p w:rsidR="005840C5" w:rsidRPr="00ED3950" w:rsidRDefault="00ED3950">
      <w:pPr>
        <w:pStyle w:val="lp11"/>
        <w:numPr>
          <w:ilvl w:val="0"/>
          <w:numId w:val="8"/>
        </w:numPr>
        <w:rPr>
          <w:lang w:val="cs-CZ"/>
        </w:rPr>
      </w:pPr>
      <w:r w:rsidRPr="00ED3950">
        <w:rPr>
          <w:lang w:val="cs-CZ"/>
        </w:rPr>
        <w:t>Propojení zeleného rozpočtování s DNSH - tento aspekt je dalším cílem ministerstva.</w:t>
      </w:r>
    </w:p>
    <w:p w:rsidR="00C52545" w:rsidRPr="00ED3950" w:rsidRDefault="00C52545" w:rsidP="00C52545">
      <w:pPr>
        <w:rPr>
          <w:rFonts w:eastAsia="Calibri" w:cs="Arial"/>
          <w:lang w:val="cs-CZ"/>
        </w:rPr>
      </w:pPr>
    </w:p>
    <w:p w:rsidR="005840C5" w:rsidRPr="00ED3950" w:rsidRDefault="00ED3950">
      <w:pPr>
        <w:rPr>
          <w:rFonts w:eastAsia="Calibri" w:cs="Arial"/>
          <w:lang w:val="cs-CZ"/>
        </w:rPr>
      </w:pPr>
      <w:r w:rsidRPr="00ED3950">
        <w:rPr>
          <w:rFonts w:eastAsia="Calibri" w:cs="Arial"/>
          <w:lang w:val="cs-CZ"/>
        </w:rPr>
        <w:t>To vedlo k revizi přibližně 38 000 rozpočtových položek. V praxi to vyžadovalo určit menší společný jmenovatel všech polož</w:t>
      </w:r>
      <w:r w:rsidRPr="00ED3950">
        <w:rPr>
          <w:rFonts w:eastAsia="Calibri" w:cs="Arial"/>
          <w:lang w:val="cs-CZ"/>
        </w:rPr>
        <w:t>ek (tj. jejich popis). Klíčové bylo rozlišovat mezi vstupem položky (financování) a výstupem (dopady). Pochopení povahy a rozsahu výstupů vyžadovalo nové přístupy. První krok spočíval v objasnění, zda je daná položka relevantní z hlediska dopadů na klima n</w:t>
      </w:r>
      <w:r w:rsidRPr="00ED3950">
        <w:rPr>
          <w:rFonts w:eastAsia="Calibri" w:cs="Arial"/>
          <w:lang w:val="cs-CZ"/>
        </w:rPr>
        <w:t xml:space="preserve">ebo životní prostředí. Bylo zjištěno, že relevantních je 10 % výdajů a příjmů - což si vyžádalo další analýzu pro určení přibližného dopadu. Tento dopad je hodnocen prostřednictvím </w:t>
      </w:r>
      <w:r w:rsidRPr="00ED3950">
        <w:rPr>
          <w:rFonts w:eastAsia="Calibri" w:cs="Arial"/>
          <w:i/>
          <w:iCs/>
          <w:lang w:val="cs-CZ"/>
        </w:rPr>
        <w:t xml:space="preserve">záměru </w:t>
      </w:r>
      <w:r w:rsidRPr="00ED3950">
        <w:rPr>
          <w:rFonts w:eastAsia="Calibri" w:cs="Arial"/>
          <w:lang w:val="cs-CZ"/>
        </w:rPr>
        <w:t>rozpočtové linie. Může být kladný nebo záporný (používá se škála 6 b</w:t>
      </w:r>
      <w:r w:rsidRPr="00ED3950">
        <w:rPr>
          <w:rFonts w:eastAsia="Calibri" w:cs="Arial"/>
          <w:lang w:val="cs-CZ"/>
        </w:rPr>
        <w:t>odů), nebo neutrální (tj. relevance je pozorována, ale neočekává se žádný vliv na produktivitu). Na agregované úrovni obdrží rozpočtové kapitoly skóre, které převádí celkové skóre. Například rozpočet na dopravu obdržel celkově vysoké skóre, přičemž se oček</w:t>
      </w:r>
      <w:r w:rsidRPr="00ED3950">
        <w:rPr>
          <w:rFonts w:eastAsia="Calibri" w:cs="Arial"/>
          <w:lang w:val="cs-CZ"/>
        </w:rPr>
        <w:t>ává, že přibližně 4,5 miliardy eur povede k pozitivním vedlejším účinkům na produktivitu.</w:t>
      </w:r>
    </w:p>
    <w:p w:rsidR="00C52545" w:rsidRPr="00ED3950" w:rsidRDefault="00C52545" w:rsidP="00C52545">
      <w:pPr>
        <w:rPr>
          <w:rFonts w:eastAsia="Calibri" w:cs="Arial"/>
          <w:lang w:val="cs-CZ"/>
        </w:rPr>
      </w:pPr>
    </w:p>
    <w:p w:rsidR="005840C5" w:rsidRPr="00ED3950" w:rsidRDefault="00ED3950">
      <w:pPr>
        <w:numPr>
          <w:ilvl w:val="2"/>
          <w:numId w:val="0"/>
        </w:numPr>
        <w:tabs>
          <w:tab w:val="left" w:pos="851"/>
        </w:tabs>
        <w:ind w:left="1134" w:hanging="567"/>
        <w:contextualSpacing/>
        <w:outlineLvl w:val="2"/>
        <w:rPr>
          <w:rFonts w:eastAsia="Calibri" w:cs="Arial"/>
          <w:b/>
          <w:i/>
          <w:color w:val="F04E30"/>
          <w:lang w:val="cs-CZ"/>
        </w:rPr>
      </w:pPr>
      <w:bookmarkStart w:id="237" w:name="_Toc127978775"/>
      <w:bookmarkStart w:id="238" w:name="_Toc131757523"/>
      <w:bookmarkStart w:id="239" w:name="_Toc131775916"/>
      <w:r w:rsidRPr="00ED3950">
        <w:rPr>
          <w:rFonts w:eastAsia="Calibri" w:cs="Arial"/>
          <w:b/>
          <w:i/>
          <w:color w:val="F04E30"/>
          <w:lang w:val="cs-CZ"/>
        </w:rPr>
        <w:t>Vzájemné vazby s principem DNSH</w:t>
      </w:r>
      <w:bookmarkEnd w:id="237"/>
      <w:bookmarkEnd w:id="238"/>
      <w:bookmarkEnd w:id="239"/>
    </w:p>
    <w:p w:rsidR="005840C5" w:rsidRPr="00ED3950" w:rsidRDefault="00ED3950">
      <w:pPr>
        <w:rPr>
          <w:rFonts w:eastAsia="Calibri" w:cs="Arial"/>
          <w:lang w:val="cs-CZ"/>
        </w:rPr>
      </w:pPr>
      <w:r w:rsidRPr="00ED3950">
        <w:rPr>
          <w:rFonts w:eastAsia="Calibri" w:cs="Arial"/>
          <w:lang w:val="cs-CZ"/>
        </w:rPr>
        <w:t>Jak lze tuto metodiku propojit s DNSH? Vytvoření synergie mezi zeleným rozpočtováním a DNSH je hlavním cílem ministerstva pro nadcház</w:t>
      </w:r>
      <w:r w:rsidRPr="00ED3950">
        <w:rPr>
          <w:rFonts w:eastAsia="Calibri" w:cs="Arial"/>
          <w:lang w:val="cs-CZ"/>
        </w:rPr>
        <w:t>ející rok.</w:t>
      </w:r>
    </w:p>
    <w:p w:rsidR="005840C5" w:rsidRPr="00ED3950" w:rsidRDefault="00ED3950">
      <w:pPr>
        <w:rPr>
          <w:rFonts w:eastAsia="Calibri" w:cs="Arial"/>
          <w:lang w:val="cs-CZ"/>
        </w:rPr>
      </w:pPr>
      <w:r w:rsidRPr="00ED3950">
        <w:rPr>
          <w:rFonts w:eastAsia="Calibri" w:cs="Arial"/>
          <w:lang w:val="cs-CZ"/>
        </w:rPr>
        <w:t>Koncepčně lze k odhadu dodržování DNSH použít zelený rozpočet. Přístup ministerstva spočívá v následujících krocích:</w:t>
      </w:r>
    </w:p>
    <w:p w:rsidR="005840C5" w:rsidRPr="00ED3950" w:rsidRDefault="00ED3950">
      <w:pPr>
        <w:pStyle w:val="Odstavecseseznamem"/>
        <w:numPr>
          <w:ilvl w:val="3"/>
          <w:numId w:val="54"/>
        </w:numPr>
        <w:rPr>
          <w:rFonts w:eastAsia="Calibri" w:cs="Arial"/>
          <w:lang w:val="cs-CZ"/>
        </w:rPr>
      </w:pPr>
      <w:r w:rsidRPr="00ED3950">
        <w:rPr>
          <w:rFonts w:eastAsia="Calibri" w:cs="Arial"/>
          <w:lang w:val="cs-CZ"/>
        </w:rPr>
        <w:t>V případě, že rozpočtová položka není považována za relevantní pro klima a životní prostředí, je považována za vyhovující DNSH.</w:t>
      </w:r>
    </w:p>
    <w:p w:rsidR="005840C5" w:rsidRPr="00ED3950" w:rsidRDefault="00ED3950">
      <w:pPr>
        <w:pStyle w:val="Odstavecseseznamem"/>
        <w:numPr>
          <w:ilvl w:val="3"/>
          <w:numId w:val="54"/>
        </w:numPr>
        <w:rPr>
          <w:rFonts w:eastAsia="Calibri" w:cs="Arial"/>
          <w:lang w:val="cs-CZ"/>
        </w:rPr>
      </w:pPr>
      <w:r w:rsidRPr="00ED3950">
        <w:rPr>
          <w:rFonts w:eastAsia="Calibri" w:cs="Arial"/>
          <w:lang w:val="cs-CZ"/>
        </w:rPr>
        <w:t>Pokud tomu tak není, použije se metodika zeleného rozpočtování pro každý ze šesti environmentálních cílů, aby se určil soulad (nebo případně potřeba dalšího posouzení) rozpočtové položky. V praxi to znamená, že pro každý z cílů je rozpočtové položce přiřaz</w:t>
      </w:r>
      <w:r w:rsidRPr="00ED3950">
        <w:rPr>
          <w:rFonts w:eastAsia="Calibri" w:cs="Arial"/>
          <w:lang w:val="cs-CZ"/>
        </w:rPr>
        <w:t>eno určité skóre:</w:t>
      </w:r>
    </w:p>
    <w:p w:rsidR="005840C5" w:rsidRPr="00ED3950" w:rsidRDefault="00ED3950">
      <w:pPr>
        <w:pStyle w:val="Odstavecseseznamem"/>
        <w:numPr>
          <w:ilvl w:val="4"/>
          <w:numId w:val="54"/>
        </w:numPr>
        <w:rPr>
          <w:rFonts w:eastAsia="Calibri" w:cs="Arial"/>
          <w:lang w:val="cs-CZ"/>
        </w:rPr>
      </w:pPr>
      <w:r w:rsidRPr="00ED3950">
        <w:rPr>
          <w:rFonts w:eastAsia="Calibri" w:cs="Arial"/>
          <w:lang w:val="cs-CZ"/>
        </w:rPr>
        <w:t>Pokud je přiřazeno hodnocení "zamýšlená kontraproduktivita", "kontraproduktivita jako vedlejší účinek" nebo "nejasný účinek", je nutné provést další posouzení DNSH.</w:t>
      </w:r>
    </w:p>
    <w:p w:rsidR="005840C5" w:rsidRPr="00ED3950" w:rsidRDefault="00ED3950">
      <w:pPr>
        <w:pStyle w:val="Odstavecseseznamem"/>
        <w:numPr>
          <w:ilvl w:val="4"/>
          <w:numId w:val="54"/>
        </w:numPr>
        <w:rPr>
          <w:rFonts w:eastAsia="Calibri" w:cs="Arial"/>
          <w:lang w:val="cs-CZ"/>
        </w:rPr>
      </w:pPr>
      <w:r w:rsidRPr="00ED3950">
        <w:rPr>
          <w:rFonts w:eastAsia="Calibri" w:cs="Arial"/>
          <w:lang w:val="cs-CZ"/>
        </w:rPr>
        <w:t xml:space="preserve">Pokud je přiřazeno hodnocení "žádný účinek", "produktivita jako vedlejší </w:t>
      </w:r>
      <w:r w:rsidRPr="00ED3950">
        <w:rPr>
          <w:rFonts w:eastAsia="Calibri" w:cs="Arial"/>
          <w:lang w:val="cs-CZ"/>
        </w:rPr>
        <w:t>účinek" nebo "zamýšlená produktivita", je rozpočtová položka považována za vyhovující zásadě DNSH.</w:t>
      </w:r>
    </w:p>
    <w:p w:rsidR="00C52545" w:rsidRPr="00ED3950" w:rsidRDefault="00C52545" w:rsidP="00C52545">
      <w:pPr>
        <w:rPr>
          <w:rFonts w:eastAsia="Calibri" w:cs="Arial"/>
          <w:lang w:val="cs-CZ"/>
        </w:rPr>
      </w:pPr>
    </w:p>
    <w:p w:rsidR="005840C5" w:rsidRPr="00ED3950" w:rsidRDefault="00ED3950">
      <w:pPr>
        <w:numPr>
          <w:ilvl w:val="2"/>
          <w:numId w:val="0"/>
        </w:numPr>
        <w:tabs>
          <w:tab w:val="left" w:pos="851"/>
        </w:tabs>
        <w:ind w:left="1134" w:hanging="567"/>
        <w:contextualSpacing/>
        <w:outlineLvl w:val="2"/>
        <w:rPr>
          <w:rFonts w:eastAsia="Calibri" w:cs="Arial"/>
          <w:b/>
          <w:i/>
          <w:color w:val="F04E30"/>
          <w:lang w:val="cs-CZ"/>
        </w:rPr>
      </w:pPr>
      <w:bookmarkStart w:id="240" w:name="_Toc127978776"/>
      <w:bookmarkStart w:id="241" w:name="_Toc131757524"/>
      <w:bookmarkStart w:id="242" w:name="_Toc131775917"/>
      <w:r w:rsidRPr="00ED3950">
        <w:rPr>
          <w:rFonts w:eastAsia="Calibri" w:cs="Arial"/>
          <w:b/>
          <w:i/>
          <w:color w:val="F04E30"/>
          <w:lang w:val="cs-CZ"/>
        </w:rPr>
        <w:t>Výzvy</w:t>
      </w:r>
      <w:bookmarkEnd w:id="240"/>
      <w:bookmarkEnd w:id="241"/>
      <w:bookmarkEnd w:id="242"/>
    </w:p>
    <w:p w:rsidR="005840C5" w:rsidRPr="00ED3950" w:rsidRDefault="00ED3950">
      <w:pPr>
        <w:rPr>
          <w:rFonts w:eastAsia="Calibri" w:cs="Arial"/>
          <w:lang w:val="cs-CZ"/>
        </w:rPr>
      </w:pPr>
      <w:r w:rsidRPr="00ED3950">
        <w:rPr>
          <w:rFonts w:eastAsia="Calibri" w:cs="Arial"/>
          <w:lang w:val="cs-CZ"/>
        </w:rPr>
        <w:t>Objevují se dva typy výzev:</w:t>
      </w:r>
    </w:p>
    <w:p w:rsidR="005840C5" w:rsidRPr="00ED3950" w:rsidRDefault="00ED3950">
      <w:pPr>
        <w:pStyle w:val="lp11"/>
        <w:numPr>
          <w:ilvl w:val="0"/>
          <w:numId w:val="8"/>
        </w:numPr>
        <w:rPr>
          <w:lang w:val="cs-CZ"/>
        </w:rPr>
      </w:pPr>
      <w:r w:rsidRPr="00ED3950">
        <w:rPr>
          <w:lang w:val="cs-CZ"/>
        </w:rPr>
        <w:t xml:space="preserve">Institucionální výzvy: </w:t>
      </w:r>
      <w:r w:rsidRPr="00ED3950">
        <w:rPr>
          <w:rFonts w:eastAsia="Calibri" w:cs="Arial"/>
          <w:lang w:val="cs-CZ"/>
        </w:rPr>
        <w:t>Přesvědčit všechna ministerstva a útvary o významu zeleného rozpočtování je překážkou.</w:t>
      </w:r>
    </w:p>
    <w:p w:rsidR="005840C5" w:rsidRPr="00ED3950" w:rsidRDefault="00ED3950">
      <w:pPr>
        <w:pStyle w:val="lp11"/>
        <w:numPr>
          <w:ilvl w:val="0"/>
          <w:numId w:val="8"/>
        </w:numPr>
        <w:rPr>
          <w:lang w:val="cs-CZ"/>
        </w:rPr>
      </w:pPr>
      <w:r w:rsidRPr="00ED3950">
        <w:rPr>
          <w:rFonts w:eastAsia="Calibri" w:cs="Arial"/>
          <w:lang w:val="cs-CZ"/>
        </w:rPr>
        <w:t xml:space="preserve">Metodické výzvy: Je obtížné nalézt rovnováhu mezi </w:t>
      </w:r>
      <w:proofErr w:type="spellStart"/>
      <w:r w:rsidRPr="00ED3950">
        <w:rPr>
          <w:rFonts w:eastAsia="Calibri" w:cs="Arial"/>
          <w:lang w:val="cs-CZ"/>
        </w:rPr>
        <w:t>granularitou</w:t>
      </w:r>
      <w:proofErr w:type="spellEnd"/>
      <w:r w:rsidRPr="00ED3950">
        <w:rPr>
          <w:rFonts w:eastAsia="Calibri" w:cs="Arial"/>
          <w:lang w:val="cs-CZ"/>
        </w:rPr>
        <w:t xml:space="preserve"> a použitelností: v případě různých bodových hodnocení rozpočtové položky lze uznat různorodost nebo se řídit zásadou převahy</w:t>
      </w:r>
      <w:r w:rsidRPr="00ED3950">
        <w:rPr>
          <w:rFonts w:eastAsia="Calibri" w:cs="Arial"/>
          <w:lang w:val="cs-CZ"/>
        </w:rPr>
        <w:t xml:space="preserve">. </w:t>
      </w:r>
      <w:r w:rsidRPr="00ED3950">
        <w:rPr>
          <w:lang w:val="cs-CZ"/>
        </w:rPr>
        <w:t xml:space="preserve">Kromě toho </w:t>
      </w:r>
      <w:r w:rsidRPr="00ED3950">
        <w:rPr>
          <w:rFonts w:eastAsia="Calibri" w:cs="Arial"/>
          <w:lang w:val="cs-CZ"/>
        </w:rPr>
        <w:t>je třeba najít řešení pro ta bodová hodnocení, která moh</w:t>
      </w:r>
      <w:r w:rsidRPr="00ED3950">
        <w:rPr>
          <w:rFonts w:eastAsia="Calibri" w:cs="Arial"/>
          <w:lang w:val="cs-CZ"/>
        </w:rPr>
        <w:t>ou být po sledování plnění rozpočtových položek změněna</w:t>
      </w:r>
      <w:r w:rsidRPr="00ED3950">
        <w:rPr>
          <w:rFonts w:eastAsia="Calibri" w:cs="Arial"/>
          <w:lang w:val="cs-CZ"/>
        </w:rPr>
        <w:t xml:space="preserve">. Kromě toho </w:t>
      </w:r>
      <w:r w:rsidRPr="00ED3950">
        <w:rPr>
          <w:rFonts w:eastAsia="Calibri" w:cs="Arial"/>
          <w:lang w:val="cs-CZ"/>
        </w:rPr>
        <w:t xml:space="preserve">je třeba </w:t>
      </w:r>
      <w:r w:rsidRPr="00ED3950">
        <w:rPr>
          <w:rFonts w:eastAsia="Calibri" w:cs="Arial"/>
          <w:lang w:val="cs-CZ"/>
        </w:rPr>
        <w:t xml:space="preserve">zohlednit </w:t>
      </w:r>
      <w:r w:rsidRPr="00ED3950">
        <w:rPr>
          <w:rFonts w:eastAsia="Calibri" w:cs="Arial"/>
          <w:lang w:val="cs-CZ"/>
        </w:rPr>
        <w:t xml:space="preserve">zpětné efekty. </w:t>
      </w:r>
      <w:r w:rsidRPr="00ED3950">
        <w:rPr>
          <w:rFonts w:eastAsia="Calibri" w:cs="Arial"/>
          <w:lang w:val="cs-CZ"/>
        </w:rPr>
        <w:t xml:space="preserve">Nakonec </w:t>
      </w:r>
      <w:r w:rsidRPr="00ED3950">
        <w:rPr>
          <w:rFonts w:eastAsia="Calibri" w:cs="Arial"/>
          <w:lang w:val="cs-CZ"/>
        </w:rPr>
        <w:t>musí být definován proces zajištění kvality, aby byla zajištěna spolehlivost bodového hodnocení (potenciálně pro každou z 38 000 rozpočtových položek).</w:t>
      </w:r>
    </w:p>
    <w:p w:rsidR="00AD0FB6" w:rsidRPr="00ED3950" w:rsidRDefault="00AD0FB6" w:rsidP="00BD0C04">
      <w:pPr>
        <w:rPr>
          <w:lang w:val="cs-CZ"/>
        </w:rPr>
      </w:pPr>
      <w:bookmarkStart w:id="243" w:name="_Toc127978777"/>
      <w:bookmarkStart w:id="244" w:name="_Toc131757525"/>
    </w:p>
    <w:p w:rsidR="005840C5" w:rsidRPr="00ED3950" w:rsidRDefault="00ED3950">
      <w:pPr>
        <w:pStyle w:val="Nadpis2"/>
        <w:numPr>
          <w:ilvl w:val="0"/>
          <w:numId w:val="0"/>
        </w:numPr>
        <w:ind w:left="567"/>
        <w:rPr>
          <w:lang w:val="cs-CZ"/>
        </w:rPr>
      </w:pPr>
      <w:bookmarkStart w:id="245" w:name="_Toc131775918"/>
      <w:r w:rsidRPr="00ED3950">
        <w:rPr>
          <w:lang w:val="cs-CZ"/>
        </w:rPr>
        <w:t>Panelová diskuse</w:t>
      </w:r>
      <w:bookmarkEnd w:id="243"/>
      <w:bookmarkEnd w:id="244"/>
      <w:bookmarkEnd w:id="245"/>
    </w:p>
    <w:p w:rsidR="005840C5" w:rsidRPr="00ED3950" w:rsidRDefault="00ED3950">
      <w:pPr>
        <w:tabs>
          <w:tab w:val="left" w:pos="851"/>
        </w:tabs>
        <w:contextualSpacing/>
        <w:rPr>
          <w:rFonts w:eastAsia="Calibri" w:cs="Arial"/>
          <w:lang w:val="cs-CZ"/>
        </w:rPr>
      </w:pPr>
      <w:r w:rsidRPr="00ED3950">
        <w:rPr>
          <w:rFonts w:eastAsia="Calibri" w:cs="Arial"/>
          <w:b/>
          <w:bCs/>
          <w:color w:val="F04E30"/>
          <w:lang w:val="cs-CZ"/>
        </w:rPr>
        <w:t>Projektový tým</w:t>
      </w:r>
      <w:r w:rsidRPr="00ED3950">
        <w:rPr>
          <w:rFonts w:eastAsia="Calibri" w:cs="Arial"/>
          <w:lang w:val="cs-CZ"/>
        </w:rPr>
        <w:t xml:space="preserve">: Existují ustanovení pro případ, že DNSH </w:t>
      </w:r>
      <w:r w:rsidRPr="00ED3950">
        <w:rPr>
          <w:rFonts w:eastAsia="Calibri" w:cs="Arial"/>
          <w:lang w:val="cs-CZ"/>
        </w:rPr>
        <w:t xml:space="preserve">TSC </w:t>
      </w:r>
      <w:r w:rsidRPr="00ED3950">
        <w:rPr>
          <w:rFonts w:eastAsia="Calibri" w:cs="Arial"/>
          <w:lang w:val="cs-CZ"/>
        </w:rPr>
        <w:t xml:space="preserve">neexistuje? Pokud ne, jak </w:t>
      </w:r>
      <w:r w:rsidRPr="00ED3950">
        <w:rPr>
          <w:rFonts w:eastAsia="Calibri" w:cs="Arial"/>
          <w:lang w:val="cs-CZ"/>
        </w:rPr>
        <w:t>tyto případy řešíte? Jak řešíte projekty v oblasti zelených technologií?</w:t>
      </w:r>
    </w:p>
    <w:p w:rsidR="005840C5" w:rsidRPr="00ED3950" w:rsidRDefault="00ED3950">
      <w:pPr>
        <w:tabs>
          <w:tab w:val="left" w:pos="851"/>
        </w:tabs>
        <w:contextualSpacing/>
        <w:rPr>
          <w:rFonts w:eastAsia="Calibri" w:cs="Arial"/>
          <w:lang w:val="cs-CZ"/>
        </w:rPr>
      </w:pPr>
      <w:proofErr w:type="spellStart"/>
      <w:r w:rsidRPr="00ED3950">
        <w:rPr>
          <w:rFonts w:eastAsia="Calibri" w:cs="Arial"/>
          <w:b/>
          <w:color w:val="2998FF"/>
          <w:lang w:val="cs-CZ"/>
        </w:rPr>
        <w:t>Lucía</w:t>
      </w:r>
      <w:proofErr w:type="spellEnd"/>
      <w:r w:rsidRPr="00ED3950">
        <w:rPr>
          <w:rFonts w:eastAsia="Calibri" w:cs="Arial"/>
          <w:b/>
          <w:color w:val="2998FF"/>
          <w:lang w:val="cs-CZ"/>
        </w:rPr>
        <w:t xml:space="preserve"> </w:t>
      </w:r>
      <w:proofErr w:type="spellStart"/>
      <w:r w:rsidRPr="00ED3950">
        <w:rPr>
          <w:rFonts w:eastAsia="Calibri" w:cs="Arial"/>
          <w:b/>
          <w:color w:val="2998FF"/>
          <w:lang w:val="cs-CZ"/>
        </w:rPr>
        <w:t>Cobo</w:t>
      </w:r>
      <w:proofErr w:type="spellEnd"/>
      <w:r w:rsidRPr="00ED3950">
        <w:rPr>
          <w:rFonts w:eastAsia="Calibri" w:cs="Arial"/>
          <w:lang w:val="cs-CZ"/>
        </w:rPr>
        <w:t>: Je mnoho hospodářských činností, které nejsou zahrnuty v aktech v přenesené pravomoci. Během diskusí na platformě udržitelného financování je patrné, že mnoho odvětví lobb</w:t>
      </w:r>
      <w:r w:rsidRPr="00ED3950">
        <w:rPr>
          <w:rFonts w:eastAsia="Calibri" w:cs="Arial"/>
          <w:lang w:val="cs-CZ"/>
        </w:rPr>
        <w:t xml:space="preserve">uje za to, aby jejich činnosti byly v nařízení o taxonomii zahrnuty. Tento případ je obzvláště pozoruhodný vzhledem </w:t>
      </w:r>
      <w:r w:rsidRPr="00ED3950">
        <w:rPr>
          <w:rFonts w:eastAsia="Calibri" w:cs="Arial"/>
          <w:lang w:val="cs-CZ"/>
        </w:rPr>
        <w:lastRenderedPageBreak/>
        <w:t xml:space="preserve">ke značnému počtu činností spadajících do výzkumu a vývoje, které představují 16 % </w:t>
      </w:r>
      <w:r w:rsidRPr="00ED3950">
        <w:rPr>
          <w:rFonts w:eastAsia="Calibri" w:cs="Arial"/>
          <w:lang w:val="cs-CZ"/>
        </w:rPr>
        <w:t xml:space="preserve">španělského </w:t>
      </w:r>
      <w:r w:rsidRPr="00ED3950">
        <w:rPr>
          <w:rFonts w:eastAsia="Calibri" w:cs="Arial"/>
          <w:lang w:val="cs-CZ"/>
        </w:rPr>
        <w:t>rozpočtu RRP, jenž činí 11 miliard eur a zahr</w:t>
      </w:r>
      <w:r w:rsidRPr="00ED3950">
        <w:rPr>
          <w:rFonts w:eastAsia="Calibri" w:cs="Arial"/>
          <w:lang w:val="cs-CZ"/>
        </w:rPr>
        <w:t xml:space="preserve">nuje 30 opatření a </w:t>
      </w:r>
      <w:proofErr w:type="spellStart"/>
      <w:r w:rsidRPr="00ED3950">
        <w:rPr>
          <w:rFonts w:eastAsia="Calibri" w:cs="Arial"/>
          <w:lang w:val="cs-CZ"/>
        </w:rPr>
        <w:t>podopatření</w:t>
      </w:r>
      <w:proofErr w:type="spellEnd"/>
      <w:r w:rsidRPr="00ED3950">
        <w:rPr>
          <w:rFonts w:eastAsia="Calibri" w:cs="Arial"/>
          <w:lang w:val="cs-CZ"/>
        </w:rPr>
        <w:t xml:space="preserve"> pro technologie a inovace. Pro řešení tohoto problému zavedlo španělské ministerstvo financí pro tyto případy obecný postup se zvláštním řízením:</w:t>
      </w:r>
    </w:p>
    <w:p w:rsidR="005840C5" w:rsidRPr="00ED3950" w:rsidRDefault="00ED3950">
      <w:pPr>
        <w:numPr>
          <w:ilvl w:val="0"/>
          <w:numId w:val="27"/>
        </w:numPr>
        <w:tabs>
          <w:tab w:val="left" w:pos="851"/>
        </w:tabs>
        <w:ind w:left="1276"/>
        <w:contextualSpacing/>
        <w:rPr>
          <w:rFonts w:eastAsia="Calibri" w:cs="Arial"/>
          <w:lang w:val="cs-CZ"/>
        </w:rPr>
      </w:pPr>
      <w:r w:rsidRPr="00ED3950">
        <w:rPr>
          <w:rFonts w:eastAsia="Calibri" w:cs="Arial"/>
          <w:lang w:val="cs-CZ"/>
        </w:rPr>
        <w:t xml:space="preserve">Definujte primární dopad v průběhu celého životního cyklu činností (současné a </w:t>
      </w:r>
      <w:r w:rsidRPr="00ED3950">
        <w:rPr>
          <w:rFonts w:eastAsia="Calibri" w:cs="Arial"/>
          <w:lang w:val="cs-CZ"/>
        </w:rPr>
        <w:t xml:space="preserve">budoucí dopady); </w:t>
      </w:r>
    </w:p>
    <w:p w:rsidR="005840C5" w:rsidRPr="00ED3950" w:rsidRDefault="00ED3950">
      <w:pPr>
        <w:numPr>
          <w:ilvl w:val="0"/>
          <w:numId w:val="27"/>
        </w:numPr>
        <w:tabs>
          <w:tab w:val="left" w:pos="851"/>
        </w:tabs>
        <w:ind w:left="1276"/>
        <w:contextualSpacing/>
        <w:rPr>
          <w:rFonts w:eastAsia="Calibri" w:cs="Arial"/>
          <w:lang w:val="cs-CZ"/>
        </w:rPr>
      </w:pPr>
      <w:r w:rsidRPr="00ED3950">
        <w:rPr>
          <w:rFonts w:eastAsia="Calibri" w:cs="Arial"/>
          <w:lang w:val="cs-CZ"/>
        </w:rPr>
        <w:t>Odhad těchto dopadů a podrobné zdůvodnění závěrů;</w:t>
      </w:r>
    </w:p>
    <w:p w:rsidR="005840C5" w:rsidRPr="00ED3950" w:rsidRDefault="00ED3950">
      <w:pPr>
        <w:numPr>
          <w:ilvl w:val="0"/>
          <w:numId w:val="27"/>
        </w:numPr>
        <w:tabs>
          <w:tab w:val="left" w:pos="851"/>
        </w:tabs>
        <w:ind w:left="1276"/>
        <w:contextualSpacing/>
        <w:rPr>
          <w:rFonts w:eastAsia="Calibri" w:cs="Arial"/>
          <w:lang w:val="cs-CZ"/>
        </w:rPr>
      </w:pPr>
      <w:r w:rsidRPr="00ED3950">
        <w:rPr>
          <w:rFonts w:eastAsia="Calibri" w:cs="Arial"/>
          <w:lang w:val="cs-CZ"/>
        </w:rPr>
        <w:t>Odhad finanční udržitelnosti projektů a DNSH s pomocí technických odborníků;</w:t>
      </w:r>
    </w:p>
    <w:p w:rsidR="005840C5" w:rsidRPr="00ED3950" w:rsidRDefault="00ED3950">
      <w:pPr>
        <w:numPr>
          <w:ilvl w:val="0"/>
          <w:numId w:val="27"/>
        </w:numPr>
        <w:tabs>
          <w:tab w:val="left" w:pos="851"/>
        </w:tabs>
        <w:ind w:left="1276"/>
        <w:contextualSpacing/>
        <w:rPr>
          <w:rFonts w:eastAsia="Calibri" w:cs="Arial"/>
          <w:lang w:val="cs-CZ"/>
        </w:rPr>
      </w:pPr>
      <w:r w:rsidRPr="00ED3950">
        <w:rPr>
          <w:rFonts w:eastAsia="Calibri" w:cs="Arial"/>
          <w:lang w:val="cs-CZ"/>
        </w:rPr>
        <w:t>Předložení prohlášení o splnění podmínek ze strany příjemců a žadatelů s konkrétními kritérii pro splnění podmí</w:t>
      </w:r>
      <w:r w:rsidRPr="00ED3950">
        <w:rPr>
          <w:rFonts w:eastAsia="Calibri" w:cs="Arial"/>
          <w:lang w:val="cs-CZ"/>
        </w:rPr>
        <w:t>nek;</w:t>
      </w:r>
    </w:p>
    <w:p w:rsidR="005840C5" w:rsidRPr="00ED3950" w:rsidRDefault="00ED3950">
      <w:pPr>
        <w:numPr>
          <w:ilvl w:val="0"/>
          <w:numId w:val="27"/>
        </w:numPr>
        <w:tabs>
          <w:tab w:val="left" w:pos="851"/>
        </w:tabs>
        <w:ind w:left="1276"/>
        <w:contextualSpacing/>
        <w:rPr>
          <w:rFonts w:eastAsia="Calibri" w:cs="Arial"/>
          <w:lang w:val="cs-CZ"/>
        </w:rPr>
      </w:pPr>
      <w:r w:rsidRPr="00ED3950">
        <w:rPr>
          <w:rFonts w:eastAsia="Calibri" w:cs="Arial"/>
          <w:lang w:val="cs-CZ"/>
        </w:rPr>
        <w:t xml:space="preserve">Zprávu o kritériích definovaných ve výkazu. Podle jednotlivých cílů </w:t>
      </w:r>
      <w:r w:rsidRPr="00ED3950">
        <w:rPr>
          <w:rFonts w:eastAsia="Calibri" w:cs="Arial"/>
          <w:lang w:val="cs-CZ"/>
        </w:rPr>
        <w:t xml:space="preserve">musí </w:t>
      </w:r>
      <w:r w:rsidRPr="00ED3950">
        <w:rPr>
          <w:rFonts w:eastAsia="Calibri" w:cs="Arial"/>
          <w:lang w:val="cs-CZ"/>
        </w:rPr>
        <w:t>příjemci vysvětlit, jak k nim projekt přispěl;</w:t>
      </w:r>
    </w:p>
    <w:p w:rsidR="005840C5" w:rsidRPr="00ED3950" w:rsidRDefault="00ED3950">
      <w:pPr>
        <w:numPr>
          <w:ilvl w:val="0"/>
          <w:numId w:val="27"/>
        </w:numPr>
        <w:tabs>
          <w:tab w:val="left" w:pos="851"/>
        </w:tabs>
        <w:ind w:left="1276"/>
        <w:contextualSpacing/>
        <w:rPr>
          <w:rFonts w:eastAsia="Calibri" w:cs="Arial"/>
          <w:lang w:val="cs-CZ"/>
        </w:rPr>
      </w:pPr>
      <w:r w:rsidRPr="00ED3950">
        <w:rPr>
          <w:rFonts w:eastAsia="Calibri" w:cs="Arial"/>
          <w:lang w:val="cs-CZ"/>
        </w:rPr>
        <w:t>Zprávy hodnotí odborné komise. Na podporu tohoto procesu existují šablony pro konkrétní činnosti, na které je třeba se zeptat. Exis</w:t>
      </w:r>
      <w:r w:rsidRPr="00ED3950">
        <w:rPr>
          <w:rFonts w:eastAsia="Calibri" w:cs="Arial"/>
          <w:lang w:val="cs-CZ"/>
        </w:rPr>
        <w:t xml:space="preserve">tují také specifické kontrolní seznamy pro konkrétní odvětví, jako je textilní průmysl, železářství atd. pro oběhové hospodářství. </w:t>
      </w:r>
    </w:p>
    <w:p w:rsidR="005840C5" w:rsidRPr="00ED3950" w:rsidRDefault="00ED3950">
      <w:pPr>
        <w:tabs>
          <w:tab w:val="left" w:pos="851"/>
        </w:tabs>
        <w:contextualSpacing/>
        <w:rPr>
          <w:rFonts w:eastAsia="Calibri" w:cs="Arial"/>
          <w:lang w:val="cs-CZ"/>
        </w:rPr>
      </w:pPr>
      <w:proofErr w:type="spellStart"/>
      <w:r w:rsidRPr="00ED3950">
        <w:rPr>
          <w:rFonts w:eastAsia="Calibri" w:cs="Arial"/>
          <w:b/>
          <w:color w:val="2998FF"/>
          <w:lang w:val="cs-CZ"/>
        </w:rPr>
        <w:t>Kerstin</w:t>
      </w:r>
      <w:proofErr w:type="spellEnd"/>
      <w:r w:rsidRPr="00ED3950">
        <w:rPr>
          <w:rFonts w:eastAsia="Calibri" w:cs="Arial"/>
          <w:b/>
          <w:color w:val="2998FF"/>
          <w:lang w:val="cs-CZ"/>
        </w:rPr>
        <w:t xml:space="preserve"> </w:t>
      </w:r>
      <w:proofErr w:type="spellStart"/>
      <w:r w:rsidRPr="00ED3950">
        <w:rPr>
          <w:rFonts w:eastAsia="Calibri" w:cs="Arial"/>
          <w:b/>
          <w:color w:val="2998FF"/>
          <w:lang w:val="cs-CZ"/>
        </w:rPr>
        <w:t>Haider</w:t>
      </w:r>
      <w:proofErr w:type="spellEnd"/>
      <w:r w:rsidRPr="00ED3950">
        <w:rPr>
          <w:rFonts w:eastAsia="Calibri" w:cs="Arial"/>
          <w:lang w:val="cs-CZ"/>
        </w:rPr>
        <w:t xml:space="preserve">: </w:t>
      </w:r>
      <w:proofErr w:type="spellStart"/>
      <w:r w:rsidRPr="00ED3950">
        <w:rPr>
          <w:rFonts w:eastAsia="Calibri" w:cs="Arial"/>
          <w:lang w:val="cs-CZ"/>
        </w:rPr>
        <w:t>Haiderová</w:t>
      </w:r>
      <w:proofErr w:type="spellEnd"/>
      <w:r w:rsidRPr="00ED3950">
        <w:rPr>
          <w:rFonts w:eastAsia="Calibri" w:cs="Arial"/>
          <w:lang w:val="cs-CZ"/>
        </w:rPr>
        <w:t xml:space="preserve">: Rakousko svůj přístup zdokonaluje, proto v tuto chvíli nemáme k dispozici žádné </w:t>
      </w:r>
      <w:r w:rsidRPr="00ED3950">
        <w:rPr>
          <w:rFonts w:eastAsia="Calibri" w:cs="Arial"/>
          <w:lang w:val="cs-CZ"/>
        </w:rPr>
        <w:t>osvědčené postupy</w:t>
      </w:r>
      <w:r w:rsidRPr="00ED3950">
        <w:rPr>
          <w:rFonts w:eastAsia="Calibri" w:cs="Arial"/>
          <w:lang w:val="cs-CZ"/>
        </w:rPr>
        <w:t xml:space="preserve">, </w:t>
      </w:r>
      <w:r w:rsidRPr="00ED3950">
        <w:rPr>
          <w:rFonts w:eastAsia="Calibri" w:cs="Arial"/>
          <w:lang w:val="cs-CZ"/>
        </w:rPr>
        <w:t xml:space="preserve">o </w:t>
      </w:r>
      <w:r w:rsidRPr="00ED3950">
        <w:rPr>
          <w:rFonts w:eastAsia="Calibri" w:cs="Arial"/>
          <w:lang w:val="cs-CZ"/>
        </w:rPr>
        <w:t xml:space="preserve">které </w:t>
      </w:r>
      <w:r w:rsidRPr="00ED3950">
        <w:rPr>
          <w:rFonts w:eastAsia="Calibri" w:cs="Arial"/>
          <w:lang w:val="cs-CZ"/>
        </w:rPr>
        <w:t>bychom se mohli podělit. Projekt TSI podpoří další vývoj v této oblasti.</w:t>
      </w:r>
    </w:p>
    <w:p w:rsidR="005840C5" w:rsidRPr="00ED3950" w:rsidRDefault="00ED3950">
      <w:pPr>
        <w:tabs>
          <w:tab w:val="left" w:pos="851"/>
        </w:tabs>
        <w:contextualSpacing/>
        <w:rPr>
          <w:rFonts w:eastAsia="Calibri" w:cs="Arial"/>
          <w:lang w:val="cs-CZ"/>
        </w:rPr>
      </w:pPr>
      <w:proofErr w:type="spellStart"/>
      <w:r w:rsidRPr="00ED3950">
        <w:rPr>
          <w:rFonts w:eastAsia="Calibri" w:cs="Arial"/>
          <w:b/>
          <w:color w:val="2998FF"/>
          <w:lang w:val="cs-CZ"/>
        </w:rPr>
        <w:t>Juha</w:t>
      </w:r>
      <w:proofErr w:type="spellEnd"/>
      <w:r w:rsidRPr="00ED3950">
        <w:rPr>
          <w:rFonts w:eastAsia="Calibri" w:cs="Arial"/>
          <w:b/>
          <w:color w:val="2998FF"/>
          <w:lang w:val="cs-CZ"/>
        </w:rPr>
        <w:t xml:space="preserve"> </w:t>
      </w:r>
      <w:proofErr w:type="spellStart"/>
      <w:r w:rsidRPr="00ED3950">
        <w:rPr>
          <w:rFonts w:eastAsia="Calibri" w:cs="Arial"/>
          <w:b/>
          <w:color w:val="2998FF"/>
          <w:lang w:val="cs-CZ"/>
        </w:rPr>
        <w:t>Ollikainen</w:t>
      </w:r>
      <w:proofErr w:type="spellEnd"/>
      <w:r w:rsidRPr="00ED3950">
        <w:rPr>
          <w:rFonts w:eastAsia="Calibri" w:cs="Arial"/>
          <w:lang w:val="cs-CZ"/>
        </w:rPr>
        <w:t xml:space="preserve">: Finské orgány mají k dispozici národní pokyny s nástroji, které se používají k analýze těchto typů případů. </w:t>
      </w:r>
    </w:p>
    <w:p w:rsidR="005840C5" w:rsidRPr="00ED3950" w:rsidRDefault="00ED3950">
      <w:pPr>
        <w:tabs>
          <w:tab w:val="left" w:pos="851"/>
        </w:tabs>
        <w:contextualSpacing/>
        <w:rPr>
          <w:rFonts w:eastAsia="Calibri" w:cs="Arial"/>
          <w:lang w:val="cs-CZ"/>
        </w:rPr>
      </w:pPr>
      <w:r w:rsidRPr="00ED3950">
        <w:rPr>
          <w:rFonts w:eastAsia="Calibri" w:cs="Arial"/>
          <w:b/>
          <w:color w:val="2998FF"/>
          <w:lang w:val="cs-CZ"/>
        </w:rPr>
        <w:t>Ivana Ptáčková</w:t>
      </w:r>
      <w:r w:rsidRPr="00ED3950">
        <w:rPr>
          <w:rFonts w:eastAsia="Calibri" w:cs="Arial"/>
          <w:lang w:val="cs-CZ"/>
        </w:rPr>
        <w:t xml:space="preserve">: Ptáčková: </w:t>
      </w:r>
      <w:r w:rsidRPr="00ED3950">
        <w:rPr>
          <w:rFonts w:eastAsia="Calibri" w:cs="Arial"/>
          <w:lang w:val="cs-CZ"/>
        </w:rPr>
        <w:t xml:space="preserve">Princip </w:t>
      </w:r>
      <w:r w:rsidRPr="00ED3950">
        <w:rPr>
          <w:rFonts w:eastAsia="Calibri" w:cs="Arial"/>
          <w:lang w:val="cs-CZ"/>
        </w:rPr>
        <w:t>DNSH je typem</w:t>
      </w:r>
      <w:r w:rsidRPr="00ED3950">
        <w:rPr>
          <w:rFonts w:eastAsia="Calibri" w:cs="Arial"/>
          <w:lang w:val="cs-CZ"/>
        </w:rPr>
        <w:t xml:space="preserve"> ochrany životního prostředí. Taxonomie</w:t>
      </w:r>
      <w:r w:rsidRPr="00ED3950">
        <w:rPr>
          <w:rFonts w:eastAsia="Calibri" w:cs="Arial"/>
          <w:lang w:val="cs-CZ"/>
        </w:rPr>
        <w:t xml:space="preserve"> EU </w:t>
      </w:r>
      <w:r w:rsidRPr="00ED3950">
        <w:rPr>
          <w:rFonts w:eastAsia="Calibri" w:cs="Arial"/>
          <w:lang w:val="cs-CZ"/>
        </w:rPr>
        <w:t xml:space="preserve">a </w:t>
      </w:r>
      <w:r w:rsidRPr="00ED3950">
        <w:rPr>
          <w:rFonts w:eastAsia="Calibri" w:cs="Arial"/>
          <w:lang w:val="cs-CZ"/>
        </w:rPr>
        <w:t xml:space="preserve">TSK </w:t>
      </w:r>
      <w:r w:rsidRPr="00ED3950">
        <w:rPr>
          <w:rFonts w:eastAsia="Calibri" w:cs="Arial"/>
          <w:lang w:val="cs-CZ"/>
        </w:rPr>
        <w:t xml:space="preserve">nejsou pro strukturální fondy povinné, proto se využívají, ale v případě, že se </w:t>
      </w:r>
      <w:r w:rsidRPr="00ED3950">
        <w:rPr>
          <w:rFonts w:eastAsia="Calibri" w:cs="Arial"/>
          <w:lang w:val="cs-CZ"/>
        </w:rPr>
        <w:t xml:space="preserve">na </w:t>
      </w:r>
      <w:r w:rsidRPr="00ED3950">
        <w:rPr>
          <w:rFonts w:eastAsia="Calibri" w:cs="Arial"/>
          <w:lang w:val="cs-CZ"/>
        </w:rPr>
        <w:t xml:space="preserve">ekonomické činnosti TSK </w:t>
      </w:r>
      <w:r w:rsidRPr="00ED3950">
        <w:rPr>
          <w:rFonts w:eastAsia="Calibri" w:cs="Arial"/>
          <w:lang w:val="cs-CZ"/>
        </w:rPr>
        <w:t xml:space="preserve">nevztahuje, </w:t>
      </w:r>
      <w:r w:rsidRPr="00ED3950">
        <w:rPr>
          <w:rFonts w:eastAsia="Calibri" w:cs="Arial"/>
          <w:lang w:val="cs-CZ"/>
        </w:rPr>
        <w:t xml:space="preserve">české orgány procházejí platnou legislativu </w:t>
      </w:r>
      <w:r w:rsidRPr="00ED3950">
        <w:rPr>
          <w:rFonts w:eastAsia="Calibri" w:cs="Arial"/>
          <w:lang w:val="cs-CZ"/>
        </w:rPr>
        <w:t>a odvozují kritéria</w:t>
      </w:r>
      <w:r w:rsidRPr="00ED3950">
        <w:rPr>
          <w:rFonts w:eastAsia="Calibri" w:cs="Arial"/>
          <w:lang w:val="cs-CZ"/>
        </w:rPr>
        <w:t xml:space="preserve">. </w:t>
      </w:r>
      <w:r w:rsidRPr="00ED3950">
        <w:rPr>
          <w:rFonts w:eastAsia="Calibri" w:cs="Arial"/>
          <w:lang w:val="cs-CZ"/>
        </w:rPr>
        <w:t xml:space="preserve">Pokud neexistovala </w:t>
      </w:r>
      <w:r w:rsidRPr="00ED3950">
        <w:rPr>
          <w:rFonts w:eastAsia="Calibri" w:cs="Arial"/>
          <w:lang w:val="cs-CZ"/>
        </w:rPr>
        <w:t>před</w:t>
      </w:r>
      <w:r w:rsidRPr="00ED3950">
        <w:rPr>
          <w:rFonts w:eastAsia="Calibri" w:cs="Arial"/>
          <w:lang w:val="cs-CZ"/>
        </w:rPr>
        <w:t xml:space="preserve">chozí </w:t>
      </w:r>
      <w:r w:rsidRPr="00ED3950">
        <w:rPr>
          <w:rFonts w:eastAsia="Calibri" w:cs="Arial"/>
          <w:lang w:val="cs-CZ"/>
        </w:rPr>
        <w:t xml:space="preserve">zkušenost s podobným typem projektu, </w:t>
      </w:r>
      <w:r w:rsidRPr="00ED3950">
        <w:rPr>
          <w:rFonts w:eastAsia="Calibri" w:cs="Arial"/>
          <w:lang w:val="cs-CZ"/>
        </w:rPr>
        <w:t xml:space="preserve">není možné, aby Česko tento úkol </w:t>
      </w:r>
      <w:r w:rsidRPr="00ED3950">
        <w:rPr>
          <w:rFonts w:eastAsia="Calibri" w:cs="Arial"/>
          <w:lang w:val="cs-CZ"/>
        </w:rPr>
        <w:t xml:space="preserve">identifikace kritérií </w:t>
      </w:r>
      <w:r w:rsidRPr="00ED3950">
        <w:rPr>
          <w:rFonts w:eastAsia="Calibri" w:cs="Arial"/>
          <w:lang w:val="cs-CZ"/>
        </w:rPr>
        <w:t xml:space="preserve">zadalo žadatelům. Bylo by vhodné stanovit konkrétní požadavky. </w:t>
      </w:r>
    </w:p>
    <w:p w:rsidR="00C52545" w:rsidRPr="00ED3950" w:rsidRDefault="00C52545" w:rsidP="00C52545">
      <w:pPr>
        <w:tabs>
          <w:tab w:val="left" w:pos="851"/>
        </w:tabs>
        <w:contextualSpacing/>
        <w:rPr>
          <w:rFonts w:eastAsia="Calibri" w:cs="Arial"/>
          <w:lang w:val="cs-CZ"/>
        </w:rPr>
      </w:pPr>
    </w:p>
    <w:p w:rsidR="005840C5" w:rsidRPr="00ED3950" w:rsidRDefault="00ED3950">
      <w:pPr>
        <w:tabs>
          <w:tab w:val="left" w:pos="851"/>
        </w:tabs>
        <w:contextualSpacing/>
        <w:rPr>
          <w:rFonts w:eastAsia="Calibri" w:cs="Arial"/>
          <w:lang w:val="cs-CZ"/>
        </w:rPr>
      </w:pPr>
      <w:r w:rsidRPr="00ED3950">
        <w:rPr>
          <w:rFonts w:eastAsia="Calibri" w:cs="Arial"/>
          <w:b/>
          <w:bCs/>
          <w:color w:val="F04E30"/>
          <w:lang w:val="cs-CZ"/>
        </w:rPr>
        <w:t xml:space="preserve">Projektový tým </w:t>
      </w:r>
      <w:r w:rsidRPr="00ED3950">
        <w:rPr>
          <w:rFonts w:eastAsia="Calibri" w:cs="Arial"/>
          <w:color w:val="000000"/>
          <w:lang w:val="cs-CZ"/>
        </w:rPr>
        <w:t>[otázka z chatu]</w:t>
      </w:r>
      <w:r w:rsidRPr="00ED3950">
        <w:rPr>
          <w:rFonts w:eastAsia="Calibri" w:cs="Arial"/>
          <w:lang w:val="cs-CZ"/>
        </w:rPr>
        <w:t xml:space="preserve">: </w:t>
      </w:r>
      <w:r w:rsidRPr="00ED3950">
        <w:rPr>
          <w:rFonts w:eastAsia="Calibri" w:cs="Arial"/>
          <w:lang w:val="cs-CZ"/>
        </w:rPr>
        <w:t xml:space="preserve">Mohl byste uvést konkrétní příklad neočekávaného politického opatření, </w:t>
      </w:r>
      <w:r w:rsidRPr="00ED3950">
        <w:rPr>
          <w:rFonts w:eastAsia="Calibri" w:cs="Arial"/>
          <w:lang w:val="cs-CZ"/>
        </w:rPr>
        <w:t xml:space="preserve">které </w:t>
      </w:r>
      <w:r w:rsidRPr="00ED3950">
        <w:rPr>
          <w:rFonts w:eastAsia="Calibri" w:cs="Arial"/>
          <w:lang w:val="cs-CZ"/>
        </w:rPr>
        <w:t>jste identifikoval pomocí vaší metody? (tj. politika, která by měla (neočekávaný) dopad na klima).</w:t>
      </w:r>
    </w:p>
    <w:p w:rsidR="005840C5" w:rsidRPr="00ED3950" w:rsidRDefault="00ED3950">
      <w:pPr>
        <w:tabs>
          <w:tab w:val="left" w:pos="851"/>
        </w:tabs>
        <w:contextualSpacing/>
        <w:rPr>
          <w:rFonts w:eastAsia="Calibri" w:cs="Arial"/>
          <w:lang w:val="cs-CZ"/>
        </w:rPr>
      </w:pPr>
      <w:proofErr w:type="spellStart"/>
      <w:r w:rsidRPr="00ED3950">
        <w:rPr>
          <w:rFonts w:eastAsia="Calibri" w:cs="Arial"/>
          <w:b/>
          <w:color w:val="2998FF"/>
          <w:lang w:val="cs-CZ"/>
        </w:rPr>
        <w:t>Kerstin</w:t>
      </w:r>
      <w:proofErr w:type="spellEnd"/>
      <w:r w:rsidRPr="00ED3950">
        <w:rPr>
          <w:rFonts w:eastAsia="Calibri" w:cs="Arial"/>
          <w:b/>
          <w:color w:val="2998FF"/>
          <w:lang w:val="cs-CZ"/>
        </w:rPr>
        <w:t xml:space="preserve"> </w:t>
      </w:r>
      <w:proofErr w:type="spellStart"/>
      <w:r w:rsidRPr="00ED3950">
        <w:rPr>
          <w:rFonts w:eastAsia="Calibri" w:cs="Arial"/>
          <w:b/>
          <w:color w:val="2998FF"/>
          <w:lang w:val="cs-CZ"/>
        </w:rPr>
        <w:t>Haider</w:t>
      </w:r>
      <w:proofErr w:type="spellEnd"/>
      <w:r w:rsidRPr="00ED3950">
        <w:rPr>
          <w:rFonts w:eastAsia="Calibri" w:cs="Arial"/>
          <w:b/>
          <w:bCs/>
          <w:color w:val="000000"/>
          <w:lang w:val="cs-CZ"/>
        </w:rPr>
        <w:t xml:space="preserve">: </w:t>
      </w:r>
      <w:r w:rsidRPr="00ED3950">
        <w:rPr>
          <w:rFonts w:eastAsia="Calibri" w:cs="Arial"/>
          <w:lang w:val="cs-CZ"/>
        </w:rPr>
        <w:t>Před energetickou krizí nebylo možné najít v rozpočtu žádná kont</w:t>
      </w:r>
      <w:r w:rsidRPr="00ED3950">
        <w:rPr>
          <w:rFonts w:eastAsia="Calibri" w:cs="Arial"/>
          <w:lang w:val="cs-CZ"/>
        </w:rPr>
        <w:t xml:space="preserve">raproduktivní opatření při použití metody zeleného rozpočtování. Po </w:t>
      </w:r>
      <w:r w:rsidRPr="00ED3950">
        <w:rPr>
          <w:rFonts w:eastAsia="Calibri" w:cs="Arial"/>
          <w:lang w:val="cs-CZ"/>
        </w:rPr>
        <w:t xml:space="preserve">začátku krize byly kontraproduktivní </w:t>
      </w:r>
      <w:r w:rsidRPr="00ED3950">
        <w:rPr>
          <w:rFonts w:eastAsia="Calibri" w:cs="Arial"/>
          <w:lang w:val="cs-CZ"/>
        </w:rPr>
        <w:t xml:space="preserve">rozpočtové položky </w:t>
      </w:r>
      <w:r w:rsidRPr="00ED3950">
        <w:rPr>
          <w:rFonts w:eastAsia="Calibri" w:cs="Arial"/>
          <w:lang w:val="cs-CZ"/>
        </w:rPr>
        <w:t>identifikovány</w:t>
      </w:r>
      <w:r w:rsidRPr="00ED3950">
        <w:rPr>
          <w:rFonts w:eastAsia="Calibri" w:cs="Arial"/>
          <w:lang w:val="cs-CZ"/>
        </w:rPr>
        <w:t xml:space="preserve">. Nakonec se v kontextu krize stal </w:t>
      </w:r>
      <w:r w:rsidRPr="00ED3950">
        <w:rPr>
          <w:rFonts w:eastAsia="Calibri" w:cs="Arial"/>
          <w:lang w:val="cs-CZ"/>
        </w:rPr>
        <w:t xml:space="preserve">cíl </w:t>
      </w:r>
      <w:r w:rsidRPr="00ED3950">
        <w:rPr>
          <w:rFonts w:eastAsia="Calibri" w:cs="Arial"/>
          <w:lang w:val="cs-CZ"/>
        </w:rPr>
        <w:t xml:space="preserve">ochrany </w:t>
      </w:r>
      <w:r w:rsidRPr="00ED3950">
        <w:rPr>
          <w:rFonts w:eastAsia="Calibri" w:cs="Arial"/>
          <w:lang w:val="cs-CZ"/>
        </w:rPr>
        <w:t xml:space="preserve">životního prostředí </w:t>
      </w:r>
      <w:r w:rsidRPr="00ED3950">
        <w:rPr>
          <w:rFonts w:eastAsia="Calibri" w:cs="Arial"/>
          <w:lang w:val="cs-CZ"/>
        </w:rPr>
        <w:t>druhořadým. Na druhou stranu zelený rozpočet umožňu</w:t>
      </w:r>
      <w:r w:rsidRPr="00ED3950">
        <w:rPr>
          <w:rFonts w:eastAsia="Calibri" w:cs="Arial"/>
          <w:lang w:val="cs-CZ"/>
        </w:rPr>
        <w:t xml:space="preserve">je rakouské vládě provést hloubkové analýzy rozpočtu, </w:t>
      </w:r>
      <w:r w:rsidRPr="00ED3950">
        <w:rPr>
          <w:rFonts w:eastAsia="Calibri" w:cs="Arial"/>
          <w:lang w:val="cs-CZ"/>
        </w:rPr>
        <w:t xml:space="preserve">zejména </w:t>
      </w:r>
      <w:r w:rsidRPr="00ED3950">
        <w:rPr>
          <w:rFonts w:eastAsia="Calibri" w:cs="Arial"/>
          <w:lang w:val="cs-CZ"/>
        </w:rPr>
        <w:t>rozpočtových položek kapitoly výzkumu a vývoje</w:t>
      </w:r>
      <w:r w:rsidRPr="00ED3950">
        <w:rPr>
          <w:rFonts w:eastAsia="Calibri" w:cs="Arial"/>
          <w:lang w:val="cs-CZ"/>
        </w:rPr>
        <w:t xml:space="preserve">. </w:t>
      </w:r>
    </w:p>
    <w:p w:rsidR="00C52545" w:rsidRPr="00ED3950" w:rsidRDefault="00C52545" w:rsidP="00C52545">
      <w:pPr>
        <w:tabs>
          <w:tab w:val="left" w:pos="851"/>
        </w:tabs>
        <w:contextualSpacing/>
        <w:rPr>
          <w:rFonts w:eastAsia="Calibri" w:cs="Arial"/>
          <w:lang w:val="cs-CZ"/>
        </w:rPr>
      </w:pPr>
    </w:p>
    <w:p w:rsidR="005840C5" w:rsidRPr="00ED3950" w:rsidRDefault="00ED3950">
      <w:pPr>
        <w:tabs>
          <w:tab w:val="left" w:pos="851"/>
        </w:tabs>
        <w:contextualSpacing/>
        <w:rPr>
          <w:rFonts w:eastAsia="Calibri" w:cs="Arial"/>
          <w:lang w:val="cs-CZ"/>
        </w:rPr>
      </w:pPr>
      <w:r w:rsidRPr="00ED3950">
        <w:rPr>
          <w:rFonts w:eastAsia="Calibri" w:cs="Arial"/>
          <w:b/>
          <w:bCs/>
          <w:color w:val="F04E30"/>
          <w:lang w:val="cs-CZ"/>
        </w:rPr>
        <w:t>Projektový tým</w:t>
      </w:r>
      <w:r w:rsidRPr="00ED3950">
        <w:rPr>
          <w:rFonts w:eastAsia="Calibri" w:cs="Arial"/>
          <w:lang w:val="cs-CZ"/>
        </w:rPr>
        <w:t>: Vypracovali jste nějaká opatření pro zajištění kvality hodnocení a projektů, zejména pokud jde o projekty výzkumu a vývoje?</w:t>
      </w:r>
    </w:p>
    <w:p w:rsidR="005840C5" w:rsidRPr="00ED3950" w:rsidRDefault="00ED3950">
      <w:pPr>
        <w:tabs>
          <w:tab w:val="left" w:pos="851"/>
        </w:tabs>
        <w:contextualSpacing/>
        <w:rPr>
          <w:rFonts w:eastAsia="Calibri" w:cs="Arial"/>
          <w:lang w:val="cs-CZ"/>
        </w:rPr>
      </w:pPr>
      <w:proofErr w:type="spellStart"/>
      <w:r w:rsidRPr="00ED3950">
        <w:rPr>
          <w:rFonts w:eastAsia="Calibri" w:cs="Arial"/>
          <w:b/>
          <w:color w:val="2998FF"/>
          <w:lang w:val="cs-CZ"/>
        </w:rPr>
        <w:t>Siin</w:t>
      </w:r>
      <w:r w:rsidRPr="00ED3950">
        <w:rPr>
          <w:rFonts w:eastAsia="Calibri" w:cs="Arial"/>
          <w:b/>
          <w:color w:val="2998FF"/>
          <w:lang w:val="cs-CZ"/>
        </w:rPr>
        <w:t>a</w:t>
      </w:r>
      <w:proofErr w:type="spellEnd"/>
      <w:r w:rsidRPr="00ED3950">
        <w:rPr>
          <w:rFonts w:eastAsia="Calibri" w:cs="Arial"/>
          <w:b/>
          <w:color w:val="2998FF"/>
          <w:lang w:val="cs-CZ"/>
        </w:rPr>
        <w:t xml:space="preserve"> </w:t>
      </w:r>
      <w:proofErr w:type="spellStart"/>
      <w:r w:rsidRPr="00ED3950">
        <w:rPr>
          <w:rFonts w:eastAsia="Calibri" w:cs="Arial"/>
          <w:b/>
          <w:color w:val="2998FF"/>
          <w:lang w:val="cs-CZ"/>
        </w:rPr>
        <w:t>Lepola-Lång</w:t>
      </w:r>
      <w:proofErr w:type="spellEnd"/>
      <w:r w:rsidRPr="00ED3950">
        <w:rPr>
          <w:rFonts w:eastAsia="Calibri" w:cs="Arial"/>
          <w:lang w:val="cs-CZ"/>
        </w:rPr>
        <w:t xml:space="preserve">: Finské ministerstvo hospodářství financuje zelenou energetickou infrastrukturu (dosud 38 projektů - všechny prošly hodnocením DNSH). Posouzení DNSH jsou rozsáhlá; ministerstvo pravidelně diskutuje s místními orgány, které vydávají povolení, </w:t>
      </w:r>
      <w:r w:rsidRPr="00ED3950">
        <w:rPr>
          <w:rFonts w:eastAsia="Calibri" w:cs="Arial"/>
          <w:lang w:val="cs-CZ"/>
        </w:rPr>
        <w:t>a s žadateli. Spolupráce se ukázala jako klíčový faktor úspěchu. Finský institut životního prostředí vypracoval pokyny, které ministerstvo používá spolu s evropskými pokyny. Žadatelům byla rovněž poskytnuta školení.</w:t>
      </w:r>
    </w:p>
    <w:p w:rsidR="005840C5" w:rsidRPr="00ED3950" w:rsidRDefault="00ED3950">
      <w:pPr>
        <w:tabs>
          <w:tab w:val="left" w:pos="851"/>
        </w:tabs>
        <w:contextualSpacing/>
        <w:rPr>
          <w:rFonts w:eastAsia="Calibri" w:cs="Arial"/>
          <w:szCs w:val="18"/>
          <w:lang w:val="cs-CZ"/>
        </w:rPr>
      </w:pPr>
      <w:proofErr w:type="spellStart"/>
      <w:r w:rsidRPr="00ED3950">
        <w:rPr>
          <w:rFonts w:eastAsia="Calibri" w:cs="Arial"/>
          <w:b/>
          <w:bCs/>
          <w:color w:val="2998FF"/>
          <w:szCs w:val="18"/>
          <w:lang w:val="cs-CZ"/>
        </w:rPr>
        <w:t>Lucía</w:t>
      </w:r>
      <w:proofErr w:type="spellEnd"/>
      <w:r w:rsidRPr="00ED3950">
        <w:rPr>
          <w:rFonts w:eastAsia="Calibri" w:cs="Arial"/>
          <w:b/>
          <w:bCs/>
          <w:color w:val="2998FF"/>
          <w:szCs w:val="18"/>
          <w:lang w:val="cs-CZ"/>
        </w:rPr>
        <w:t xml:space="preserve"> </w:t>
      </w:r>
      <w:proofErr w:type="spellStart"/>
      <w:r w:rsidRPr="00ED3950">
        <w:rPr>
          <w:rFonts w:eastAsia="Calibri" w:cs="Arial"/>
          <w:b/>
          <w:bCs/>
          <w:color w:val="2998FF"/>
          <w:szCs w:val="18"/>
          <w:lang w:val="cs-CZ"/>
        </w:rPr>
        <w:t>Cobo</w:t>
      </w:r>
      <w:proofErr w:type="spellEnd"/>
      <w:r w:rsidRPr="00ED3950">
        <w:rPr>
          <w:rFonts w:eastAsia="Calibri" w:cs="Arial"/>
          <w:szCs w:val="18"/>
          <w:lang w:val="cs-CZ"/>
        </w:rPr>
        <w:t xml:space="preserve">: </w:t>
      </w:r>
      <w:proofErr w:type="spellStart"/>
      <w:r w:rsidRPr="00ED3950">
        <w:rPr>
          <w:rFonts w:eastAsia="Calibri" w:cs="Arial"/>
          <w:szCs w:val="18"/>
          <w:lang w:val="cs-CZ"/>
        </w:rPr>
        <w:t>Cobó</w:t>
      </w:r>
      <w:proofErr w:type="spellEnd"/>
      <w:r w:rsidRPr="00ED3950">
        <w:rPr>
          <w:rFonts w:eastAsia="Calibri" w:cs="Arial"/>
          <w:szCs w:val="18"/>
          <w:lang w:val="cs-CZ"/>
        </w:rPr>
        <w:t>: Zajištění kvality je o</w:t>
      </w:r>
      <w:r w:rsidRPr="00ED3950">
        <w:rPr>
          <w:rFonts w:eastAsia="Calibri" w:cs="Arial"/>
          <w:szCs w:val="18"/>
          <w:lang w:val="cs-CZ"/>
        </w:rPr>
        <w:t>bvykle obtížné - bez ohledu na uplatnění zásady DNSH - a pro projekty výzkumu a vývoje zatím neexistuje. V každém případě pro výzkum a vývoj technicky existovat nemůže. Ministerstvo však neidentifikuje žádné riziko negativních dopadů a existující zmírňujíc</w:t>
      </w:r>
      <w:r w:rsidRPr="00ED3950">
        <w:rPr>
          <w:rFonts w:eastAsia="Calibri" w:cs="Arial"/>
          <w:szCs w:val="18"/>
          <w:lang w:val="cs-CZ"/>
        </w:rPr>
        <w:t>í a monitorovací opatření prováděná žadateli (např. plán řízení).</w:t>
      </w:r>
    </w:p>
    <w:p w:rsidR="00C52545" w:rsidRPr="00ED3950" w:rsidRDefault="00C52545" w:rsidP="00C52545">
      <w:pPr>
        <w:tabs>
          <w:tab w:val="left" w:pos="851"/>
        </w:tabs>
        <w:contextualSpacing/>
        <w:rPr>
          <w:rFonts w:eastAsia="Calibri" w:cs="Arial"/>
          <w:lang w:val="cs-CZ"/>
        </w:rPr>
      </w:pPr>
    </w:p>
    <w:p w:rsidR="005840C5" w:rsidRPr="00ED3950" w:rsidRDefault="00ED3950">
      <w:pPr>
        <w:tabs>
          <w:tab w:val="left" w:pos="851"/>
        </w:tabs>
        <w:contextualSpacing/>
        <w:rPr>
          <w:rFonts w:eastAsia="Calibri" w:cs="Arial"/>
          <w:lang w:val="cs-CZ"/>
        </w:rPr>
      </w:pPr>
      <w:r w:rsidRPr="00ED3950">
        <w:rPr>
          <w:rFonts w:eastAsia="Calibri" w:cs="Arial"/>
          <w:b/>
          <w:bCs/>
          <w:color w:val="F04E30"/>
          <w:lang w:val="cs-CZ"/>
        </w:rPr>
        <w:t>Projektový tým</w:t>
      </w:r>
      <w:r w:rsidRPr="00ED3950">
        <w:rPr>
          <w:rFonts w:eastAsia="Calibri" w:cs="Arial"/>
          <w:lang w:val="cs-CZ"/>
        </w:rPr>
        <w:t>: Jak lze posílit směrnice DNSH a zelené značení?</w:t>
      </w:r>
    </w:p>
    <w:p w:rsidR="005840C5" w:rsidRPr="00ED3950" w:rsidRDefault="00ED3950">
      <w:pPr>
        <w:tabs>
          <w:tab w:val="left" w:pos="851"/>
        </w:tabs>
        <w:contextualSpacing/>
        <w:rPr>
          <w:rFonts w:eastAsia="Calibri" w:cs="Arial"/>
          <w:lang w:val="cs-CZ"/>
        </w:rPr>
      </w:pPr>
      <w:proofErr w:type="spellStart"/>
      <w:r w:rsidRPr="00ED3950">
        <w:rPr>
          <w:rFonts w:eastAsia="Calibri" w:cs="Arial"/>
          <w:b/>
          <w:color w:val="2998FF"/>
          <w:lang w:val="cs-CZ"/>
        </w:rPr>
        <w:t>Kerstin</w:t>
      </w:r>
      <w:proofErr w:type="spellEnd"/>
      <w:r w:rsidRPr="00ED3950">
        <w:rPr>
          <w:rFonts w:eastAsia="Calibri" w:cs="Arial"/>
          <w:b/>
          <w:color w:val="2998FF"/>
          <w:lang w:val="cs-CZ"/>
        </w:rPr>
        <w:t xml:space="preserve"> </w:t>
      </w:r>
      <w:proofErr w:type="spellStart"/>
      <w:r w:rsidRPr="00ED3950">
        <w:rPr>
          <w:rFonts w:eastAsia="Calibri" w:cs="Arial"/>
          <w:b/>
          <w:color w:val="2998FF"/>
          <w:lang w:val="cs-CZ"/>
        </w:rPr>
        <w:t>Haider</w:t>
      </w:r>
      <w:proofErr w:type="spellEnd"/>
      <w:r w:rsidRPr="00ED3950">
        <w:rPr>
          <w:rFonts w:eastAsia="Calibri" w:cs="Arial"/>
          <w:lang w:val="cs-CZ"/>
        </w:rPr>
        <w:t xml:space="preserve">: </w:t>
      </w:r>
      <w:proofErr w:type="spellStart"/>
      <w:r w:rsidRPr="00ED3950">
        <w:rPr>
          <w:rFonts w:eastAsia="Calibri" w:cs="Arial"/>
          <w:lang w:val="cs-CZ"/>
        </w:rPr>
        <w:t>Haiderová</w:t>
      </w:r>
      <w:proofErr w:type="spellEnd"/>
      <w:r w:rsidRPr="00ED3950">
        <w:rPr>
          <w:rFonts w:eastAsia="Calibri" w:cs="Arial"/>
          <w:lang w:val="cs-CZ"/>
        </w:rPr>
        <w:t>: Na toto téma probíhá diskuse. Posílení metodiky musí být proveditelné (jak bylo uvedeno, bylo posouzeno 38 000 rozpočtových položek). Cílem je tedy v procesu DNSH co nejvíce znovu použít kroky pro zelené značení (např. hodnotící karta má být p</w:t>
      </w:r>
      <w:r w:rsidRPr="00ED3950">
        <w:rPr>
          <w:rFonts w:eastAsia="Calibri" w:cs="Arial"/>
          <w:lang w:val="cs-CZ"/>
        </w:rPr>
        <w:t>řevedena z hlediska škodlivých a potenciálně škodlivých účinků). Zbývá zjistit, jakým způsobem lze identifikovat rozpočtové položky, které vyžadují dodatečné posouzení DNSH.</w:t>
      </w:r>
    </w:p>
    <w:p w:rsidR="00C52545" w:rsidRPr="00ED3950" w:rsidRDefault="00C52545" w:rsidP="00C52545">
      <w:pPr>
        <w:tabs>
          <w:tab w:val="left" w:pos="851"/>
        </w:tabs>
        <w:contextualSpacing/>
        <w:rPr>
          <w:rFonts w:eastAsia="Calibri" w:cs="Arial"/>
          <w:lang w:val="cs-CZ"/>
        </w:rPr>
      </w:pPr>
    </w:p>
    <w:p w:rsidR="005840C5" w:rsidRPr="00ED3950" w:rsidRDefault="00ED3950">
      <w:pPr>
        <w:tabs>
          <w:tab w:val="left" w:pos="851"/>
        </w:tabs>
        <w:contextualSpacing/>
        <w:rPr>
          <w:rFonts w:eastAsia="Calibri" w:cs="Arial"/>
          <w:lang w:val="cs-CZ"/>
        </w:rPr>
      </w:pPr>
      <w:r w:rsidRPr="00ED3950">
        <w:rPr>
          <w:rFonts w:eastAsia="Calibri" w:cs="Arial"/>
          <w:b/>
          <w:bCs/>
          <w:color w:val="F04E30"/>
          <w:lang w:val="cs-CZ"/>
        </w:rPr>
        <w:t>Projektový tým</w:t>
      </w:r>
      <w:r w:rsidRPr="00ED3950">
        <w:rPr>
          <w:rFonts w:eastAsia="Calibri" w:cs="Arial"/>
          <w:lang w:val="cs-CZ"/>
        </w:rPr>
        <w:t xml:space="preserve">: Jak řešíte dílčí složky, které by mohly vyžadovat dodatečnou analýzu DNSH? Existuje nějaký </w:t>
      </w:r>
      <w:proofErr w:type="gramStart"/>
      <w:r w:rsidRPr="00ED3950">
        <w:rPr>
          <w:rFonts w:eastAsia="Calibri" w:cs="Arial"/>
          <w:lang w:val="cs-CZ"/>
        </w:rPr>
        <w:t>postup a jak</w:t>
      </w:r>
      <w:proofErr w:type="gramEnd"/>
      <w:r w:rsidRPr="00ED3950">
        <w:rPr>
          <w:rFonts w:eastAsia="Calibri" w:cs="Arial"/>
          <w:lang w:val="cs-CZ"/>
        </w:rPr>
        <w:t xml:space="preserve"> jej lze standardizovat?</w:t>
      </w:r>
    </w:p>
    <w:p w:rsidR="005840C5" w:rsidRPr="00ED3950" w:rsidRDefault="00ED3950">
      <w:pPr>
        <w:tabs>
          <w:tab w:val="left" w:pos="851"/>
        </w:tabs>
        <w:contextualSpacing/>
        <w:rPr>
          <w:rFonts w:eastAsia="Calibri" w:cs="Arial"/>
          <w:lang w:val="cs-CZ"/>
        </w:rPr>
      </w:pPr>
      <w:proofErr w:type="spellStart"/>
      <w:r w:rsidRPr="00ED3950">
        <w:rPr>
          <w:rFonts w:eastAsia="Calibri" w:cs="Arial"/>
          <w:b/>
          <w:color w:val="2998FF"/>
          <w:lang w:val="cs-CZ"/>
        </w:rPr>
        <w:t>Siina</w:t>
      </w:r>
      <w:proofErr w:type="spellEnd"/>
      <w:r w:rsidRPr="00ED3950">
        <w:rPr>
          <w:rFonts w:eastAsia="Calibri" w:cs="Arial"/>
          <w:b/>
          <w:color w:val="2998FF"/>
          <w:lang w:val="cs-CZ"/>
        </w:rPr>
        <w:t xml:space="preserve"> </w:t>
      </w:r>
      <w:proofErr w:type="spellStart"/>
      <w:r w:rsidRPr="00ED3950">
        <w:rPr>
          <w:rFonts w:eastAsia="Calibri" w:cs="Arial"/>
          <w:b/>
          <w:color w:val="2998FF"/>
          <w:lang w:val="cs-CZ"/>
        </w:rPr>
        <w:t>Lepola-Lång</w:t>
      </w:r>
      <w:proofErr w:type="spellEnd"/>
      <w:r w:rsidRPr="00ED3950">
        <w:rPr>
          <w:rFonts w:eastAsia="Calibri" w:cs="Arial"/>
          <w:lang w:val="cs-CZ"/>
        </w:rPr>
        <w:t>: Mnoho z těchto investic existuje. Neexistuje však žádný zvláštní postup - projekty se analyzují jako všechn</w:t>
      </w:r>
      <w:r w:rsidRPr="00ED3950">
        <w:rPr>
          <w:rFonts w:eastAsia="Calibri" w:cs="Arial"/>
          <w:lang w:val="cs-CZ"/>
        </w:rPr>
        <w:t>y ostatní a jejich rizikovější aspekty se posuzují hlouběji. V případě nejasností ohledně možných dopadů se také odkazuje na environmentální povolení (ministerstvo přímo vyzývá orgány, které povolení potvrdily).</w:t>
      </w:r>
    </w:p>
    <w:p w:rsidR="005840C5" w:rsidRPr="00ED3950" w:rsidRDefault="00ED3950">
      <w:pPr>
        <w:tabs>
          <w:tab w:val="left" w:pos="851"/>
        </w:tabs>
        <w:contextualSpacing/>
        <w:rPr>
          <w:rFonts w:eastAsia="Calibri" w:cs="Arial"/>
          <w:lang w:val="cs-CZ"/>
        </w:rPr>
      </w:pPr>
      <w:proofErr w:type="spellStart"/>
      <w:r w:rsidRPr="00ED3950">
        <w:rPr>
          <w:rFonts w:eastAsia="Calibri" w:cs="Arial"/>
          <w:b/>
          <w:color w:val="2998FF"/>
          <w:lang w:val="cs-CZ"/>
        </w:rPr>
        <w:t>Juha</w:t>
      </w:r>
      <w:proofErr w:type="spellEnd"/>
      <w:r w:rsidRPr="00ED3950">
        <w:rPr>
          <w:rFonts w:eastAsia="Calibri" w:cs="Arial"/>
          <w:b/>
          <w:color w:val="2998FF"/>
          <w:lang w:val="cs-CZ"/>
        </w:rPr>
        <w:t xml:space="preserve"> </w:t>
      </w:r>
      <w:proofErr w:type="spellStart"/>
      <w:r w:rsidRPr="00ED3950">
        <w:rPr>
          <w:rFonts w:eastAsia="Calibri" w:cs="Arial"/>
          <w:b/>
          <w:color w:val="2998FF"/>
          <w:lang w:val="cs-CZ"/>
        </w:rPr>
        <w:t>Ollikainen</w:t>
      </w:r>
      <w:proofErr w:type="spellEnd"/>
      <w:r w:rsidRPr="00ED3950">
        <w:rPr>
          <w:rFonts w:eastAsia="Calibri" w:cs="Arial"/>
          <w:lang w:val="cs-CZ"/>
        </w:rPr>
        <w:t>: V případě, že se na projekt</w:t>
      </w:r>
      <w:r w:rsidRPr="00ED3950">
        <w:rPr>
          <w:rFonts w:eastAsia="Calibri" w:cs="Arial"/>
          <w:lang w:val="cs-CZ"/>
        </w:rPr>
        <w:t xml:space="preserve"> odkazuje v aktech v přenesené pravomoci, lze provést dodatečné posouzení. </w:t>
      </w:r>
    </w:p>
    <w:p w:rsidR="005840C5" w:rsidRPr="00ED3950" w:rsidRDefault="00ED3950">
      <w:pPr>
        <w:tabs>
          <w:tab w:val="left" w:pos="851"/>
        </w:tabs>
        <w:contextualSpacing/>
        <w:rPr>
          <w:rFonts w:eastAsia="Calibri" w:cs="Arial"/>
          <w:lang w:val="cs-CZ"/>
        </w:rPr>
      </w:pPr>
      <w:proofErr w:type="spellStart"/>
      <w:r w:rsidRPr="00ED3950">
        <w:rPr>
          <w:rFonts w:eastAsia="Calibri" w:cs="Arial"/>
          <w:b/>
          <w:color w:val="2998FF"/>
          <w:lang w:val="cs-CZ"/>
        </w:rPr>
        <w:t>Lucía</w:t>
      </w:r>
      <w:proofErr w:type="spellEnd"/>
      <w:r w:rsidRPr="00ED3950">
        <w:rPr>
          <w:rFonts w:eastAsia="Calibri" w:cs="Arial"/>
          <w:b/>
          <w:color w:val="2998FF"/>
          <w:lang w:val="cs-CZ"/>
        </w:rPr>
        <w:t xml:space="preserve"> </w:t>
      </w:r>
      <w:proofErr w:type="spellStart"/>
      <w:r w:rsidRPr="00ED3950">
        <w:rPr>
          <w:rFonts w:eastAsia="Calibri" w:cs="Arial"/>
          <w:b/>
          <w:color w:val="2998FF"/>
          <w:lang w:val="cs-CZ"/>
        </w:rPr>
        <w:t>Cobo</w:t>
      </w:r>
      <w:proofErr w:type="spellEnd"/>
      <w:r w:rsidRPr="00ED3950">
        <w:rPr>
          <w:rFonts w:eastAsia="Calibri" w:cs="Arial"/>
          <w:lang w:val="cs-CZ"/>
        </w:rPr>
        <w:t xml:space="preserve">: Pokud se tyto akty v přenesené pravomoci na projekty nevztahují, lze využít pouze nejmodernější poznatky a zkušenosti. To s sebou nese výzvy - zejména pro </w:t>
      </w:r>
      <w:r w:rsidRPr="00ED3950">
        <w:rPr>
          <w:rFonts w:eastAsia="Calibri" w:cs="Arial"/>
          <w:lang w:val="cs-CZ"/>
        </w:rPr>
        <w:t xml:space="preserve">cíl </w:t>
      </w:r>
      <w:r w:rsidRPr="00ED3950">
        <w:rPr>
          <w:rFonts w:eastAsia="Calibri" w:cs="Arial"/>
          <w:lang w:val="cs-CZ"/>
        </w:rPr>
        <w:t>oběhového</w:t>
      </w:r>
      <w:r w:rsidRPr="00ED3950">
        <w:rPr>
          <w:rFonts w:eastAsia="Calibri" w:cs="Arial"/>
          <w:lang w:val="cs-CZ"/>
        </w:rPr>
        <w:t xml:space="preserve"> hospodářství.</w:t>
      </w:r>
    </w:p>
    <w:p w:rsidR="005840C5" w:rsidRPr="00ED3950" w:rsidRDefault="00ED3950">
      <w:pPr>
        <w:tabs>
          <w:tab w:val="left" w:pos="851"/>
        </w:tabs>
        <w:contextualSpacing/>
        <w:rPr>
          <w:rFonts w:eastAsia="Calibri" w:cs="Arial"/>
          <w:lang w:val="cs-CZ"/>
        </w:rPr>
      </w:pPr>
      <w:r w:rsidRPr="00ED3950">
        <w:rPr>
          <w:rFonts w:eastAsia="Calibri" w:cs="Arial"/>
          <w:b/>
          <w:color w:val="2998FF"/>
          <w:lang w:val="cs-CZ"/>
        </w:rPr>
        <w:t>Ivana Ptáčková</w:t>
      </w:r>
      <w:r w:rsidRPr="00ED3950">
        <w:rPr>
          <w:rFonts w:eastAsia="Calibri" w:cs="Arial"/>
          <w:lang w:val="cs-CZ"/>
        </w:rPr>
        <w:t>: Ptáčková: Oběhové hospodářství je skutečně zásadní téma, zejména pro infrastrukturu. Ministerstvo zatím používá vylučovací seznam činností a řešení, aby snížilo rizika, že cíl oběhového hospodářství nebude dodržen. Ten zůstáv</w:t>
      </w:r>
      <w:r w:rsidRPr="00ED3950">
        <w:rPr>
          <w:rFonts w:eastAsia="Calibri" w:cs="Arial"/>
          <w:lang w:val="cs-CZ"/>
        </w:rPr>
        <w:t>á těžko použitelný v případě výzkumu a vývoje, kde jsou potenciální rizika a dopady extrémně široké - spíše než konkrétní kritéria by byly potřeba prahové hodnoty, aby byly použitelné pro projekty výzkumu a vývoje.</w:t>
      </w:r>
    </w:p>
    <w:p w:rsidR="00C52545" w:rsidRPr="00ED3950" w:rsidRDefault="00C52545" w:rsidP="00C52545">
      <w:pPr>
        <w:tabs>
          <w:tab w:val="left" w:pos="851"/>
        </w:tabs>
        <w:contextualSpacing/>
        <w:rPr>
          <w:rFonts w:eastAsia="Calibri" w:cs="Arial"/>
          <w:lang w:val="cs-CZ"/>
        </w:rPr>
      </w:pPr>
    </w:p>
    <w:p w:rsidR="005840C5" w:rsidRPr="00ED3950" w:rsidRDefault="00ED3950">
      <w:pPr>
        <w:tabs>
          <w:tab w:val="left" w:pos="851"/>
        </w:tabs>
        <w:contextualSpacing/>
        <w:rPr>
          <w:rFonts w:eastAsia="Calibri" w:cs="Arial"/>
          <w:lang w:val="cs-CZ"/>
        </w:rPr>
      </w:pPr>
      <w:r w:rsidRPr="00ED3950">
        <w:rPr>
          <w:rFonts w:eastAsia="Calibri" w:cs="Arial"/>
          <w:b/>
          <w:bCs/>
          <w:color w:val="F04E30"/>
          <w:lang w:val="cs-CZ"/>
        </w:rPr>
        <w:t>Projektový tým</w:t>
      </w:r>
      <w:r w:rsidRPr="00ED3950">
        <w:rPr>
          <w:rFonts w:eastAsia="Calibri" w:cs="Arial"/>
          <w:lang w:val="cs-CZ"/>
        </w:rPr>
        <w:t>: Existují technická a/neb</w:t>
      </w:r>
      <w:r w:rsidRPr="00ED3950">
        <w:rPr>
          <w:rFonts w:eastAsia="Calibri" w:cs="Arial"/>
          <w:lang w:val="cs-CZ"/>
        </w:rPr>
        <w:t>o legislativní opatření, která by vás mohla podpořit při řešení investic do výzkumu a vývoje nebo inovací?</w:t>
      </w:r>
    </w:p>
    <w:p w:rsidR="005840C5" w:rsidRPr="00ED3950" w:rsidRDefault="00ED3950">
      <w:pPr>
        <w:tabs>
          <w:tab w:val="left" w:pos="851"/>
        </w:tabs>
        <w:contextualSpacing/>
        <w:rPr>
          <w:rFonts w:eastAsia="Calibri" w:cs="Arial"/>
          <w:lang w:val="cs-CZ"/>
        </w:rPr>
      </w:pPr>
      <w:proofErr w:type="spellStart"/>
      <w:r w:rsidRPr="00ED3950">
        <w:rPr>
          <w:rFonts w:eastAsia="Calibri" w:cs="Arial"/>
          <w:b/>
          <w:color w:val="2998FF"/>
          <w:lang w:val="cs-CZ"/>
        </w:rPr>
        <w:t>Juha</w:t>
      </w:r>
      <w:proofErr w:type="spellEnd"/>
      <w:r w:rsidRPr="00ED3950">
        <w:rPr>
          <w:rFonts w:eastAsia="Calibri" w:cs="Arial"/>
          <w:b/>
          <w:color w:val="2998FF"/>
          <w:lang w:val="cs-CZ"/>
        </w:rPr>
        <w:t xml:space="preserve"> </w:t>
      </w:r>
      <w:proofErr w:type="spellStart"/>
      <w:r w:rsidRPr="00ED3950">
        <w:rPr>
          <w:rFonts w:eastAsia="Calibri" w:cs="Arial"/>
          <w:b/>
          <w:color w:val="2998FF"/>
          <w:lang w:val="cs-CZ"/>
        </w:rPr>
        <w:t>Ollikainen</w:t>
      </w:r>
      <w:proofErr w:type="spellEnd"/>
      <w:r w:rsidRPr="00ED3950">
        <w:rPr>
          <w:rFonts w:eastAsia="Calibri" w:cs="Arial"/>
          <w:lang w:val="cs-CZ"/>
        </w:rPr>
        <w:t>: Je zapotřebí konkrétních pokynů pro hodnotitele projektů, zejména pokynů, které rozlišují mezi již existujícími požadavky/právními p</w:t>
      </w:r>
      <w:r w:rsidRPr="00ED3950">
        <w:rPr>
          <w:rFonts w:eastAsia="Calibri" w:cs="Arial"/>
          <w:lang w:val="cs-CZ"/>
        </w:rPr>
        <w:t>ředpisy a specifickými kritérii DNSH. V současné době jsou technické znalosti, které jsou potřebné k provádění hodnocení bez tohoto pokynu, příliš vysoké a příliš široké. Bezpodmínečně nutné jsou také případové studie. Srovnávací příklady z existujících pr</w:t>
      </w:r>
      <w:r w:rsidRPr="00ED3950">
        <w:rPr>
          <w:rFonts w:eastAsia="Calibri" w:cs="Arial"/>
          <w:lang w:val="cs-CZ"/>
        </w:rPr>
        <w:t>ojektů by byly mnohem praktičtější pro každodenní použití.</w:t>
      </w:r>
    </w:p>
    <w:p w:rsidR="00C52545" w:rsidRPr="00ED3950" w:rsidRDefault="00C52545" w:rsidP="00C52545">
      <w:pPr>
        <w:tabs>
          <w:tab w:val="left" w:pos="851"/>
        </w:tabs>
        <w:contextualSpacing/>
        <w:rPr>
          <w:rFonts w:eastAsia="Calibri" w:cs="Arial"/>
          <w:lang w:val="cs-CZ"/>
        </w:rPr>
      </w:pPr>
    </w:p>
    <w:p w:rsidR="005840C5" w:rsidRPr="00ED3950" w:rsidRDefault="00ED3950">
      <w:pPr>
        <w:tabs>
          <w:tab w:val="left" w:pos="851"/>
        </w:tabs>
        <w:contextualSpacing/>
        <w:rPr>
          <w:rFonts w:eastAsia="Calibri" w:cs="Arial"/>
          <w:lang w:val="cs-CZ"/>
        </w:rPr>
      </w:pPr>
      <w:r w:rsidRPr="00ED3950">
        <w:rPr>
          <w:rFonts w:eastAsia="Calibri" w:cs="Arial"/>
          <w:b/>
          <w:bCs/>
          <w:color w:val="F04E30"/>
          <w:lang w:val="cs-CZ"/>
        </w:rPr>
        <w:t>Projektový tým</w:t>
      </w:r>
      <w:r w:rsidRPr="00ED3950">
        <w:rPr>
          <w:rFonts w:eastAsia="Calibri" w:cs="Arial"/>
          <w:lang w:val="cs-CZ"/>
        </w:rPr>
        <w:t>: Má některý z členských států, které zastupujete, v úmyslu zavést mechanismus zeleného rozpočtování? Pokud ano, podpořily by vás v tom nějaké právní předpisy a/nebo technická opatře</w:t>
      </w:r>
      <w:r w:rsidRPr="00ED3950">
        <w:rPr>
          <w:rFonts w:eastAsia="Calibri" w:cs="Arial"/>
          <w:lang w:val="cs-CZ"/>
        </w:rPr>
        <w:t>ní?</w:t>
      </w:r>
    </w:p>
    <w:p w:rsidR="005840C5" w:rsidRPr="00ED3950" w:rsidRDefault="00ED3950">
      <w:pPr>
        <w:tabs>
          <w:tab w:val="left" w:pos="851"/>
        </w:tabs>
        <w:contextualSpacing/>
        <w:rPr>
          <w:rFonts w:eastAsia="Calibri" w:cs="Arial"/>
          <w:lang w:val="cs-CZ"/>
        </w:rPr>
      </w:pPr>
      <w:proofErr w:type="spellStart"/>
      <w:r w:rsidRPr="00ED3950">
        <w:rPr>
          <w:rFonts w:eastAsia="Calibri" w:cs="Arial"/>
          <w:b/>
          <w:color w:val="2998FF"/>
          <w:lang w:val="cs-CZ"/>
        </w:rPr>
        <w:t>Lucía</w:t>
      </w:r>
      <w:proofErr w:type="spellEnd"/>
      <w:r w:rsidRPr="00ED3950">
        <w:rPr>
          <w:rFonts w:eastAsia="Calibri" w:cs="Arial"/>
          <w:b/>
          <w:color w:val="2998FF"/>
          <w:lang w:val="cs-CZ"/>
        </w:rPr>
        <w:t xml:space="preserve"> </w:t>
      </w:r>
      <w:proofErr w:type="spellStart"/>
      <w:r w:rsidRPr="00ED3950">
        <w:rPr>
          <w:rFonts w:eastAsia="Calibri" w:cs="Arial"/>
          <w:b/>
          <w:color w:val="2998FF"/>
          <w:lang w:val="cs-CZ"/>
        </w:rPr>
        <w:t>Cobo</w:t>
      </w:r>
      <w:proofErr w:type="spellEnd"/>
      <w:r w:rsidRPr="00ED3950">
        <w:rPr>
          <w:rFonts w:eastAsia="Calibri" w:cs="Arial"/>
          <w:lang w:val="cs-CZ"/>
        </w:rPr>
        <w:t xml:space="preserve">: Španělský RRP obsahuje reformu v tomto směru. Řídící zákon </w:t>
      </w:r>
      <w:r w:rsidRPr="00ED3950">
        <w:rPr>
          <w:rFonts w:eastAsia="Calibri" w:cs="Arial"/>
          <w:lang w:val="cs-CZ"/>
        </w:rPr>
        <w:t xml:space="preserve">byl </w:t>
      </w:r>
      <w:r w:rsidRPr="00ED3950">
        <w:rPr>
          <w:rFonts w:eastAsia="Calibri" w:cs="Arial"/>
          <w:lang w:val="cs-CZ"/>
        </w:rPr>
        <w:t>přijat v roce 2022. Zelené rozpočtování využilo cíle udržitelného rozvoje (které již byly použity k posouzení udržitelnosti rozpočtu) k určení 6 environmentálních cílů. Příslušn</w:t>
      </w:r>
      <w:r w:rsidRPr="00ED3950">
        <w:rPr>
          <w:rFonts w:eastAsia="Calibri" w:cs="Arial"/>
          <w:lang w:val="cs-CZ"/>
        </w:rPr>
        <w:t>ým opatřením byla nakonec přiřazena klimatická značka. V budoucnu budou zahrnuty širší typy výdajů (včetně výdajů, které nemají mít pozitivní dopad na klima, příjmů a rozpočtu sociálního zabezpečení).</w:t>
      </w:r>
    </w:p>
    <w:p w:rsidR="005840C5" w:rsidRPr="00ED3950" w:rsidRDefault="00ED3950">
      <w:pPr>
        <w:tabs>
          <w:tab w:val="left" w:pos="851"/>
        </w:tabs>
        <w:contextualSpacing/>
        <w:rPr>
          <w:rFonts w:eastAsia="Calibri" w:cs="Arial"/>
          <w:lang w:val="cs-CZ"/>
        </w:rPr>
      </w:pPr>
      <w:r w:rsidRPr="00ED3950">
        <w:rPr>
          <w:rFonts w:eastAsia="Calibri" w:cs="Arial"/>
          <w:lang w:val="cs-CZ"/>
        </w:rPr>
        <w:t>Toto úsilí podporují odvětvové cestovní mapy. Například</w:t>
      </w:r>
      <w:r w:rsidRPr="00ED3950">
        <w:rPr>
          <w:rFonts w:eastAsia="Calibri" w:cs="Arial"/>
          <w:lang w:val="cs-CZ"/>
        </w:rPr>
        <w:t xml:space="preserve"> plán pro zelený vodík (který obsahuje popis investic od výroby až po použití a dopravu) pomáhá zjistit obsah opatření, a tím i jejich označení.</w:t>
      </w:r>
    </w:p>
    <w:p w:rsidR="005840C5" w:rsidRPr="00ED3950" w:rsidRDefault="00ED3950">
      <w:pPr>
        <w:tabs>
          <w:tab w:val="left" w:pos="851"/>
        </w:tabs>
        <w:contextualSpacing/>
        <w:rPr>
          <w:rFonts w:eastAsia="Calibri" w:cs="Arial"/>
          <w:lang w:val="cs-CZ"/>
        </w:rPr>
      </w:pPr>
      <w:r w:rsidRPr="00ED3950">
        <w:rPr>
          <w:rFonts w:eastAsia="Calibri" w:cs="Arial"/>
          <w:b/>
          <w:color w:val="2998FF"/>
          <w:lang w:val="cs-CZ"/>
        </w:rPr>
        <w:t>Ivana Ptáčková</w:t>
      </w:r>
      <w:r w:rsidRPr="00ED3950">
        <w:rPr>
          <w:rFonts w:eastAsia="Calibri" w:cs="Arial"/>
          <w:lang w:val="cs-CZ"/>
        </w:rPr>
        <w:t>: Ptáčková: O rozvoji zeleného rozpočtování se nediskutuje.</w:t>
      </w:r>
    </w:p>
    <w:p w:rsidR="005840C5" w:rsidRPr="00ED3950" w:rsidRDefault="00ED3950">
      <w:pPr>
        <w:tabs>
          <w:tab w:val="left" w:pos="851"/>
        </w:tabs>
        <w:contextualSpacing/>
        <w:rPr>
          <w:rFonts w:eastAsia="Calibri" w:cs="Arial"/>
          <w:lang w:val="cs-CZ"/>
        </w:rPr>
      </w:pPr>
      <w:proofErr w:type="spellStart"/>
      <w:r w:rsidRPr="00ED3950">
        <w:rPr>
          <w:rFonts w:eastAsia="Calibri" w:cs="Arial"/>
          <w:b/>
          <w:color w:val="2998FF"/>
          <w:lang w:val="cs-CZ"/>
        </w:rPr>
        <w:t>Siina</w:t>
      </w:r>
      <w:proofErr w:type="spellEnd"/>
      <w:r w:rsidRPr="00ED3950">
        <w:rPr>
          <w:rFonts w:eastAsia="Calibri" w:cs="Arial"/>
          <w:b/>
          <w:color w:val="2998FF"/>
          <w:lang w:val="cs-CZ"/>
        </w:rPr>
        <w:t xml:space="preserve"> </w:t>
      </w:r>
      <w:proofErr w:type="spellStart"/>
      <w:r w:rsidRPr="00ED3950">
        <w:rPr>
          <w:rFonts w:eastAsia="Calibri" w:cs="Arial"/>
          <w:b/>
          <w:color w:val="2998FF"/>
          <w:lang w:val="cs-CZ"/>
        </w:rPr>
        <w:t>Lepola-Lång</w:t>
      </w:r>
      <w:proofErr w:type="spellEnd"/>
      <w:r w:rsidRPr="00ED3950">
        <w:rPr>
          <w:rFonts w:eastAsia="Calibri" w:cs="Arial"/>
          <w:lang w:val="cs-CZ"/>
        </w:rPr>
        <w:t>: Ve Finsku byly uči</w:t>
      </w:r>
      <w:r w:rsidRPr="00ED3950">
        <w:rPr>
          <w:rFonts w:eastAsia="Calibri" w:cs="Arial"/>
          <w:lang w:val="cs-CZ"/>
        </w:rPr>
        <w:t xml:space="preserve">něny pokusy o vytvoření a používání zeleného rozpočtování. V současné době se neprovádí - alespoň na ministerstvu hospodářství - ale stojí za to ho prozkoumat. V každém případě je v zásadě potřeba omezit složitost hodnocení DNSH tak, aby menší společnosti </w:t>
      </w:r>
      <w:r w:rsidRPr="00ED3950">
        <w:rPr>
          <w:rFonts w:eastAsia="Calibri" w:cs="Arial"/>
          <w:lang w:val="cs-CZ"/>
        </w:rPr>
        <w:t xml:space="preserve">mohly </w:t>
      </w:r>
      <w:r w:rsidRPr="00ED3950">
        <w:rPr>
          <w:rFonts w:eastAsia="Calibri" w:cs="Arial"/>
          <w:lang w:val="cs-CZ"/>
        </w:rPr>
        <w:lastRenderedPageBreak/>
        <w:t xml:space="preserve">provádět hodnocení DNSH samy (tj. bez konzultantů) a mohly skutečně využívat veřejné financování. </w:t>
      </w:r>
      <w:proofErr w:type="spellStart"/>
      <w:r w:rsidRPr="00ED3950">
        <w:rPr>
          <w:rFonts w:eastAsia="Calibri" w:cs="Arial"/>
          <w:lang w:val="cs-CZ"/>
        </w:rPr>
        <w:t>Juha</w:t>
      </w:r>
      <w:proofErr w:type="spellEnd"/>
      <w:r w:rsidRPr="00ED3950">
        <w:rPr>
          <w:rFonts w:eastAsia="Calibri" w:cs="Arial"/>
          <w:lang w:val="cs-CZ"/>
        </w:rPr>
        <w:t xml:space="preserve"> </w:t>
      </w:r>
      <w:proofErr w:type="spellStart"/>
      <w:r w:rsidRPr="00ED3950">
        <w:rPr>
          <w:rFonts w:eastAsia="Calibri" w:cs="Arial"/>
          <w:lang w:val="cs-CZ"/>
        </w:rPr>
        <w:t>Ollikainen</w:t>
      </w:r>
      <w:proofErr w:type="spellEnd"/>
      <w:r w:rsidRPr="00ED3950">
        <w:rPr>
          <w:rFonts w:eastAsia="Calibri" w:cs="Arial"/>
          <w:lang w:val="cs-CZ"/>
        </w:rPr>
        <w:t xml:space="preserve"> </w:t>
      </w:r>
      <w:r w:rsidRPr="00ED3950">
        <w:rPr>
          <w:rFonts w:eastAsia="Calibri" w:cs="Arial"/>
          <w:lang w:val="cs-CZ"/>
        </w:rPr>
        <w:t>se k tomuto bodu připojuje.</w:t>
      </w:r>
    </w:p>
    <w:p w:rsidR="00C52545" w:rsidRPr="00ED3950" w:rsidRDefault="00C52545" w:rsidP="00C52545">
      <w:pPr>
        <w:rPr>
          <w:lang w:val="cs-CZ"/>
        </w:rPr>
      </w:pPr>
    </w:p>
    <w:p w:rsidR="00066612" w:rsidRPr="00ED3950" w:rsidRDefault="00066612" w:rsidP="007608BA">
      <w:pPr>
        <w:tabs>
          <w:tab w:val="left" w:pos="6565"/>
        </w:tabs>
        <w:rPr>
          <w:lang w:val="cs-CZ"/>
        </w:rPr>
        <w:sectPr w:rsidR="00066612" w:rsidRPr="00ED3950" w:rsidSect="006F0667">
          <w:footerReference w:type="default" r:id="rId28"/>
          <w:pgSz w:w="11906" w:h="16838"/>
          <w:pgMar w:top="1440" w:right="1440" w:bottom="1440" w:left="1440" w:header="709" w:footer="567" w:gutter="0"/>
          <w:cols w:space="708"/>
          <w:docGrid w:linePitch="360"/>
        </w:sectPr>
      </w:pPr>
    </w:p>
    <w:p w:rsidR="009976CE" w:rsidRPr="00ED3950" w:rsidRDefault="009976CE" w:rsidP="008059BC">
      <w:pPr>
        <w:rPr>
          <w:lang w:val="cs-CZ"/>
        </w:rPr>
      </w:pPr>
    </w:p>
    <w:p w:rsidR="00A77E49" w:rsidRPr="00ED3950" w:rsidRDefault="00A77E49" w:rsidP="008059BC">
      <w:pPr>
        <w:rPr>
          <w:lang w:val="cs-CZ"/>
        </w:rPr>
      </w:pPr>
    </w:p>
    <w:p w:rsidR="00A77E49" w:rsidRPr="00ED3950" w:rsidRDefault="00A77E49" w:rsidP="008059BC">
      <w:pPr>
        <w:rPr>
          <w:lang w:val="cs-CZ"/>
        </w:rPr>
      </w:pPr>
    </w:p>
    <w:p w:rsidR="00A77E49" w:rsidRPr="00ED3950" w:rsidRDefault="00A77E49" w:rsidP="008059BC">
      <w:pPr>
        <w:rPr>
          <w:lang w:val="cs-CZ"/>
        </w:rPr>
      </w:pPr>
    </w:p>
    <w:p w:rsidR="00A77E49" w:rsidRPr="00ED3950" w:rsidRDefault="00A77E49" w:rsidP="008059BC">
      <w:pPr>
        <w:rPr>
          <w:lang w:val="cs-CZ"/>
        </w:rPr>
      </w:pPr>
    </w:p>
    <w:p w:rsidR="00A77E49" w:rsidRPr="00ED3950" w:rsidRDefault="00A77E49" w:rsidP="008059BC">
      <w:pPr>
        <w:rPr>
          <w:lang w:val="cs-CZ"/>
        </w:rPr>
      </w:pPr>
    </w:p>
    <w:p w:rsidR="00A77E49" w:rsidRPr="00ED3950" w:rsidRDefault="00A77E49" w:rsidP="008059BC">
      <w:pPr>
        <w:rPr>
          <w:lang w:val="cs-CZ"/>
        </w:rPr>
      </w:pPr>
    </w:p>
    <w:p w:rsidR="00A77E49" w:rsidRPr="00ED3950" w:rsidRDefault="00A77E49" w:rsidP="008059BC">
      <w:pPr>
        <w:rPr>
          <w:lang w:val="cs-CZ"/>
        </w:rPr>
      </w:pPr>
    </w:p>
    <w:p w:rsidR="00A77E49" w:rsidRPr="00ED3950" w:rsidRDefault="00A77E49" w:rsidP="008059BC">
      <w:pPr>
        <w:rPr>
          <w:lang w:val="cs-CZ"/>
        </w:rPr>
      </w:pPr>
    </w:p>
    <w:p w:rsidR="00A77E49" w:rsidRPr="00ED3950" w:rsidRDefault="00A77E49" w:rsidP="008059BC">
      <w:pPr>
        <w:rPr>
          <w:lang w:val="cs-CZ"/>
        </w:rPr>
      </w:pPr>
    </w:p>
    <w:p w:rsidR="00A77E49" w:rsidRPr="00ED3950" w:rsidRDefault="00A77E49" w:rsidP="008059BC">
      <w:pPr>
        <w:rPr>
          <w:lang w:val="cs-CZ"/>
        </w:rPr>
      </w:pPr>
    </w:p>
    <w:p w:rsidR="00A77E49" w:rsidRPr="00ED3950" w:rsidRDefault="00A77E49" w:rsidP="008059BC">
      <w:pPr>
        <w:rPr>
          <w:lang w:val="cs-CZ"/>
        </w:rPr>
      </w:pPr>
    </w:p>
    <w:p w:rsidR="00A77E49" w:rsidRPr="00ED3950" w:rsidRDefault="00A77E49" w:rsidP="008059BC">
      <w:pPr>
        <w:rPr>
          <w:lang w:val="cs-CZ"/>
        </w:rPr>
      </w:pPr>
    </w:p>
    <w:p w:rsidR="00A77E49" w:rsidRPr="00ED3950" w:rsidRDefault="00A77E49" w:rsidP="008059BC">
      <w:pPr>
        <w:rPr>
          <w:lang w:val="cs-CZ"/>
        </w:rPr>
      </w:pPr>
    </w:p>
    <w:p w:rsidR="00A77E49" w:rsidRPr="00ED3950" w:rsidRDefault="00A77E49" w:rsidP="008059BC">
      <w:pPr>
        <w:rPr>
          <w:lang w:val="cs-CZ"/>
        </w:rPr>
      </w:pPr>
    </w:p>
    <w:p w:rsidR="00A77E49" w:rsidRPr="00ED3950" w:rsidRDefault="00A77E49" w:rsidP="008059BC">
      <w:pPr>
        <w:rPr>
          <w:lang w:val="cs-CZ"/>
        </w:rPr>
      </w:pPr>
    </w:p>
    <w:p w:rsidR="00A77E49" w:rsidRPr="00ED3950" w:rsidRDefault="00A77E49" w:rsidP="008059BC">
      <w:pPr>
        <w:rPr>
          <w:lang w:val="cs-CZ"/>
        </w:rPr>
      </w:pPr>
    </w:p>
    <w:p w:rsidR="00A77E49" w:rsidRPr="00ED3950" w:rsidRDefault="00A77E49" w:rsidP="008059BC">
      <w:pPr>
        <w:rPr>
          <w:lang w:val="cs-CZ"/>
        </w:rPr>
      </w:pPr>
    </w:p>
    <w:p w:rsidR="00A77E49" w:rsidRPr="00ED3950" w:rsidRDefault="00A77E49" w:rsidP="008059BC">
      <w:pPr>
        <w:rPr>
          <w:lang w:val="cs-CZ"/>
        </w:rPr>
      </w:pPr>
    </w:p>
    <w:p w:rsidR="009976CE" w:rsidRPr="00ED3950" w:rsidRDefault="009976CE" w:rsidP="008059BC">
      <w:pPr>
        <w:rPr>
          <w:lang w:val="cs-CZ"/>
        </w:rPr>
      </w:pPr>
    </w:p>
    <w:p w:rsidR="009976CE" w:rsidRPr="00ED3950" w:rsidRDefault="009976CE" w:rsidP="008059BC">
      <w:pPr>
        <w:rPr>
          <w:lang w:val="cs-CZ"/>
        </w:rPr>
      </w:pPr>
    </w:p>
    <w:p w:rsidR="009976CE" w:rsidRPr="00ED3950" w:rsidRDefault="009976CE" w:rsidP="008059BC">
      <w:pPr>
        <w:rPr>
          <w:lang w:val="cs-CZ"/>
        </w:rPr>
      </w:pPr>
    </w:p>
    <w:p w:rsidR="009976CE" w:rsidRPr="00ED3950" w:rsidRDefault="009976CE" w:rsidP="008059BC">
      <w:pPr>
        <w:rPr>
          <w:lang w:val="cs-CZ"/>
        </w:rPr>
      </w:pPr>
    </w:p>
    <w:bookmarkStart w:id="246" w:name="_WNSectionTitle_5"/>
    <w:bookmarkStart w:id="247" w:name="_WNTabType_4"/>
    <w:p w:rsidR="005840C5" w:rsidRPr="00ED3950" w:rsidRDefault="00ED3950">
      <w:pPr>
        <w:rPr>
          <w:lang w:val="cs-CZ"/>
        </w:rPr>
      </w:pPr>
      <w:r w:rsidRPr="00ED3950">
        <w:rPr>
          <w:lang w:val="cs-CZ" w:eastAsia="cs-CZ"/>
        </w:rPr>
        <mc:AlternateContent>
          <mc:Choice Requires="wps">
            <w:drawing>
              <wp:anchor distT="0" distB="0" distL="114300" distR="114300" simplePos="0" relativeHeight="251658243" behindDoc="0" locked="0" layoutInCell="1" allowOverlap="1" wp14:anchorId="70F3357D" wp14:editId="3D57FC8A">
                <wp:simplePos x="0" y="0"/>
                <wp:positionH relativeFrom="column">
                  <wp:posOffset>597552</wp:posOffset>
                </wp:positionH>
                <wp:positionV relativeFrom="paragraph">
                  <wp:posOffset>0</wp:posOffset>
                </wp:positionV>
                <wp:extent cx="3883231" cy="206640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231" cy="2066400"/>
                        </a:xfrm>
                        <a:prstGeom prst="rect">
                          <a:avLst/>
                        </a:prstGeom>
                        <a:noFill/>
                        <a:ln w="9525">
                          <a:noFill/>
                          <a:miter lim="800000"/>
                          <a:headEnd/>
                          <a:tailEnd/>
                        </a:ln>
                      </wps:spPr>
                      <wps:txbx>
                        <w:txbxContent>
                          <w:p w:rsidR="005840C5" w:rsidRDefault="00ED3950">
                            <w:pPr>
                              <w:ind w:left="0"/>
                              <w:rPr>
                                <w:lang w:val="nl-NL"/>
                              </w:rPr>
                            </w:pPr>
                            <w:r w:rsidRPr="00062FC7">
                              <w:rPr>
                                <w:lang w:val="nl-NL"/>
                              </w:rPr>
                              <w:t>Trinomics B.V.</w:t>
                            </w:r>
                          </w:p>
                          <w:p w:rsidR="005840C5" w:rsidRDefault="00ED3950">
                            <w:pPr>
                              <w:ind w:left="0"/>
                              <w:rPr>
                                <w:lang w:val="nl-NL"/>
                              </w:rPr>
                            </w:pPr>
                            <w:r w:rsidRPr="00062FC7">
                              <w:rPr>
                                <w:lang w:val="nl-NL"/>
                              </w:rPr>
                              <w:t>Westersingel 34</w:t>
                            </w:r>
                          </w:p>
                          <w:p w:rsidR="005840C5" w:rsidRDefault="00ED3950">
                            <w:pPr>
                              <w:ind w:left="0"/>
                              <w:rPr>
                                <w:lang w:val="nl-NL"/>
                              </w:rPr>
                            </w:pPr>
                            <w:r w:rsidRPr="00062FC7">
                              <w:rPr>
                                <w:lang w:val="nl-NL"/>
                              </w:rPr>
                              <w:t>3014 GS Rotterdam</w:t>
                            </w:r>
                          </w:p>
                          <w:p w:rsidR="005840C5" w:rsidRDefault="00ED3950">
                            <w:pPr>
                              <w:ind w:left="0"/>
                            </w:pPr>
                            <w:proofErr w:type="spellStart"/>
                            <w:r w:rsidRPr="00973270">
                              <w:t>Nizozemsko</w:t>
                            </w:r>
                            <w:proofErr w:type="spellEnd"/>
                          </w:p>
                          <w:p w:rsidR="00C54943" w:rsidRPr="00973270" w:rsidRDefault="00C54943" w:rsidP="002F1771">
                            <w:pPr>
                              <w:ind w:left="0"/>
                            </w:pPr>
                          </w:p>
                          <w:p w:rsidR="005840C5" w:rsidRDefault="00ED3950">
                            <w:pPr>
                              <w:ind w:left="0"/>
                            </w:pPr>
                            <w:r w:rsidRPr="00062FC7">
                              <w:t>T +31 (0) 10 3414 592</w:t>
                            </w:r>
                          </w:p>
                          <w:p w:rsidR="005840C5" w:rsidRDefault="00ED3950">
                            <w:pPr>
                              <w:ind w:left="0"/>
                              <w:rPr>
                                <w:szCs w:val="18"/>
                              </w:rPr>
                            </w:pPr>
                            <w:hyperlink r:id="rId29" w:history="1">
                              <w:r w:rsidR="00C54943" w:rsidRPr="00B62D69">
                                <w:rPr>
                                  <w:rStyle w:val="Hypertextovodkaz"/>
                                  <w:szCs w:val="18"/>
                                </w:rPr>
                                <w:t>www.trinomics.eu</w:t>
                              </w:r>
                            </w:hyperlink>
                          </w:p>
                          <w:p w:rsidR="00C54943" w:rsidRPr="00B62D69" w:rsidRDefault="00C54943" w:rsidP="002F1771">
                            <w:pPr>
                              <w:ind w:left="0"/>
                            </w:pPr>
                          </w:p>
                          <w:p w:rsidR="005840C5" w:rsidRDefault="00ED3950">
                            <w:pPr>
                              <w:ind w:left="0"/>
                              <w:rPr>
                                <w:lang w:val="pt-PT"/>
                              </w:rPr>
                            </w:pPr>
                            <w:r w:rsidRPr="00750021">
                              <w:rPr>
                                <w:lang w:val="pt-PT"/>
                              </w:rPr>
                              <w:t>KvK č: 56028016</w:t>
                            </w:r>
                          </w:p>
                          <w:p w:rsidR="005840C5" w:rsidRDefault="00ED3950">
                            <w:pPr>
                              <w:ind w:left="0"/>
                              <w:rPr>
                                <w:szCs w:val="18"/>
                                <w:lang w:val="nl-NL"/>
                              </w:rPr>
                            </w:pPr>
                            <w:r w:rsidRPr="00587565">
                              <w:rPr>
                                <w:lang w:val="nl-NL"/>
                              </w:rPr>
                              <w:t>DIČ č: NL8519.48.662.B01</w:t>
                            </w:r>
                          </w:p>
                          <w:p w:rsidR="00C54943" w:rsidRPr="00062FC7" w:rsidRDefault="00C54943">
                            <w:pPr>
                              <w:rPr>
                                <w:lang w:val="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rto="http://schemas.microsoft.com/office/word/2006/arto" xmlns:a="http://schemas.openxmlformats.org/drawingml/2006/main">
            <w:pict>
              <v:shape id="Text Box 307" style="position:absolute;left:0;text-align:left;margin-left:47.05pt;margin-top:0;width:305.75pt;height:16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" w14:anchorId="70F3357D">
                <v:textbox>
                  <w:txbxContent>
                    <w:p xmlns:w16du="http://schemas.microsoft.com/office/word/2023/wordml/word16du">
                      <w:pPr>
                        <w:ind w:start="0"/>
                        <w:rPr>
                          <w:lang w:val="nl-NL"/>
                        </w:rPr>
                      </w:pPr>
                      <w:r w:rsidRPr="00062FC7">
                        <w:rPr>
                          <w:lang w:val="nl-NL"/>
                        </w:rPr>
                        <w:t xml:space="preserve">Trinomics B.V.</w:t>
                      </w:r>
                    </w:p>
                    <w:p xmlns:w16du="http://schemas.microsoft.com/office/word/2023/wordml/word16du">
                      <w:pPr>
                        <w:ind w:start="0"/>
                        <w:rPr>
                          <w:lang w:val="nl-NL"/>
                        </w:rPr>
                      </w:pPr>
                      <w:r w:rsidRPr="00062FC7">
                        <w:rPr>
                          <w:lang w:val="nl-NL"/>
                        </w:rPr>
                        <w:t xml:space="preserve">Westersingel 34</w:t>
                      </w:r>
                    </w:p>
                    <w:p xmlns:w16du="http://schemas.microsoft.com/office/word/2023/wordml/word16du">
                      <w:pPr>
                        <w:ind w:start="0"/>
                        <w:rPr>
                          <w:lang w:val="nl-NL"/>
                        </w:rPr>
                      </w:pPr>
                      <w:r w:rsidRPr="00062FC7">
                        <w:rPr>
                          <w:lang w:val="nl-NL"/>
                        </w:rPr>
                        <w:t xml:space="preserve">3014 GS Rotterdam</w:t>
                      </w:r>
                    </w:p>
                    <w:p xmlns:w16du="http://schemas.microsoft.com/office/word/2023/wordml/word16du">
                      <w:pPr>
                        <w:ind w:start="0"/>
                      </w:pPr>
                      <w:r w:rsidRPr="00973270">
                        <w:t xml:space="preserve">Nizozemsko</w:t>
                      </w:r>
                    </w:p>
                    <w:p w:rsidRPr="00973270" w:rsidR="00C54943" w:rsidP="002F1771" w:rsidRDefault="00C54943" w14:paraId="0CC8B067" w14:textId="77777777">
                      <w:pPr>
                        <w:ind w:start="0"/>
                      </w:pPr>
                    </w:p>
                    <w:p xmlns:w16du="http://schemas.microsoft.com/office/word/2023/wordml/word16du">
                      <w:pPr>
                        <w:ind w:start="0"/>
                      </w:pPr>
                      <w:r w:rsidRPr="00062FC7">
                        <w:t xml:space="preserve">T +31 (0) 10 3414 592</w:t>
                      </w:r>
                    </w:p>
                    <w:p xmlns:w16du="http://schemas.microsoft.com/office/word/2023/wordml/word16du">
                      <w:pPr>
                        <w:ind w:start="0"/>
                        <w:rPr>
                          <w:szCs w:val="18"/>
                        </w:rPr>
                      </w:pPr>
                      <w:hyperlink w:history="1" r:id="rId31">
                        <w:r w:rsidRPr="00B62D69" w:rsidR="00C54943">
                          <w:rPr>
                            <w:rStyle w:val="Hyperlink"/>
                            <w:szCs w:val="18"/>
                          </w:rPr>
                          <w:t xml:space="preserve">www.trinomics.eu</w:t>
                        </w:r>
                      </w:hyperlink>
                    </w:p>
                    <w:p w:rsidRPr="00B62D69" w:rsidR="00C54943" w:rsidP="002F1771" w:rsidRDefault="00C54943" w14:paraId="2B9FC1AF" w14:textId="77777777">
                      <w:pPr>
                        <w:ind w:start="0"/>
                      </w:pPr>
                    </w:p>
                    <w:p xmlns:w16du="http://schemas.microsoft.com/office/word/2023/wordml/word16du">
                      <w:pPr>
                        <w:ind w:start="0"/>
                        <w:rPr>
                          <w:lang w:val="pt-PT"/>
                        </w:rPr>
                      </w:pPr>
                      <w:r w:rsidRPr="00750021">
                        <w:rPr>
                          <w:lang w:val="pt-PT"/>
                        </w:rPr>
                        <w:t xml:space="preserve">KvK č: 56028016</w:t>
                      </w:r>
                    </w:p>
                    <w:p xmlns:w16du="http://schemas.microsoft.com/office/word/2023/wordml/word16du">
                      <w:pPr>
                        <w:ind w:start="0"/>
                        <w:rPr>
                          <w:szCs w:val="18"/>
                          <w:lang w:val="nl-NL"/>
                        </w:rPr>
                      </w:pPr>
                      <w:r w:rsidRPr="00587565">
                        <w:rPr>
                          <w:lang w:val="nl-NL"/>
                        </w:rPr>
                        <w:t xml:space="preserve">DIČ č: NL8519.48.662.B01</w:t>
                      </w:r>
                    </w:p>
                    <w:p w:rsidRPr="00062FC7" w:rsidR="00C54943" w:rsidRDefault="00C54943" w14:paraId="7A2DCB20" w14:textId="77777777">
                      <w:pPr>
                        <w:rPr>
                          <w:lang w:val="nl-NL"/>
                        </w:rPr>
                      </w:pPr>
                    </w:p>
                  </w:txbxContent>
                </v:textbox>
              </v:shape>
            </w:pict>
          </mc:Fallback>
        </mc:AlternateContent>
      </w:r>
      <w:r w:rsidR="009976CE" w:rsidRPr="00ED3950">
        <w:rPr>
          <w:lang w:val="cs-CZ" w:eastAsia="cs-CZ"/>
        </w:rPr>
        <mc:AlternateContent>
          <mc:Choice Requires="wps">
            <w:drawing>
              <wp:anchor distT="0" distB="0" distL="114300" distR="114300" simplePos="0" relativeHeight="251658242" behindDoc="1" locked="0" layoutInCell="1" allowOverlap="1" wp14:anchorId="738004FC" wp14:editId="114C22FF">
                <wp:simplePos x="0" y="0"/>
                <wp:positionH relativeFrom="margin">
                  <wp:align>center</wp:align>
                </wp:positionH>
                <wp:positionV relativeFrom="page">
                  <wp:posOffset>381000</wp:posOffset>
                </wp:positionV>
                <wp:extent cx="7077075" cy="7543800"/>
                <wp:effectExtent l="0" t="0" r="9525" b="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7075" cy="7543800"/>
                        </a:xfrm>
                        <a:prstGeom prst="rect">
                          <a:avLst/>
                        </a:prstGeom>
                        <a:solidFill>
                          <a:srgbClr val="ECEBE1"/>
                        </a:solidFill>
                        <a:ln w="9525">
                          <a:no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rect id="Rectangle 1" style="position:absolute;margin-left:0;margin-top:30pt;width:557.25pt;height:594pt;z-index:-251658237;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spid="_x0000_s1026" fillcolor="#ecebe1"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" w14:anchorId="24A18657">
                <w10:wrap anchorx="margin" anchory="page"/>
              </v:rect>
            </w:pict>
          </mc:Fallback>
        </mc:AlternateContent>
      </w:r>
      <w:bookmarkEnd w:id="246"/>
      <w:bookmarkEnd w:id="247"/>
    </w:p>
    <w:p w:rsidR="00DB019C" w:rsidRPr="00ED3950" w:rsidRDefault="00DB019C" w:rsidP="008059BC">
      <w:pPr>
        <w:rPr>
          <w:lang w:val="cs-CZ"/>
        </w:rPr>
      </w:pPr>
    </w:p>
    <w:p w:rsidR="00DB019C" w:rsidRPr="00ED3950" w:rsidRDefault="00DB019C" w:rsidP="008059BC">
      <w:pPr>
        <w:rPr>
          <w:lang w:val="cs-CZ"/>
        </w:rPr>
      </w:pPr>
    </w:p>
    <w:p w:rsidR="00DB019C" w:rsidRPr="00ED3950" w:rsidRDefault="00DB019C" w:rsidP="008059BC">
      <w:pPr>
        <w:rPr>
          <w:lang w:val="cs-CZ"/>
        </w:rPr>
      </w:pPr>
    </w:p>
    <w:p w:rsidR="009976CE" w:rsidRPr="00ED3950" w:rsidRDefault="009976CE" w:rsidP="008059BC">
      <w:pPr>
        <w:rPr>
          <w:lang w:val="cs-CZ"/>
        </w:rPr>
      </w:pPr>
    </w:p>
    <w:p w:rsidR="009976CE" w:rsidRPr="00ED3950" w:rsidRDefault="009976CE" w:rsidP="008059BC">
      <w:pPr>
        <w:rPr>
          <w:lang w:val="cs-CZ"/>
        </w:rPr>
      </w:pPr>
    </w:p>
    <w:p w:rsidR="009976CE" w:rsidRPr="00ED3950" w:rsidRDefault="009976CE" w:rsidP="008059BC">
      <w:pPr>
        <w:rPr>
          <w:lang w:val="cs-CZ"/>
        </w:rPr>
      </w:pPr>
    </w:p>
    <w:p w:rsidR="009976CE" w:rsidRPr="00ED3950" w:rsidRDefault="009976CE" w:rsidP="008059BC">
      <w:pPr>
        <w:rPr>
          <w:lang w:val="cs-CZ"/>
        </w:rPr>
      </w:pPr>
    </w:p>
    <w:p w:rsidR="009976CE" w:rsidRPr="00ED3950" w:rsidRDefault="009976CE" w:rsidP="008059BC">
      <w:pPr>
        <w:rPr>
          <w:lang w:val="cs-CZ"/>
        </w:rPr>
      </w:pPr>
    </w:p>
    <w:p w:rsidR="00A77E49" w:rsidRPr="00ED3950" w:rsidRDefault="00A77E49" w:rsidP="008059BC">
      <w:pPr>
        <w:rPr>
          <w:lang w:val="cs-CZ"/>
        </w:rPr>
      </w:pPr>
    </w:p>
    <w:p w:rsidR="00572DD4" w:rsidRPr="00ED3950" w:rsidRDefault="00572DD4" w:rsidP="008059BC">
      <w:pPr>
        <w:rPr>
          <w:lang w:val="cs-CZ"/>
        </w:rPr>
      </w:pPr>
    </w:p>
    <w:p w:rsidR="00572DD4" w:rsidRPr="00ED3950" w:rsidRDefault="00572DD4" w:rsidP="008059BC">
      <w:pPr>
        <w:rPr>
          <w:lang w:val="cs-CZ"/>
        </w:rPr>
      </w:pPr>
    </w:p>
    <w:p w:rsidR="00572DD4" w:rsidRPr="00ED3950" w:rsidRDefault="00572DD4" w:rsidP="008059BC">
      <w:pPr>
        <w:rPr>
          <w:lang w:val="cs-CZ"/>
        </w:rPr>
      </w:pPr>
    </w:p>
    <w:p w:rsidR="009976CE" w:rsidRPr="00ED3950" w:rsidRDefault="009976CE" w:rsidP="008059BC">
      <w:pPr>
        <w:rPr>
          <w:lang w:val="cs-CZ"/>
        </w:rPr>
      </w:pPr>
    </w:p>
    <w:p w:rsidR="009976CE" w:rsidRPr="00ED3950" w:rsidRDefault="009976CE" w:rsidP="008059BC">
      <w:pPr>
        <w:rPr>
          <w:lang w:val="cs-CZ"/>
        </w:rPr>
      </w:pPr>
    </w:p>
    <w:p w:rsidR="009976CE" w:rsidRPr="00ED3950" w:rsidRDefault="009976CE" w:rsidP="008059BC">
      <w:pPr>
        <w:rPr>
          <w:lang w:val="cs-CZ"/>
        </w:rPr>
      </w:pPr>
    </w:p>
    <w:p w:rsidR="009976CE" w:rsidRPr="00ED3950" w:rsidRDefault="009976CE" w:rsidP="008059BC">
      <w:pPr>
        <w:rPr>
          <w:lang w:val="cs-CZ"/>
        </w:rPr>
      </w:pPr>
    </w:p>
    <w:p w:rsidR="009976CE" w:rsidRPr="00ED3950" w:rsidRDefault="009976CE" w:rsidP="008059BC">
      <w:pPr>
        <w:rPr>
          <w:lang w:val="cs-CZ"/>
        </w:rPr>
      </w:pPr>
    </w:p>
    <w:p w:rsidR="005840C5" w:rsidRPr="00ED3950" w:rsidRDefault="00ED3950">
      <w:pPr>
        <w:rPr>
          <w:lang w:val="cs-CZ"/>
        </w:rPr>
      </w:pPr>
      <w:r w:rsidRPr="00ED3950">
        <w:rPr>
          <w:lang w:val="cs-CZ" w:eastAsia="cs-CZ"/>
        </w:rPr>
        <w:drawing>
          <wp:anchor distT="0" distB="0" distL="114300" distR="114300" simplePos="0" relativeHeight="251658245" behindDoc="1" locked="0" layoutInCell="1" allowOverlap="1" wp14:anchorId="30E75665" wp14:editId="35EA3EA7">
            <wp:simplePos x="0" y="0"/>
            <wp:positionH relativeFrom="margin">
              <wp:align>center</wp:align>
            </wp:positionH>
            <wp:positionV relativeFrom="paragraph">
              <wp:posOffset>-114935</wp:posOffset>
            </wp:positionV>
            <wp:extent cx="3247621" cy="1181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omics-logo.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47621" cy="1181100"/>
                    </a:xfrm>
                    <a:prstGeom prst="rect">
                      <a:avLst/>
                    </a:prstGeom>
                  </pic:spPr>
                </pic:pic>
              </a:graphicData>
            </a:graphic>
            <wp14:sizeRelH relativeFrom="page">
              <wp14:pctWidth>0</wp14:pctWidth>
            </wp14:sizeRelH>
            <wp14:sizeRelV relativeFrom="page">
              <wp14:pctHeight>0</wp14:pctHeight>
            </wp14:sizeRelV>
          </wp:anchor>
        </w:drawing>
      </w:r>
    </w:p>
    <w:sectPr w:rsidR="005840C5" w:rsidRPr="00ED3950" w:rsidSect="002022F4">
      <w:footerReference w:type="default" r:id="rId32"/>
      <w:type w:val="evenPage"/>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A1E" w:rsidRDefault="00A56A1E" w:rsidP="008059BC">
      <w:r>
        <w:separator/>
      </w:r>
    </w:p>
  </w:endnote>
  <w:endnote w:type="continuationSeparator" w:id="0">
    <w:p w:rsidR="00A56A1E" w:rsidRDefault="00A56A1E" w:rsidP="008059BC">
      <w:r>
        <w:continuationSeparator/>
      </w:r>
    </w:p>
  </w:endnote>
  <w:endnote w:type="continuationNotice" w:id="1">
    <w:p w:rsidR="00A56A1E" w:rsidRDefault="00A56A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Yu Mincho">
    <w:charset w:val="80"/>
    <w:family w:val="roman"/>
    <w:pitch w:val="variable"/>
    <w:sig w:usb0="800002E7" w:usb1="2AC7FCFF" w:usb2="00000012" w:usb3="00000000" w:csb0="0002009F" w:csb1="00000000"/>
  </w:font>
  <w:font w:name="EC Square Sans Pro">
    <w:altName w:val="Arial"/>
    <w:charset w:val="00"/>
    <w:family w:val="swiss"/>
    <w:pitch w:val="variable"/>
    <w:sig w:usb0="A00002BF" w:usb1="5000E0F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ÍH_">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0C5" w:rsidRDefault="00ED3950">
    <w:pPr>
      <w:pStyle w:val="Pedmtkomente"/>
    </w:pPr>
    <w:r>
      <w:rPr>
        <w:noProof/>
        <w:lang w:eastAsia="en-GB"/>
      </w:rPr>
      <w:ptab w:relativeTo="margin" w:alignment="center" w:leader="none"/>
    </w:r>
    <w:r>
      <w:rPr>
        <w:noProof/>
        <w:lang w:val="cs-CZ" w:eastAsia="cs-CZ"/>
      </w:rPr>
      <w:drawing>
        <wp:anchor distT="0" distB="0" distL="114300" distR="114300" simplePos="0" relativeHeight="251658240" behindDoc="1" locked="0" layoutInCell="1" allowOverlap="1" wp14:anchorId="797F1DBA" wp14:editId="1CA45764">
          <wp:simplePos x="0" y="0"/>
          <wp:positionH relativeFrom="margin">
            <wp:align>center</wp:align>
          </wp:positionH>
          <wp:positionV relativeFrom="paragraph">
            <wp:posOffset>-706120</wp:posOffset>
          </wp:positionV>
          <wp:extent cx="3247621" cy="11811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omics-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7621" cy="11811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943" w:rsidRDefault="00C54943" w:rsidP="008059BC">
    <w:pPr>
      <w:pStyle w:val="Pedmtkomen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717281"/>
      <w:docPartObj>
        <w:docPartGallery w:val="Page Numbers (Bottom of Page)"/>
        <w:docPartUnique/>
      </w:docPartObj>
    </w:sdtPr>
    <w:sdtEndPr>
      <w:rPr>
        <w:sz w:val="14"/>
        <w:szCs w:val="14"/>
      </w:rPr>
    </w:sdtEndPr>
    <w:sdtContent>
      <w:p w:rsidR="005840C5" w:rsidRDefault="00ED3950">
        <w:pPr>
          <w:pStyle w:val="Pedmtkomente"/>
          <w:jc w:val="center"/>
          <w:rPr>
            <w:sz w:val="14"/>
            <w:szCs w:val="14"/>
          </w:rPr>
        </w:pPr>
        <w:r w:rsidRPr="00DF4A91">
          <w:rPr>
            <w:b w:val="0"/>
            <w:bCs w:val="0"/>
            <w:sz w:val="14"/>
            <w:szCs w:val="14"/>
          </w:rPr>
          <w:fldChar w:fldCharType="begin"/>
        </w:r>
        <w:r w:rsidRPr="00DF4A91">
          <w:rPr>
            <w:b w:val="0"/>
            <w:bCs w:val="0"/>
            <w:sz w:val="14"/>
            <w:szCs w:val="14"/>
          </w:rPr>
          <w:instrText xml:space="preserve"> PAGE   \* MERGEFORMAT </w:instrText>
        </w:r>
        <w:r w:rsidRPr="00DF4A91">
          <w:rPr>
            <w:b w:val="0"/>
            <w:bCs w:val="0"/>
            <w:sz w:val="14"/>
            <w:szCs w:val="14"/>
          </w:rPr>
          <w:fldChar w:fldCharType="separate"/>
        </w:r>
        <w:r>
          <w:rPr>
            <w:b w:val="0"/>
            <w:bCs w:val="0"/>
            <w:noProof/>
            <w:sz w:val="14"/>
            <w:szCs w:val="14"/>
          </w:rPr>
          <w:t>39</w:t>
        </w:r>
        <w:r w:rsidRPr="00DF4A91">
          <w:rPr>
            <w:b w:val="0"/>
            <w:bCs w:val="0"/>
            <w:sz w:val="14"/>
            <w:szCs w:val="1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306683"/>
      <w:docPartObj>
        <w:docPartGallery w:val="Page Numbers (Bottom of Page)"/>
        <w:docPartUnique/>
      </w:docPartObj>
    </w:sdtPr>
    <w:sdtEndPr>
      <w:rPr>
        <w:sz w:val="14"/>
        <w:szCs w:val="14"/>
      </w:rPr>
    </w:sdtEndPr>
    <w:sdtContent>
      <w:p w:rsidR="005840C5" w:rsidRDefault="00ED3950">
        <w:pPr>
          <w:pStyle w:val="Pedmtkomente"/>
          <w:jc w:val="center"/>
          <w:rPr>
            <w:sz w:val="14"/>
            <w:szCs w:val="14"/>
          </w:rPr>
        </w:pPr>
        <w:r w:rsidRPr="00DF4A91">
          <w:rPr>
            <w:b w:val="0"/>
            <w:bCs w:val="0"/>
            <w:sz w:val="14"/>
            <w:szCs w:val="14"/>
          </w:rPr>
          <w:fldChar w:fldCharType="begin"/>
        </w:r>
        <w:r w:rsidRPr="00DF4A91">
          <w:rPr>
            <w:b w:val="0"/>
            <w:bCs w:val="0"/>
            <w:sz w:val="14"/>
            <w:szCs w:val="14"/>
          </w:rPr>
          <w:instrText xml:space="preserve"> PAGE   \* MERGEFORMAT </w:instrText>
        </w:r>
        <w:r w:rsidRPr="00DF4A91">
          <w:rPr>
            <w:b w:val="0"/>
            <w:bCs w:val="0"/>
            <w:sz w:val="14"/>
            <w:szCs w:val="14"/>
          </w:rPr>
          <w:fldChar w:fldCharType="separate"/>
        </w:r>
        <w:r>
          <w:rPr>
            <w:b w:val="0"/>
            <w:bCs w:val="0"/>
            <w:noProof/>
            <w:sz w:val="14"/>
            <w:szCs w:val="14"/>
          </w:rPr>
          <w:t>60</w:t>
        </w:r>
        <w:r w:rsidRPr="00DF4A91">
          <w:rPr>
            <w:b w:val="0"/>
            <w:bCs w:val="0"/>
            <w:sz w:val="14"/>
            <w:szCs w:val="1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943" w:rsidRPr="00CB7234" w:rsidRDefault="00C54943" w:rsidP="008059BC">
    <w:pPr>
      <w:pStyle w:val="Pedmtkomente"/>
    </w:pPr>
  </w:p>
  <w:p w:rsidR="00C54943" w:rsidRDefault="00C54943" w:rsidP="008059BC">
    <w:pPr>
      <w:pStyle w:val="Pedmtkomen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A1E" w:rsidRDefault="00A56A1E" w:rsidP="008059BC">
      <w:r>
        <w:separator/>
      </w:r>
    </w:p>
  </w:footnote>
  <w:footnote w:type="continuationSeparator" w:id="0">
    <w:p w:rsidR="00A56A1E" w:rsidRDefault="00A56A1E" w:rsidP="008059BC">
      <w:r>
        <w:continuationSeparator/>
      </w:r>
    </w:p>
  </w:footnote>
  <w:footnote w:type="continuationNotice" w:id="1">
    <w:p w:rsidR="00A56A1E" w:rsidRPr="00447114" w:rsidRDefault="00A56A1E">
      <w:pPr>
        <w:spacing w:line="240" w:lineRule="auto"/>
      </w:pPr>
    </w:p>
  </w:footnote>
  <w:footnote w:id="2">
    <w:p w:rsidR="005840C5" w:rsidRDefault="00ED3950">
      <w:pPr>
        <w:pStyle w:val="Textpoznpodarou"/>
        <w:rPr>
          <w:sz w:val="14"/>
          <w:szCs w:val="14"/>
        </w:rPr>
      </w:pPr>
      <w:r w:rsidRPr="00724CEB">
        <w:rPr>
          <w:rStyle w:val="Znakapoznpodarou"/>
          <w:sz w:val="14"/>
          <w:szCs w:val="14"/>
        </w:rPr>
        <w:footnoteRef/>
      </w:r>
      <w:r w:rsidRPr="00724CEB">
        <w:rPr>
          <w:rStyle w:val="foonoteChar"/>
          <w:rFonts w:ascii="Trebuchet MS" w:hAnsi="Trebuchet MS"/>
          <w:sz w:val="14"/>
          <w:szCs w:val="14"/>
        </w:rPr>
        <w:t xml:space="preserve"> </w:t>
      </w:r>
      <w:proofErr w:type="gramStart"/>
      <w:r w:rsidRPr="00724CEB">
        <w:rPr>
          <w:rStyle w:val="foonoteChar"/>
          <w:rFonts w:ascii="Trebuchet MS" w:hAnsi="Trebuchet MS"/>
          <w:sz w:val="14"/>
          <w:szCs w:val="14"/>
        </w:rPr>
        <w:t>C(</w:t>
      </w:r>
      <w:proofErr w:type="gramEnd"/>
      <w:r w:rsidRPr="00724CEB">
        <w:rPr>
          <w:rStyle w:val="foonoteChar"/>
          <w:rFonts w:ascii="Trebuchet MS" w:hAnsi="Trebuchet MS"/>
          <w:sz w:val="14"/>
          <w:szCs w:val="14"/>
        </w:rPr>
        <w:t xml:space="preserve">2021) 1054, </w:t>
      </w:r>
      <w:proofErr w:type="spellStart"/>
      <w:r w:rsidRPr="00724CEB">
        <w:rPr>
          <w:rStyle w:val="foonoteChar"/>
          <w:rFonts w:ascii="Trebuchet MS" w:hAnsi="Trebuchet MS"/>
          <w:sz w:val="14"/>
          <w:szCs w:val="14"/>
        </w:rPr>
        <w:t>Technické</w:t>
      </w:r>
      <w:proofErr w:type="spellEnd"/>
      <w:r w:rsidRPr="00724CEB">
        <w:rPr>
          <w:rStyle w:val="foonoteChar"/>
          <w:rFonts w:ascii="Trebuchet MS" w:hAnsi="Trebuchet MS"/>
          <w:sz w:val="14"/>
          <w:szCs w:val="14"/>
        </w:rPr>
        <w:t xml:space="preserve"> </w:t>
      </w:r>
      <w:proofErr w:type="spellStart"/>
      <w:r w:rsidRPr="00724CEB">
        <w:rPr>
          <w:rStyle w:val="foonoteChar"/>
          <w:rFonts w:ascii="Trebuchet MS" w:hAnsi="Trebuchet MS"/>
          <w:sz w:val="14"/>
          <w:szCs w:val="14"/>
        </w:rPr>
        <w:t>pokyny</w:t>
      </w:r>
      <w:proofErr w:type="spellEnd"/>
      <w:r w:rsidRPr="00724CEB">
        <w:rPr>
          <w:rStyle w:val="foonoteChar"/>
          <w:rFonts w:ascii="Trebuchet MS" w:hAnsi="Trebuchet MS"/>
          <w:sz w:val="14"/>
          <w:szCs w:val="14"/>
        </w:rPr>
        <w:t xml:space="preserve"> k </w:t>
      </w:r>
      <w:proofErr w:type="spellStart"/>
      <w:r w:rsidRPr="00724CEB">
        <w:rPr>
          <w:rStyle w:val="foonoteChar"/>
          <w:rFonts w:ascii="Trebuchet MS" w:hAnsi="Trebuchet MS"/>
          <w:sz w:val="14"/>
          <w:szCs w:val="14"/>
        </w:rPr>
        <w:t>uplatňování</w:t>
      </w:r>
      <w:proofErr w:type="spellEnd"/>
      <w:r w:rsidRPr="00724CEB">
        <w:rPr>
          <w:rStyle w:val="foonoteChar"/>
          <w:rFonts w:ascii="Trebuchet MS" w:hAnsi="Trebuchet MS"/>
          <w:sz w:val="14"/>
          <w:szCs w:val="14"/>
        </w:rPr>
        <w:t xml:space="preserve"> </w:t>
      </w:r>
      <w:proofErr w:type="spellStart"/>
      <w:r w:rsidRPr="00724CEB">
        <w:rPr>
          <w:rStyle w:val="foonoteChar"/>
          <w:rFonts w:ascii="Trebuchet MS" w:hAnsi="Trebuchet MS"/>
          <w:sz w:val="14"/>
          <w:szCs w:val="14"/>
        </w:rPr>
        <w:t>zásady</w:t>
      </w:r>
      <w:proofErr w:type="spellEnd"/>
      <w:r w:rsidRPr="00724CEB">
        <w:rPr>
          <w:rStyle w:val="foonoteChar"/>
          <w:rFonts w:ascii="Trebuchet MS" w:hAnsi="Trebuchet MS"/>
          <w:sz w:val="14"/>
          <w:szCs w:val="14"/>
        </w:rPr>
        <w:t xml:space="preserve"> "</w:t>
      </w:r>
      <w:proofErr w:type="spellStart"/>
      <w:r w:rsidRPr="00724CEB">
        <w:rPr>
          <w:rStyle w:val="foonoteChar"/>
          <w:rFonts w:ascii="Trebuchet MS" w:hAnsi="Trebuchet MS"/>
          <w:sz w:val="14"/>
          <w:szCs w:val="14"/>
        </w:rPr>
        <w:t>nezpůsobit</w:t>
      </w:r>
      <w:proofErr w:type="spellEnd"/>
      <w:r w:rsidRPr="00724CEB">
        <w:rPr>
          <w:rStyle w:val="foonoteChar"/>
          <w:rFonts w:ascii="Trebuchet MS" w:hAnsi="Trebuchet MS"/>
          <w:sz w:val="14"/>
          <w:szCs w:val="14"/>
        </w:rPr>
        <w:t xml:space="preserve"> </w:t>
      </w:r>
      <w:proofErr w:type="spellStart"/>
      <w:r w:rsidRPr="00724CEB">
        <w:rPr>
          <w:rStyle w:val="foonoteChar"/>
          <w:rFonts w:ascii="Trebuchet MS" w:hAnsi="Trebuchet MS"/>
          <w:sz w:val="14"/>
          <w:szCs w:val="14"/>
        </w:rPr>
        <w:t>závažnou</w:t>
      </w:r>
      <w:proofErr w:type="spellEnd"/>
      <w:r w:rsidRPr="00724CEB">
        <w:rPr>
          <w:rStyle w:val="foonoteChar"/>
          <w:rFonts w:ascii="Trebuchet MS" w:hAnsi="Trebuchet MS"/>
          <w:sz w:val="14"/>
          <w:szCs w:val="14"/>
        </w:rPr>
        <w:t xml:space="preserve"> </w:t>
      </w:r>
      <w:proofErr w:type="spellStart"/>
      <w:r w:rsidRPr="00724CEB">
        <w:rPr>
          <w:rStyle w:val="foonoteChar"/>
          <w:rFonts w:ascii="Trebuchet MS" w:hAnsi="Trebuchet MS"/>
          <w:sz w:val="14"/>
          <w:szCs w:val="14"/>
        </w:rPr>
        <w:t>újmu</w:t>
      </w:r>
      <w:proofErr w:type="spellEnd"/>
      <w:r w:rsidRPr="00724CEB">
        <w:rPr>
          <w:rStyle w:val="foonoteChar"/>
          <w:rFonts w:ascii="Trebuchet MS" w:hAnsi="Trebuchet MS"/>
          <w:sz w:val="14"/>
          <w:szCs w:val="14"/>
        </w:rPr>
        <w:t xml:space="preserve">" </w:t>
      </w:r>
      <w:proofErr w:type="spellStart"/>
      <w:r w:rsidRPr="00724CEB">
        <w:rPr>
          <w:rStyle w:val="foonoteChar"/>
          <w:rFonts w:ascii="Trebuchet MS" w:hAnsi="Trebuchet MS"/>
          <w:sz w:val="14"/>
          <w:szCs w:val="14"/>
        </w:rPr>
        <w:t>podle</w:t>
      </w:r>
      <w:proofErr w:type="spellEnd"/>
      <w:r w:rsidRPr="00724CEB">
        <w:rPr>
          <w:rStyle w:val="foonoteChar"/>
          <w:rFonts w:ascii="Trebuchet MS" w:hAnsi="Trebuchet MS"/>
          <w:sz w:val="14"/>
          <w:szCs w:val="14"/>
        </w:rPr>
        <w:t xml:space="preserve"> </w:t>
      </w:r>
      <w:proofErr w:type="spellStart"/>
      <w:r w:rsidRPr="00724CEB">
        <w:rPr>
          <w:rStyle w:val="foonoteChar"/>
          <w:rFonts w:ascii="Trebuchet MS" w:hAnsi="Trebuchet MS"/>
          <w:sz w:val="14"/>
          <w:szCs w:val="14"/>
        </w:rPr>
        <w:t>nařízení</w:t>
      </w:r>
      <w:proofErr w:type="spellEnd"/>
      <w:r w:rsidRPr="00724CEB">
        <w:rPr>
          <w:rStyle w:val="foonoteChar"/>
          <w:rFonts w:ascii="Trebuchet MS" w:hAnsi="Trebuchet MS"/>
          <w:sz w:val="14"/>
          <w:szCs w:val="14"/>
        </w:rPr>
        <w:t xml:space="preserve"> o </w:t>
      </w:r>
      <w:proofErr w:type="spellStart"/>
      <w:r w:rsidRPr="00724CEB">
        <w:rPr>
          <w:rStyle w:val="foonoteChar"/>
          <w:rFonts w:ascii="Trebuchet MS" w:hAnsi="Trebuchet MS"/>
          <w:sz w:val="14"/>
          <w:szCs w:val="14"/>
        </w:rPr>
        <w:t>nástroji</w:t>
      </w:r>
      <w:proofErr w:type="spellEnd"/>
      <w:r w:rsidRPr="00724CEB">
        <w:rPr>
          <w:rStyle w:val="foonoteChar"/>
          <w:rFonts w:ascii="Trebuchet MS" w:hAnsi="Trebuchet MS"/>
          <w:sz w:val="14"/>
          <w:szCs w:val="14"/>
        </w:rPr>
        <w:t xml:space="preserve"> pro </w:t>
      </w:r>
      <w:proofErr w:type="spellStart"/>
      <w:r w:rsidRPr="00724CEB">
        <w:rPr>
          <w:rStyle w:val="foonoteChar"/>
          <w:rFonts w:ascii="Trebuchet MS" w:hAnsi="Trebuchet MS"/>
          <w:sz w:val="14"/>
          <w:szCs w:val="14"/>
        </w:rPr>
        <w:t>obnovu</w:t>
      </w:r>
      <w:proofErr w:type="spellEnd"/>
      <w:r w:rsidRPr="00724CEB">
        <w:rPr>
          <w:rStyle w:val="foonoteChar"/>
          <w:rFonts w:ascii="Trebuchet MS" w:hAnsi="Trebuchet MS"/>
          <w:sz w:val="14"/>
          <w:szCs w:val="14"/>
        </w:rPr>
        <w:t xml:space="preserve"> a </w:t>
      </w:r>
      <w:proofErr w:type="spellStart"/>
      <w:r w:rsidRPr="00724CEB">
        <w:rPr>
          <w:rStyle w:val="foonoteChar"/>
          <w:rFonts w:ascii="Trebuchet MS" w:hAnsi="Trebuchet MS"/>
          <w:sz w:val="14"/>
          <w:szCs w:val="14"/>
        </w:rPr>
        <w:t>zvýšení</w:t>
      </w:r>
      <w:proofErr w:type="spellEnd"/>
      <w:r w:rsidRPr="00724CEB">
        <w:rPr>
          <w:rStyle w:val="foonoteChar"/>
          <w:rFonts w:ascii="Trebuchet MS" w:hAnsi="Trebuchet MS"/>
          <w:sz w:val="14"/>
          <w:szCs w:val="14"/>
        </w:rPr>
        <w:t xml:space="preserve"> </w:t>
      </w:r>
      <w:proofErr w:type="spellStart"/>
      <w:r w:rsidRPr="00724CEB">
        <w:rPr>
          <w:rStyle w:val="foonoteChar"/>
          <w:rFonts w:ascii="Trebuchet MS" w:hAnsi="Trebuchet MS"/>
          <w:sz w:val="14"/>
          <w:szCs w:val="14"/>
        </w:rPr>
        <w:t>odolnosti</w:t>
      </w:r>
      <w:proofErr w:type="spellEnd"/>
      <w:r w:rsidRPr="00724CEB">
        <w:rPr>
          <w:rStyle w:val="foonoteChar"/>
          <w:rFonts w:ascii="Trebuchet MS" w:hAnsi="Trebuchet MS"/>
          <w:sz w:val="14"/>
          <w:szCs w:val="14"/>
        </w:rPr>
        <w:t xml:space="preserve"> </w:t>
      </w:r>
      <w:r>
        <w:rPr>
          <w:rStyle w:val="foonoteChar"/>
          <w:rFonts w:ascii="Trebuchet MS" w:hAnsi="Trebuchet MS"/>
          <w:sz w:val="14"/>
          <w:szCs w:val="14"/>
        </w:rPr>
        <w:t xml:space="preserve">https://ec.europa.eu/info/sites/default/files/c2021_1054_en.pdf. </w:t>
      </w:r>
    </w:p>
  </w:footnote>
  <w:footnote w:id="3">
    <w:p w:rsidR="005840C5" w:rsidRDefault="00ED3950">
      <w:pPr>
        <w:pStyle w:val="Textpoznpodarou"/>
        <w:rPr>
          <w:sz w:val="14"/>
          <w:szCs w:val="14"/>
        </w:rPr>
      </w:pPr>
      <w:r w:rsidRPr="00657119">
        <w:rPr>
          <w:rStyle w:val="Znakapoznpodarou"/>
          <w:sz w:val="14"/>
          <w:szCs w:val="14"/>
        </w:rPr>
        <w:footnoteRef/>
      </w:r>
      <w:r w:rsidRPr="00435443">
        <w:rPr>
          <w:rStyle w:val="foonoteChar"/>
          <w:rFonts w:ascii="Trebuchet MS" w:hAnsi="Trebuchet MS"/>
          <w:sz w:val="14"/>
          <w:szCs w:val="14"/>
        </w:rPr>
        <w:t xml:space="preserve"> </w:t>
      </w:r>
      <w:proofErr w:type="spellStart"/>
      <w:r w:rsidRPr="00435443">
        <w:rPr>
          <w:rStyle w:val="foonoteChar"/>
          <w:rFonts w:ascii="Trebuchet MS" w:hAnsi="Trebuchet MS"/>
          <w:sz w:val="14"/>
          <w:szCs w:val="14"/>
        </w:rPr>
        <w:t>Objednávka</w:t>
      </w:r>
      <w:proofErr w:type="spellEnd"/>
      <w:r w:rsidRPr="00435443">
        <w:rPr>
          <w:rStyle w:val="foonoteChar"/>
          <w:rFonts w:ascii="Trebuchet MS" w:hAnsi="Trebuchet MS"/>
          <w:sz w:val="14"/>
          <w:szCs w:val="14"/>
        </w:rPr>
        <w:t xml:space="preserve"> TED/1374/2021</w:t>
      </w:r>
    </w:p>
  </w:footnote>
  <w:footnote w:id="4">
    <w:p w:rsidR="005840C5" w:rsidRDefault="00ED3950">
      <w:pPr>
        <w:pStyle w:val="Textpoznpodarou"/>
      </w:pPr>
      <w:r w:rsidRPr="00657119">
        <w:rPr>
          <w:rStyle w:val="Znakapoznpodarou"/>
          <w:sz w:val="14"/>
          <w:szCs w:val="14"/>
        </w:rPr>
        <w:footnoteRef/>
      </w:r>
      <w:r w:rsidRPr="00435443">
        <w:rPr>
          <w:rStyle w:val="foonoteChar"/>
          <w:rFonts w:ascii="Trebuchet MS" w:hAnsi="Trebuchet MS"/>
          <w:sz w:val="14"/>
          <w:szCs w:val="14"/>
        </w:rPr>
        <w:t xml:space="preserve"> </w:t>
      </w:r>
      <w:proofErr w:type="spellStart"/>
      <w:r w:rsidRPr="00435443">
        <w:rPr>
          <w:rStyle w:val="foonoteChar"/>
          <w:rFonts w:ascii="Trebuchet MS" w:hAnsi="Trebuchet MS"/>
          <w:sz w:val="14"/>
          <w:szCs w:val="14"/>
        </w:rPr>
        <w:t>Poznámka</w:t>
      </w:r>
      <w:proofErr w:type="spellEnd"/>
      <w:r w:rsidRPr="00435443">
        <w:rPr>
          <w:rStyle w:val="foonoteChar"/>
          <w:rFonts w:ascii="Trebuchet MS" w:hAnsi="Trebuchet MS"/>
          <w:sz w:val="14"/>
          <w:szCs w:val="14"/>
        </w:rPr>
        <w:t xml:space="preserve"> pro </w:t>
      </w:r>
      <w:proofErr w:type="spellStart"/>
      <w:r w:rsidRPr="00435443">
        <w:rPr>
          <w:rStyle w:val="foonoteChar"/>
          <w:rFonts w:ascii="Trebuchet MS" w:hAnsi="Trebuchet MS"/>
          <w:sz w:val="14"/>
          <w:szCs w:val="14"/>
        </w:rPr>
        <w:t>Radu</w:t>
      </w:r>
      <w:proofErr w:type="spellEnd"/>
      <w:r w:rsidRPr="00435443">
        <w:rPr>
          <w:rStyle w:val="foonoteChar"/>
          <w:rFonts w:ascii="Trebuchet MS" w:hAnsi="Trebuchet MS"/>
          <w:sz w:val="14"/>
          <w:szCs w:val="14"/>
        </w:rPr>
        <w:t xml:space="preserve"> </w:t>
      </w:r>
      <w:proofErr w:type="spellStart"/>
      <w:r w:rsidRPr="00435443">
        <w:rPr>
          <w:rStyle w:val="foonoteChar"/>
          <w:rFonts w:ascii="Trebuchet MS" w:hAnsi="Trebuchet MS"/>
          <w:sz w:val="14"/>
          <w:szCs w:val="14"/>
        </w:rPr>
        <w:t>minist</w:t>
      </w:r>
      <w:r w:rsidRPr="00435443">
        <w:rPr>
          <w:rStyle w:val="foonoteChar"/>
          <w:rFonts w:ascii="Trebuchet MS" w:hAnsi="Trebuchet MS"/>
          <w:sz w:val="14"/>
          <w:szCs w:val="14"/>
        </w:rPr>
        <w:t>rů</w:t>
      </w:r>
      <w:proofErr w:type="spellEnd"/>
      <w:r w:rsidRPr="00435443">
        <w:rPr>
          <w:rStyle w:val="foonoteChar"/>
          <w:rFonts w:ascii="Trebuchet MS" w:hAnsi="Trebuchet MS"/>
          <w:sz w:val="14"/>
          <w:szCs w:val="14"/>
        </w:rPr>
        <w:t xml:space="preserve">, </w:t>
      </w:r>
      <w:proofErr w:type="spellStart"/>
      <w:r w:rsidRPr="00435443">
        <w:rPr>
          <w:rStyle w:val="foonoteChar"/>
          <w:rFonts w:ascii="Trebuchet MS" w:hAnsi="Trebuchet MS"/>
          <w:sz w:val="14"/>
          <w:szCs w:val="14"/>
        </w:rPr>
        <w:t>březen</w:t>
      </w:r>
      <w:proofErr w:type="spellEnd"/>
      <w:r w:rsidRPr="00435443">
        <w:rPr>
          <w:rStyle w:val="foonoteChar"/>
          <w:rFonts w:ascii="Trebuchet MS" w:hAnsi="Trebuchet MS"/>
          <w:sz w:val="14"/>
          <w:szCs w:val="14"/>
        </w:rPr>
        <w:t xml:space="preserve"> 2022</w:t>
      </w:r>
    </w:p>
  </w:footnote>
  <w:footnote w:id="5">
    <w:p w:rsidR="005840C5" w:rsidRDefault="00ED3950">
      <w:pPr>
        <w:pStyle w:val="Textpoznpodarou"/>
        <w:rPr>
          <w:sz w:val="14"/>
          <w:szCs w:val="14"/>
        </w:rPr>
      </w:pPr>
      <w:r w:rsidRPr="00435443">
        <w:rPr>
          <w:rStyle w:val="Znakapoznpodarou"/>
          <w:sz w:val="14"/>
          <w:szCs w:val="14"/>
        </w:rPr>
        <w:footnoteRef/>
      </w:r>
      <w:r w:rsidRPr="00435443">
        <w:rPr>
          <w:sz w:val="14"/>
          <w:szCs w:val="14"/>
          <w:lang w:val="en-GB"/>
        </w:rPr>
        <w:t xml:space="preserve"> </w:t>
      </w:r>
      <w:proofErr w:type="spellStart"/>
      <w:r w:rsidRPr="00435443">
        <w:rPr>
          <w:sz w:val="14"/>
          <w:szCs w:val="14"/>
          <w:lang w:val="en-GB"/>
        </w:rPr>
        <w:t>Srov</w:t>
      </w:r>
      <w:proofErr w:type="spellEnd"/>
      <w:r w:rsidRPr="00435443">
        <w:rPr>
          <w:sz w:val="14"/>
          <w:szCs w:val="14"/>
          <w:lang w:val="en-GB"/>
        </w:rPr>
        <w:t xml:space="preserve">. </w:t>
      </w:r>
      <w:proofErr w:type="spellStart"/>
      <w:r w:rsidRPr="00435443">
        <w:rPr>
          <w:sz w:val="14"/>
          <w:szCs w:val="14"/>
          <w:lang w:val="en-GB"/>
        </w:rPr>
        <w:t>pověření</w:t>
      </w:r>
      <w:proofErr w:type="spellEnd"/>
      <w:r w:rsidRPr="00435443">
        <w:rPr>
          <w:sz w:val="14"/>
          <w:szCs w:val="14"/>
          <w:lang w:val="en-GB"/>
        </w:rPr>
        <w:t xml:space="preserve"> </w:t>
      </w:r>
      <w:proofErr w:type="spellStart"/>
      <w:r w:rsidRPr="00435443">
        <w:rPr>
          <w:sz w:val="14"/>
          <w:szCs w:val="14"/>
          <w:lang w:val="en-GB"/>
        </w:rPr>
        <w:t>helpdesku</w:t>
      </w:r>
      <w:proofErr w:type="spellEnd"/>
      <w:r w:rsidRPr="00435443">
        <w:rPr>
          <w:sz w:val="14"/>
          <w:szCs w:val="14"/>
          <w:lang w:val="en-GB"/>
        </w:rPr>
        <w:t xml:space="preserve"> </w:t>
      </w:r>
      <w:proofErr w:type="spellStart"/>
      <w:r w:rsidRPr="00435443">
        <w:rPr>
          <w:sz w:val="14"/>
          <w:szCs w:val="14"/>
          <w:lang w:val="en-GB"/>
        </w:rPr>
        <w:t>koordinovat</w:t>
      </w:r>
      <w:proofErr w:type="spellEnd"/>
      <w:r w:rsidRPr="00435443">
        <w:rPr>
          <w:sz w:val="14"/>
          <w:szCs w:val="14"/>
          <w:lang w:val="en-GB"/>
        </w:rPr>
        <w:t xml:space="preserve"> a </w:t>
      </w:r>
      <w:proofErr w:type="spellStart"/>
      <w:r w:rsidRPr="00435443">
        <w:rPr>
          <w:sz w:val="14"/>
          <w:szCs w:val="14"/>
          <w:lang w:val="en-GB"/>
        </w:rPr>
        <w:t>zajišťovat</w:t>
      </w:r>
      <w:proofErr w:type="spellEnd"/>
      <w:r w:rsidRPr="00435443">
        <w:rPr>
          <w:sz w:val="14"/>
          <w:szCs w:val="14"/>
          <w:lang w:val="en-GB"/>
        </w:rPr>
        <w:t xml:space="preserve"> </w:t>
      </w:r>
      <w:proofErr w:type="spellStart"/>
      <w:r w:rsidRPr="00435443">
        <w:rPr>
          <w:sz w:val="14"/>
          <w:szCs w:val="14"/>
          <w:lang w:val="en-GB"/>
        </w:rPr>
        <w:t>sladění</w:t>
      </w:r>
      <w:proofErr w:type="spellEnd"/>
      <w:r w:rsidRPr="00435443">
        <w:rPr>
          <w:sz w:val="14"/>
          <w:szCs w:val="14"/>
          <w:lang w:val="en-GB"/>
        </w:rPr>
        <w:t xml:space="preserve"> a </w:t>
      </w:r>
      <w:proofErr w:type="spellStart"/>
      <w:r w:rsidRPr="00435443">
        <w:rPr>
          <w:sz w:val="14"/>
          <w:szCs w:val="14"/>
          <w:lang w:val="en-GB"/>
        </w:rPr>
        <w:t>pověření</w:t>
      </w:r>
      <w:proofErr w:type="spellEnd"/>
      <w:r w:rsidRPr="00435443">
        <w:rPr>
          <w:sz w:val="14"/>
          <w:szCs w:val="14"/>
          <w:lang w:val="en-GB"/>
        </w:rPr>
        <w:t xml:space="preserve"> </w:t>
      </w:r>
      <w:proofErr w:type="spellStart"/>
      <w:r w:rsidRPr="00435443">
        <w:rPr>
          <w:sz w:val="14"/>
          <w:szCs w:val="14"/>
          <w:lang w:val="en-GB"/>
        </w:rPr>
        <w:t>sekretariátu</w:t>
      </w:r>
      <w:proofErr w:type="spellEnd"/>
      <w:r w:rsidRPr="00435443">
        <w:rPr>
          <w:sz w:val="14"/>
          <w:szCs w:val="14"/>
          <w:lang w:val="en-GB"/>
        </w:rPr>
        <w:t xml:space="preserve"> </w:t>
      </w:r>
      <w:proofErr w:type="spellStart"/>
      <w:r w:rsidRPr="00435443">
        <w:rPr>
          <w:sz w:val="14"/>
          <w:szCs w:val="14"/>
          <w:lang w:val="en-GB"/>
        </w:rPr>
        <w:t>Federálního</w:t>
      </w:r>
      <w:proofErr w:type="spellEnd"/>
      <w:r w:rsidRPr="00435443">
        <w:rPr>
          <w:sz w:val="14"/>
          <w:szCs w:val="14"/>
          <w:lang w:val="en-GB"/>
        </w:rPr>
        <w:t xml:space="preserve"> </w:t>
      </w:r>
      <w:proofErr w:type="spellStart"/>
      <w:r w:rsidRPr="00435443">
        <w:rPr>
          <w:sz w:val="14"/>
          <w:szCs w:val="14"/>
          <w:lang w:val="en-GB"/>
        </w:rPr>
        <w:t>úřadu</w:t>
      </w:r>
      <w:proofErr w:type="spellEnd"/>
      <w:r w:rsidRPr="00435443">
        <w:rPr>
          <w:sz w:val="14"/>
          <w:szCs w:val="14"/>
          <w:lang w:val="en-GB"/>
        </w:rPr>
        <w:t xml:space="preserve"> pro </w:t>
      </w:r>
      <w:proofErr w:type="spellStart"/>
      <w:r w:rsidRPr="00435443">
        <w:rPr>
          <w:sz w:val="14"/>
          <w:szCs w:val="14"/>
          <w:lang w:val="en-GB"/>
        </w:rPr>
        <w:t>plánování</w:t>
      </w:r>
      <w:proofErr w:type="spellEnd"/>
      <w:r w:rsidRPr="00435443">
        <w:rPr>
          <w:sz w:val="14"/>
          <w:szCs w:val="14"/>
          <w:lang w:val="en-GB"/>
        </w:rPr>
        <w:t>.</w:t>
      </w:r>
    </w:p>
  </w:footnote>
  <w:footnote w:id="6">
    <w:p w:rsidR="005840C5" w:rsidRPr="00ED3950" w:rsidRDefault="00ED3950">
      <w:pPr>
        <w:pStyle w:val="Textpoznpodarou"/>
        <w:rPr>
          <w:sz w:val="14"/>
          <w:szCs w:val="14"/>
        </w:rPr>
      </w:pPr>
      <w:r w:rsidRPr="00ED3950">
        <w:rPr>
          <w:rStyle w:val="Znakapoznpodarou"/>
          <w:sz w:val="14"/>
          <w:szCs w:val="14"/>
        </w:rPr>
        <w:footnoteRef/>
      </w:r>
      <w:r w:rsidRPr="00ED3950">
        <w:rPr>
          <w:rStyle w:val="foonoteChar"/>
          <w:rFonts w:ascii="Trebuchet MS" w:hAnsi="Trebuchet MS"/>
          <w:sz w:val="14"/>
          <w:szCs w:val="14"/>
        </w:rPr>
        <w:t xml:space="preserve"> Tato </w:t>
      </w:r>
      <w:proofErr w:type="spellStart"/>
      <w:r w:rsidRPr="00ED3950">
        <w:rPr>
          <w:rStyle w:val="foonoteChar"/>
          <w:rFonts w:ascii="Trebuchet MS" w:hAnsi="Trebuchet MS"/>
          <w:sz w:val="14"/>
          <w:szCs w:val="14"/>
        </w:rPr>
        <w:t>analýza</w:t>
      </w:r>
      <w:proofErr w:type="spellEnd"/>
      <w:r w:rsidRPr="00ED3950">
        <w:rPr>
          <w:rStyle w:val="foonoteChar"/>
          <w:rFonts w:ascii="Trebuchet MS" w:hAnsi="Trebuchet MS"/>
          <w:sz w:val="14"/>
          <w:szCs w:val="14"/>
        </w:rPr>
        <w:t xml:space="preserve"> </w:t>
      </w:r>
      <w:proofErr w:type="spellStart"/>
      <w:r w:rsidRPr="00ED3950">
        <w:rPr>
          <w:rStyle w:val="foonoteChar"/>
          <w:rFonts w:ascii="Trebuchet MS" w:hAnsi="Trebuchet MS"/>
          <w:sz w:val="14"/>
          <w:szCs w:val="14"/>
        </w:rPr>
        <w:t>byla</w:t>
      </w:r>
      <w:proofErr w:type="spellEnd"/>
      <w:r w:rsidRPr="00ED3950">
        <w:rPr>
          <w:rStyle w:val="foonoteChar"/>
          <w:rFonts w:ascii="Trebuchet MS" w:hAnsi="Trebuchet MS"/>
          <w:sz w:val="14"/>
          <w:szCs w:val="14"/>
        </w:rPr>
        <w:t xml:space="preserve"> </w:t>
      </w:r>
      <w:proofErr w:type="spellStart"/>
      <w:r w:rsidRPr="00ED3950">
        <w:rPr>
          <w:rStyle w:val="foonoteChar"/>
          <w:rFonts w:ascii="Trebuchet MS" w:hAnsi="Trebuchet MS"/>
          <w:sz w:val="14"/>
          <w:szCs w:val="14"/>
        </w:rPr>
        <w:t>provedena</w:t>
      </w:r>
      <w:proofErr w:type="spellEnd"/>
      <w:r w:rsidRPr="00ED3950">
        <w:rPr>
          <w:rStyle w:val="foonoteChar"/>
          <w:rFonts w:ascii="Trebuchet MS" w:hAnsi="Trebuchet MS"/>
          <w:sz w:val="14"/>
          <w:szCs w:val="14"/>
        </w:rPr>
        <w:t xml:space="preserve"> v </w:t>
      </w:r>
      <w:proofErr w:type="spellStart"/>
      <w:r w:rsidRPr="00ED3950">
        <w:rPr>
          <w:rStyle w:val="foonoteChar"/>
          <w:rFonts w:ascii="Trebuchet MS" w:hAnsi="Trebuchet MS"/>
          <w:sz w:val="14"/>
          <w:szCs w:val="14"/>
        </w:rPr>
        <w:t>roce</w:t>
      </w:r>
      <w:proofErr w:type="spellEnd"/>
      <w:r w:rsidRPr="00ED3950">
        <w:rPr>
          <w:rStyle w:val="foonoteChar"/>
          <w:rFonts w:ascii="Trebuchet MS" w:hAnsi="Trebuchet MS"/>
          <w:sz w:val="14"/>
          <w:szCs w:val="14"/>
        </w:rPr>
        <w:t xml:space="preserve"> 2020. </w:t>
      </w:r>
      <w:hyperlink r:id="rId1" w:history="1">
        <w:r w:rsidRPr="00ED3950">
          <w:rPr>
            <w:rStyle w:val="Hypertextovodkaz"/>
            <w:rFonts w:cs="Arial"/>
            <w:sz w:val="14"/>
            <w:szCs w:val="14"/>
          </w:rPr>
          <w:t>Viz</w:t>
        </w:r>
      </w:hyperlink>
      <w:r w:rsidRPr="00ED3950">
        <w:rPr>
          <w:rStyle w:val="foonoteChar"/>
          <w:rFonts w:ascii="Trebuchet MS" w:hAnsi="Trebuchet MS"/>
          <w:sz w:val="14"/>
          <w:szCs w:val="14"/>
        </w:rPr>
        <w:t xml:space="preserve"> https://sustainabledevelopment.un.org/memberstates/czechrepublic </w:t>
      </w:r>
    </w:p>
  </w:footnote>
  <w:footnote w:id="7">
    <w:p w:rsidR="005840C5" w:rsidRPr="00ED3950" w:rsidRDefault="00ED3950">
      <w:pPr>
        <w:pStyle w:val="foonote"/>
        <w:rPr>
          <w:rFonts w:ascii="Trebuchet MS" w:hAnsi="Trebuchet MS"/>
          <w:sz w:val="14"/>
          <w:szCs w:val="14"/>
          <w:lang w:val="cs-CZ"/>
        </w:rPr>
      </w:pPr>
      <w:r w:rsidRPr="00ED3950">
        <w:rPr>
          <w:rStyle w:val="Znakapoznpodarou"/>
          <w:rFonts w:ascii="Trebuchet MS" w:hAnsi="Trebuchet MS"/>
          <w:sz w:val="14"/>
          <w:szCs w:val="14"/>
          <w:lang w:val="cs-CZ"/>
        </w:rPr>
        <w:footnoteRef/>
      </w:r>
      <w:r w:rsidRPr="00ED3950">
        <w:rPr>
          <w:rFonts w:ascii="Trebuchet MS" w:hAnsi="Trebuchet MS"/>
          <w:sz w:val="14"/>
          <w:szCs w:val="14"/>
          <w:lang w:val="cs-CZ"/>
        </w:rPr>
        <w:t xml:space="preserve"> Původně byl třetí </w:t>
      </w:r>
      <w:proofErr w:type="spellStart"/>
      <w:r w:rsidRPr="00ED3950">
        <w:rPr>
          <w:rFonts w:ascii="Trebuchet MS" w:hAnsi="Trebuchet MS"/>
          <w:sz w:val="14"/>
          <w:szCs w:val="14"/>
          <w:lang w:val="cs-CZ"/>
        </w:rPr>
        <w:t>webinář</w:t>
      </w:r>
      <w:proofErr w:type="spellEnd"/>
      <w:r w:rsidRPr="00ED3950">
        <w:rPr>
          <w:rFonts w:ascii="Trebuchet MS" w:hAnsi="Trebuchet MS"/>
          <w:sz w:val="14"/>
          <w:szCs w:val="14"/>
          <w:lang w:val="cs-CZ"/>
        </w:rPr>
        <w:t xml:space="preserve"> naplánován na 9. února, ale byl odložen kvůli nedostupnosti některých klíčových řečníků. </w:t>
      </w:r>
    </w:p>
  </w:footnote>
  <w:footnote w:id="8">
    <w:p w:rsidR="005840C5" w:rsidRDefault="00ED3950">
      <w:pPr>
        <w:pStyle w:val="foonote"/>
      </w:pPr>
      <w:r w:rsidRPr="00ED3950">
        <w:rPr>
          <w:rStyle w:val="Znakapoznpodarou"/>
          <w:rFonts w:ascii="Trebuchet MS" w:hAnsi="Trebuchet MS"/>
          <w:sz w:val="14"/>
          <w:szCs w:val="14"/>
          <w:lang w:val="cs-CZ"/>
        </w:rPr>
        <w:footnoteRef/>
      </w:r>
      <w:r w:rsidRPr="00ED3950">
        <w:rPr>
          <w:rFonts w:ascii="Trebuchet MS" w:hAnsi="Trebuchet MS"/>
          <w:sz w:val="14"/>
          <w:szCs w:val="14"/>
          <w:lang w:val="cs-CZ"/>
        </w:rPr>
        <w:t xml:space="preserve"> Platforma nevytvořila zprávu o účastnících prvního </w:t>
      </w:r>
      <w:proofErr w:type="spellStart"/>
      <w:r w:rsidRPr="00ED3950">
        <w:rPr>
          <w:rFonts w:ascii="Trebuchet MS" w:hAnsi="Trebuchet MS"/>
          <w:sz w:val="14"/>
          <w:szCs w:val="14"/>
          <w:lang w:val="cs-CZ"/>
        </w:rPr>
        <w:t>webináře</w:t>
      </w:r>
      <w:proofErr w:type="spellEnd"/>
      <w:r w:rsidRPr="00ED3950">
        <w:rPr>
          <w:rFonts w:ascii="Trebuchet MS" w:hAnsi="Trebuchet MS"/>
          <w:lang w:val="cs-CZ"/>
        </w:rPr>
        <w:t>.</w:t>
      </w:r>
      <w:r w:rsidRPr="000A1F47">
        <w:t xml:space="preserve"> </w:t>
      </w:r>
    </w:p>
  </w:footnote>
  <w:footnote w:id="9">
    <w:p w:rsidR="005840C5" w:rsidRPr="00ED3950" w:rsidRDefault="00ED3950" w:rsidP="00ED3950">
      <w:pPr>
        <w:pStyle w:val="foonote"/>
        <w:ind w:left="0"/>
        <w:rPr>
          <w:rFonts w:ascii="Trebuchet MS" w:hAnsi="Trebuchet MS"/>
        </w:rPr>
      </w:pPr>
      <w:r w:rsidRPr="00ED3950">
        <w:rPr>
          <w:rStyle w:val="Znakapoznpodarou"/>
          <w:rFonts w:ascii="Trebuchet MS" w:hAnsi="Trebuchet MS"/>
        </w:rPr>
        <w:footnoteRef/>
      </w:r>
      <w:r w:rsidRPr="00ED3950">
        <w:rPr>
          <w:rFonts w:ascii="Trebuchet MS" w:hAnsi="Trebuchet MS"/>
        </w:rPr>
        <w:t xml:space="preserve"> </w:t>
      </w:r>
      <w:proofErr w:type="spellStart"/>
      <w:r w:rsidRPr="00ED3950">
        <w:rPr>
          <w:rFonts w:ascii="Trebuchet MS" w:hAnsi="Trebuchet MS"/>
        </w:rPr>
        <w:t>W</w:t>
      </w:r>
      <w:r w:rsidRPr="00ED3950">
        <w:rPr>
          <w:rFonts w:ascii="Trebuchet MS" w:hAnsi="Trebuchet MS"/>
        </w:rPr>
        <w:t>ebinář</w:t>
      </w:r>
      <w:proofErr w:type="spellEnd"/>
      <w:r w:rsidRPr="00ED3950">
        <w:rPr>
          <w:rFonts w:ascii="Trebuchet MS" w:hAnsi="Trebuchet MS"/>
        </w:rPr>
        <w:t xml:space="preserve"> </w:t>
      </w:r>
      <w:proofErr w:type="spellStart"/>
      <w:r w:rsidRPr="00ED3950">
        <w:rPr>
          <w:rFonts w:ascii="Trebuchet MS" w:hAnsi="Trebuchet MS"/>
        </w:rPr>
        <w:t>bude</w:t>
      </w:r>
      <w:proofErr w:type="spellEnd"/>
      <w:r w:rsidRPr="00ED3950">
        <w:rPr>
          <w:rFonts w:ascii="Trebuchet MS" w:hAnsi="Trebuchet MS"/>
        </w:rPr>
        <w:t xml:space="preserve"> </w:t>
      </w:r>
      <w:proofErr w:type="spellStart"/>
      <w:r w:rsidRPr="00ED3950">
        <w:rPr>
          <w:rFonts w:ascii="Trebuchet MS" w:hAnsi="Trebuchet MS"/>
        </w:rPr>
        <w:t>navíc</w:t>
      </w:r>
      <w:proofErr w:type="spellEnd"/>
      <w:r w:rsidRPr="00ED3950">
        <w:rPr>
          <w:rFonts w:ascii="Trebuchet MS" w:hAnsi="Trebuchet MS"/>
        </w:rPr>
        <w:t xml:space="preserve"> </w:t>
      </w:r>
      <w:proofErr w:type="spellStart"/>
      <w:r w:rsidRPr="00ED3950">
        <w:rPr>
          <w:rFonts w:ascii="Trebuchet MS" w:hAnsi="Trebuchet MS"/>
        </w:rPr>
        <w:t>nahráván</w:t>
      </w:r>
      <w:proofErr w:type="spellEnd"/>
      <w:r w:rsidRPr="00ED3950">
        <w:rPr>
          <w:rFonts w:ascii="Trebuchet MS" w:hAnsi="Trebuchet MS"/>
        </w:rPr>
        <w:t xml:space="preserve"> pro </w:t>
      </w:r>
      <w:proofErr w:type="spellStart"/>
      <w:r w:rsidRPr="00ED3950">
        <w:rPr>
          <w:rFonts w:ascii="Trebuchet MS" w:hAnsi="Trebuchet MS"/>
        </w:rPr>
        <w:t>ú</w:t>
      </w:r>
      <w:bookmarkStart w:id="70" w:name="_GoBack"/>
      <w:bookmarkEnd w:id="70"/>
      <w:r w:rsidRPr="00ED3950">
        <w:rPr>
          <w:rFonts w:ascii="Trebuchet MS" w:hAnsi="Trebuchet MS"/>
        </w:rPr>
        <w:t>čely</w:t>
      </w:r>
      <w:proofErr w:type="spellEnd"/>
      <w:r w:rsidRPr="00ED3950">
        <w:rPr>
          <w:rFonts w:ascii="Trebuchet MS" w:hAnsi="Trebuchet MS"/>
        </w:rPr>
        <w:t xml:space="preserve"> </w:t>
      </w:r>
      <w:proofErr w:type="spellStart"/>
      <w:r w:rsidRPr="00ED3950">
        <w:rPr>
          <w:rFonts w:ascii="Trebuchet MS" w:hAnsi="Trebuchet MS"/>
        </w:rPr>
        <w:t>širšího</w:t>
      </w:r>
      <w:proofErr w:type="spellEnd"/>
      <w:r w:rsidRPr="00ED3950">
        <w:rPr>
          <w:rFonts w:ascii="Trebuchet MS" w:hAnsi="Trebuchet MS"/>
        </w:rPr>
        <w:t xml:space="preserve"> </w:t>
      </w:r>
      <w:proofErr w:type="spellStart"/>
      <w:r w:rsidRPr="00ED3950">
        <w:rPr>
          <w:rFonts w:ascii="Trebuchet MS" w:hAnsi="Trebuchet MS"/>
        </w:rPr>
        <w:t>šíření</w:t>
      </w:r>
      <w:proofErr w:type="spellEnd"/>
      <w:r w:rsidRPr="00ED3950">
        <w:rPr>
          <w:rFonts w:ascii="Trebuchet MS" w:hAnsi="Trebuchet MS"/>
        </w:rPr>
        <w:t xml:space="preserve"> v </w:t>
      </w:r>
      <w:proofErr w:type="spellStart"/>
      <w:r w:rsidRPr="00ED3950">
        <w:rPr>
          <w:rFonts w:ascii="Trebuchet MS" w:hAnsi="Trebuchet MS"/>
        </w:rPr>
        <w:t>rámci</w:t>
      </w:r>
      <w:proofErr w:type="spellEnd"/>
      <w:r w:rsidRPr="00ED3950">
        <w:rPr>
          <w:rFonts w:ascii="Trebuchet MS" w:hAnsi="Trebuchet MS"/>
        </w:rPr>
        <w:t xml:space="preserve"> </w:t>
      </w:r>
      <w:proofErr w:type="spellStart"/>
      <w:r w:rsidRPr="00ED3950">
        <w:rPr>
          <w:rFonts w:ascii="Trebuchet MS" w:hAnsi="Trebuchet MS"/>
        </w:rPr>
        <w:t>české</w:t>
      </w:r>
      <w:proofErr w:type="spellEnd"/>
      <w:r w:rsidRPr="00ED3950">
        <w:rPr>
          <w:rFonts w:ascii="Trebuchet MS" w:hAnsi="Trebuchet MS"/>
        </w:rPr>
        <w:t xml:space="preserve"> </w:t>
      </w:r>
      <w:proofErr w:type="spellStart"/>
      <w:r w:rsidRPr="00ED3950">
        <w:rPr>
          <w:rFonts w:ascii="Trebuchet MS" w:hAnsi="Trebuchet MS"/>
        </w:rPr>
        <w:t>státní</w:t>
      </w:r>
      <w:proofErr w:type="spellEnd"/>
      <w:r w:rsidRPr="00ED3950">
        <w:rPr>
          <w:rFonts w:ascii="Trebuchet MS" w:hAnsi="Trebuchet MS"/>
        </w:rPr>
        <w:t xml:space="preserve"> </w:t>
      </w:r>
      <w:proofErr w:type="spellStart"/>
      <w:r w:rsidRPr="00ED3950">
        <w:rPr>
          <w:rFonts w:ascii="Trebuchet MS" w:hAnsi="Trebuchet MS"/>
        </w:rPr>
        <w:t>správy</w:t>
      </w:r>
      <w:proofErr w:type="spellEnd"/>
      <w:r w:rsidRPr="00ED3950">
        <w:rPr>
          <w:rFonts w:ascii="Trebuchet MS" w:hAnsi="Trebuchet M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0C5" w:rsidRDefault="00ED3950">
    <w:pPr>
      <w:pStyle w:val="Textkomente"/>
      <w:ind w:left="0"/>
      <w:rPr>
        <w:bCs/>
        <w:sz w:val="14"/>
        <w:szCs w:val="14"/>
        <w:lang w:val="en-IE"/>
      </w:rPr>
    </w:pPr>
    <w:r w:rsidRPr="00187CA4">
      <w:rPr>
        <w:bCs/>
        <w:noProof/>
        <w:sz w:val="14"/>
        <w:szCs w:val="14"/>
        <w:lang w:val="cs-CZ" w:eastAsia="cs-CZ"/>
      </w:rPr>
      <w:drawing>
        <wp:anchor distT="0" distB="0" distL="114300" distR="114300" simplePos="0" relativeHeight="251658241" behindDoc="0" locked="0" layoutInCell="1" allowOverlap="1" wp14:anchorId="67B963AE" wp14:editId="4E31E792">
          <wp:simplePos x="0" y="0"/>
          <wp:positionH relativeFrom="column">
            <wp:posOffset>5124450</wp:posOffset>
          </wp:positionH>
          <wp:positionV relativeFrom="paragraph">
            <wp:posOffset>-144780</wp:posOffset>
          </wp:positionV>
          <wp:extent cx="990600" cy="358775"/>
          <wp:effectExtent l="0" t="0" r="0" b="0"/>
          <wp:wrapSquare wrapText="bothSides"/>
          <wp:docPr id="1156960648" name="Picture 1156960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rinomics-small atico 2.png"/>
                  <pic:cNvPicPr/>
                </pic:nvPicPr>
                <pic:blipFill>
                  <a:blip r:embed="rId1">
                    <a:extLst>
                      <a:ext uri="{28A0092B-C50C-407E-A947-70E740481C1C}">
                        <a14:useLocalDpi xmlns:a14="http://schemas.microsoft.com/office/drawing/2010/main" val="0"/>
                      </a:ext>
                    </a:extLst>
                  </a:blip>
                  <a:stretch>
                    <a:fillRect/>
                  </a:stretch>
                </pic:blipFill>
                <pic:spPr>
                  <a:xfrm>
                    <a:off x="0" y="0"/>
                    <a:ext cx="990600" cy="358775"/>
                  </a:xfrm>
                  <a:prstGeom prst="rect">
                    <a:avLst/>
                  </a:prstGeom>
                </pic:spPr>
              </pic:pic>
            </a:graphicData>
          </a:graphic>
          <wp14:sizeRelH relativeFrom="page">
            <wp14:pctWidth>0</wp14:pctWidth>
          </wp14:sizeRelH>
          <wp14:sizeRelV relativeFrom="page">
            <wp14:pctHeight>0</wp14:pctHeight>
          </wp14:sizeRelV>
        </wp:anchor>
      </w:drawing>
    </w:r>
    <w:r w:rsidR="005C7F35">
      <w:rPr>
        <w:bCs/>
        <w:sz w:val="14"/>
        <w:szCs w:val="14"/>
        <w:lang w:val="en-IE"/>
      </w:rPr>
      <w:t xml:space="preserve">DLV3 - </w:t>
    </w:r>
    <w:proofErr w:type="spellStart"/>
    <w:r w:rsidRPr="00187CA4">
      <w:rPr>
        <w:bCs/>
        <w:sz w:val="14"/>
        <w:szCs w:val="14"/>
        <w:lang w:val="en-IE"/>
      </w:rPr>
      <w:t>Metodika</w:t>
    </w:r>
    <w:proofErr w:type="spellEnd"/>
    <w:r w:rsidRPr="00187CA4">
      <w:rPr>
        <w:bCs/>
        <w:sz w:val="14"/>
        <w:szCs w:val="14"/>
        <w:lang w:val="en-IE"/>
      </w:rPr>
      <w:t xml:space="preserve"> pro </w:t>
    </w:r>
    <w:proofErr w:type="spellStart"/>
    <w:r w:rsidRPr="00187CA4">
      <w:rPr>
        <w:bCs/>
        <w:sz w:val="14"/>
        <w:szCs w:val="14"/>
        <w:lang w:val="en-IE"/>
      </w:rPr>
      <w:t>uplatňování</w:t>
    </w:r>
    <w:proofErr w:type="spellEnd"/>
    <w:r w:rsidRPr="00187CA4">
      <w:rPr>
        <w:bCs/>
        <w:sz w:val="14"/>
        <w:szCs w:val="14"/>
        <w:lang w:val="en-IE"/>
      </w:rPr>
      <w:t xml:space="preserve"> </w:t>
    </w:r>
    <w:proofErr w:type="spellStart"/>
    <w:r w:rsidRPr="00187CA4">
      <w:rPr>
        <w:bCs/>
        <w:sz w:val="14"/>
        <w:szCs w:val="14"/>
        <w:lang w:val="en-IE"/>
      </w:rPr>
      <w:t>principu</w:t>
    </w:r>
    <w:proofErr w:type="spellEnd"/>
    <w:r w:rsidRPr="00187CA4">
      <w:rPr>
        <w:bCs/>
        <w:sz w:val="14"/>
        <w:szCs w:val="14"/>
        <w:lang w:val="en-IE"/>
      </w:rPr>
      <w:t xml:space="preserve"> DNSH </w:t>
    </w:r>
    <w:proofErr w:type="spellStart"/>
    <w:r w:rsidRPr="00187CA4">
      <w:rPr>
        <w:bCs/>
        <w:sz w:val="14"/>
        <w:szCs w:val="14"/>
        <w:lang w:val="en-IE"/>
      </w:rPr>
      <w:t>na</w:t>
    </w:r>
    <w:proofErr w:type="spellEnd"/>
    <w:r w:rsidRPr="00187CA4">
      <w:rPr>
        <w:bCs/>
        <w:sz w:val="14"/>
        <w:szCs w:val="14"/>
        <w:lang w:val="en-IE"/>
      </w:rPr>
      <w:t xml:space="preserve"> </w:t>
    </w:r>
    <w:proofErr w:type="spellStart"/>
    <w:r w:rsidRPr="00187CA4">
      <w:rPr>
        <w:bCs/>
        <w:sz w:val="14"/>
        <w:szCs w:val="14"/>
        <w:lang w:val="en-IE"/>
      </w:rPr>
      <w:t>národní</w:t>
    </w:r>
    <w:proofErr w:type="spellEnd"/>
    <w:r w:rsidRPr="00187CA4">
      <w:rPr>
        <w:bCs/>
        <w:sz w:val="14"/>
        <w:szCs w:val="14"/>
        <w:lang w:val="en-IE"/>
      </w:rPr>
      <w:t xml:space="preserve"> </w:t>
    </w:r>
    <w:proofErr w:type="spellStart"/>
    <w:r w:rsidRPr="00187CA4">
      <w:rPr>
        <w:bCs/>
        <w:sz w:val="14"/>
        <w:szCs w:val="14"/>
        <w:lang w:val="en-IE"/>
      </w:rPr>
      <w:t>úrovni</w:t>
    </w:r>
    <w:proofErr w:type="spellEnd"/>
    <w:r w:rsidRPr="00187CA4">
      <w:rPr>
        <w:bCs/>
        <w:sz w:val="14"/>
        <w:szCs w:val="14"/>
        <w:lang w:val="en-IE"/>
      </w:rPr>
      <w:t xml:space="preserve"> v </w:t>
    </w:r>
    <w:proofErr w:type="spellStart"/>
    <w:r w:rsidRPr="00187CA4">
      <w:rPr>
        <w:bCs/>
        <w:sz w:val="14"/>
        <w:szCs w:val="14"/>
        <w:lang w:val="en-IE"/>
      </w:rPr>
      <w:t>České</w:t>
    </w:r>
    <w:proofErr w:type="spellEnd"/>
    <w:r w:rsidRPr="00187CA4">
      <w:rPr>
        <w:bCs/>
        <w:sz w:val="14"/>
        <w:szCs w:val="14"/>
        <w:lang w:val="en-IE"/>
      </w:rPr>
      <w:t xml:space="preserve"> </w:t>
    </w:r>
    <w:proofErr w:type="spellStart"/>
    <w:r w:rsidRPr="00187CA4">
      <w:rPr>
        <w:bCs/>
        <w:sz w:val="14"/>
        <w:szCs w:val="14"/>
        <w:lang w:val="en-IE"/>
      </w:rPr>
      <w:t>republice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426"/>
    <w:multiLevelType w:val="multilevel"/>
    <w:tmpl w:val="EFE24D50"/>
    <w:lvl w:ilvl="0">
      <w:start w:val="1"/>
      <w:numFmt w:val="bullet"/>
      <w:lvlText w:val=""/>
      <w:lvlJc w:val="left"/>
      <w:pPr>
        <w:ind w:left="1287" w:hanging="360"/>
      </w:pPr>
      <w:rPr>
        <w:rFonts w:ascii="Symbol" w:hAnsi="Symbol" w:hint="default"/>
        <w:color w:val="00596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28C5E69"/>
    <w:multiLevelType w:val="hybridMultilevel"/>
    <w:tmpl w:val="58E27332"/>
    <w:lvl w:ilvl="0" w:tplc="20000001">
      <w:start w:val="1"/>
      <w:numFmt w:val="bullet"/>
      <w:lvlText w:val=""/>
      <w:lvlJc w:val="left"/>
      <w:pPr>
        <w:ind w:left="1287" w:hanging="360"/>
      </w:pPr>
      <w:rPr>
        <w:rFonts w:ascii="Symbol" w:hAnsi="Symbol" w:hint="default"/>
      </w:rPr>
    </w:lvl>
    <w:lvl w:ilvl="1" w:tplc="20000003">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 w15:restartNumberingAfterBreak="0">
    <w:nsid w:val="06B75065"/>
    <w:multiLevelType w:val="hybridMultilevel"/>
    <w:tmpl w:val="DFE25C94"/>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 w15:restartNumberingAfterBreak="0">
    <w:nsid w:val="09233693"/>
    <w:multiLevelType w:val="hybridMultilevel"/>
    <w:tmpl w:val="E146BD84"/>
    <w:lvl w:ilvl="0" w:tplc="E88CE6CE">
      <w:start w:val="1"/>
      <w:numFmt w:val="bullet"/>
      <w:lvlText w:val=""/>
      <w:lvlJc w:val="left"/>
      <w:pPr>
        <w:ind w:left="720" w:hanging="360"/>
      </w:pPr>
      <w:rPr>
        <w:rFonts w:ascii="Symbol" w:hAnsi="Symbol"/>
      </w:rPr>
    </w:lvl>
    <w:lvl w:ilvl="1" w:tplc="32A2BAFC">
      <w:start w:val="1"/>
      <w:numFmt w:val="bullet"/>
      <w:lvlText w:val=""/>
      <w:lvlJc w:val="left"/>
      <w:pPr>
        <w:ind w:left="720" w:hanging="360"/>
      </w:pPr>
      <w:rPr>
        <w:rFonts w:ascii="Symbol" w:hAnsi="Symbol"/>
      </w:rPr>
    </w:lvl>
    <w:lvl w:ilvl="2" w:tplc="F964293E">
      <w:start w:val="1"/>
      <w:numFmt w:val="bullet"/>
      <w:lvlText w:val=""/>
      <w:lvlJc w:val="left"/>
      <w:pPr>
        <w:ind w:left="720" w:hanging="360"/>
      </w:pPr>
      <w:rPr>
        <w:rFonts w:ascii="Symbol" w:hAnsi="Symbol"/>
      </w:rPr>
    </w:lvl>
    <w:lvl w:ilvl="3" w:tplc="79AE79AC">
      <w:start w:val="1"/>
      <w:numFmt w:val="bullet"/>
      <w:lvlText w:val=""/>
      <w:lvlJc w:val="left"/>
      <w:pPr>
        <w:ind w:left="720" w:hanging="360"/>
      </w:pPr>
      <w:rPr>
        <w:rFonts w:ascii="Symbol" w:hAnsi="Symbol"/>
      </w:rPr>
    </w:lvl>
    <w:lvl w:ilvl="4" w:tplc="3670DC32">
      <w:start w:val="1"/>
      <w:numFmt w:val="bullet"/>
      <w:lvlText w:val=""/>
      <w:lvlJc w:val="left"/>
      <w:pPr>
        <w:ind w:left="720" w:hanging="360"/>
      </w:pPr>
      <w:rPr>
        <w:rFonts w:ascii="Symbol" w:hAnsi="Symbol"/>
      </w:rPr>
    </w:lvl>
    <w:lvl w:ilvl="5" w:tplc="EC308B40">
      <w:start w:val="1"/>
      <w:numFmt w:val="bullet"/>
      <w:lvlText w:val=""/>
      <w:lvlJc w:val="left"/>
      <w:pPr>
        <w:ind w:left="720" w:hanging="360"/>
      </w:pPr>
      <w:rPr>
        <w:rFonts w:ascii="Symbol" w:hAnsi="Symbol"/>
      </w:rPr>
    </w:lvl>
    <w:lvl w:ilvl="6" w:tplc="8A4E4C12">
      <w:start w:val="1"/>
      <w:numFmt w:val="bullet"/>
      <w:lvlText w:val=""/>
      <w:lvlJc w:val="left"/>
      <w:pPr>
        <w:ind w:left="720" w:hanging="360"/>
      </w:pPr>
      <w:rPr>
        <w:rFonts w:ascii="Symbol" w:hAnsi="Symbol"/>
      </w:rPr>
    </w:lvl>
    <w:lvl w:ilvl="7" w:tplc="BA3AB9AE">
      <w:start w:val="1"/>
      <w:numFmt w:val="bullet"/>
      <w:lvlText w:val=""/>
      <w:lvlJc w:val="left"/>
      <w:pPr>
        <w:ind w:left="720" w:hanging="360"/>
      </w:pPr>
      <w:rPr>
        <w:rFonts w:ascii="Symbol" w:hAnsi="Symbol"/>
      </w:rPr>
    </w:lvl>
    <w:lvl w:ilvl="8" w:tplc="CF9C328A">
      <w:start w:val="1"/>
      <w:numFmt w:val="bullet"/>
      <w:lvlText w:val=""/>
      <w:lvlJc w:val="left"/>
      <w:pPr>
        <w:ind w:left="720" w:hanging="360"/>
      </w:pPr>
      <w:rPr>
        <w:rFonts w:ascii="Symbol" w:hAnsi="Symbol"/>
      </w:rPr>
    </w:lvl>
  </w:abstractNum>
  <w:abstractNum w:abstractNumId="4" w15:restartNumberingAfterBreak="0">
    <w:nsid w:val="09970423"/>
    <w:multiLevelType w:val="hybridMultilevel"/>
    <w:tmpl w:val="5E402BA4"/>
    <w:lvl w:ilvl="0" w:tplc="E39A1D94">
      <w:start w:val="1"/>
      <w:numFmt w:val="bullet"/>
      <w:lvlText w:val=""/>
      <w:lvlJc w:val="left"/>
      <w:pPr>
        <w:tabs>
          <w:tab w:val="num" w:pos="720"/>
        </w:tabs>
        <w:ind w:left="720" w:hanging="360"/>
      </w:pPr>
      <w:rPr>
        <w:rFonts w:ascii="Symbol" w:hAnsi="Symbol" w:hint="default"/>
        <w:color w:val="005962"/>
      </w:rPr>
    </w:lvl>
    <w:lvl w:ilvl="1" w:tplc="07BCFEA2">
      <w:numFmt w:val="bullet"/>
      <w:lvlText w:val="•"/>
      <w:lvlJc w:val="left"/>
      <w:pPr>
        <w:tabs>
          <w:tab w:val="num" w:pos="1440"/>
        </w:tabs>
        <w:ind w:left="1440" w:hanging="360"/>
      </w:pPr>
      <w:rPr>
        <w:rFonts w:ascii="Arial" w:hAnsi="Arial" w:hint="default"/>
      </w:rPr>
    </w:lvl>
    <w:lvl w:ilvl="2" w:tplc="2E98C816">
      <w:numFmt w:val="bullet"/>
      <w:lvlText w:val="•"/>
      <w:lvlJc w:val="left"/>
      <w:pPr>
        <w:tabs>
          <w:tab w:val="num" w:pos="2160"/>
        </w:tabs>
        <w:ind w:left="2160" w:hanging="360"/>
      </w:pPr>
      <w:rPr>
        <w:rFonts w:ascii="Arial" w:hAnsi="Arial" w:hint="default"/>
      </w:rPr>
    </w:lvl>
    <w:lvl w:ilvl="3" w:tplc="80F83D40" w:tentative="1">
      <w:start w:val="1"/>
      <w:numFmt w:val="decimal"/>
      <w:lvlText w:val="%4."/>
      <w:lvlJc w:val="left"/>
      <w:pPr>
        <w:tabs>
          <w:tab w:val="num" w:pos="2880"/>
        </w:tabs>
        <w:ind w:left="2880" w:hanging="360"/>
      </w:pPr>
    </w:lvl>
    <w:lvl w:ilvl="4" w:tplc="0F68760A" w:tentative="1">
      <w:start w:val="1"/>
      <w:numFmt w:val="decimal"/>
      <w:lvlText w:val="%5."/>
      <w:lvlJc w:val="left"/>
      <w:pPr>
        <w:tabs>
          <w:tab w:val="num" w:pos="3600"/>
        </w:tabs>
        <w:ind w:left="3600" w:hanging="360"/>
      </w:pPr>
    </w:lvl>
    <w:lvl w:ilvl="5" w:tplc="CBBC9A4E" w:tentative="1">
      <w:start w:val="1"/>
      <w:numFmt w:val="decimal"/>
      <w:lvlText w:val="%6."/>
      <w:lvlJc w:val="left"/>
      <w:pPr>
        <w:tabs>
          <w:tab w:val="num" w:pos="4320"/>
        </w:tabs>
        <w:ind w:left="4320" w:hanging="360"/>
      </w:pPr>
    </w:lvl>
    <w:lvl w:ilvl="6" w:tplc="3EBE4CBE" w:tentative="1">
      <w:start w:val="1"/>
      <w:numFmt w:val="decimal"/>
      <w:lvlText w:val="%7."/>
      <w:lvlJc w:val="left"/>
      <w:pPr>
        <w:tabs>
          <w:tab w:val="num" w:pos="5040"/>
        </w:tabs>
        <w:ind w:left="5040" w:hanging="360"/>
      </w:pPr>
    </w:lvl>
    <w:lvl w:ilvl="7" w:tplc="AEB01418" w:tentative="1">
      <w:start w:val="1"/>
      <w:numFmt w:val="decimal"/>
      <w:lvlText w:val="%8."/>
      <w:lvlJc w:val="left"/>
      <w:pPr>
        <w:tabs>
          <w:tab w:val="num" w:pos="5760"/>
        </w:tabs>
        <w:ind w:left="5760" w:hanging="360"/>
      </w:pPr>
    </w:lvl>
    <w:lvl w:ilvl="8" w:tplc="4EDCA346" w:tentative="1">
      <w:start w:val="1"/>
      <w:numFmt w:val="decimal"/>
      <w:lvlText w:val="%9."/>
      <w:lvlJc w:val="left"/>
      <w:pPr>
        <w:tabs>
          <w:tab w:val="num" w:pos="6480"/>
        </w:tabs>
        <w:ind w:left="6480" w:hanging="360"/>
      </w:pPr>
    </w:lvl>
  </w:abstractNum>
  <w:abstractNum w:abstractNumId="5" w15:restartNumberingAfterBreak="0">
    <w:nsid w:val="09F957D7"/>
    <w:multiLevelType w:val="hybridMultilevel"/>
    <w:tmpl w:val="8C901246"/>
    <w:lvl w:ilvl="0" w:tplc="63147378">
      <w:start w:val="1"/>
      <w:numFmt w:val="lowerRoman"/>
      <w:lvlText w:val="%1)"/>
      <w:lvlJc w:val="left"/>
      <w:pPr>
        <w:ind w:left="1287" w:hanging="720"/>
      </w:pPr>
      <w:rPr>
        <w:rFonts w:hint="default"/>
        <w:color w:val="005962"/>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6" w15:restartNumberingAfterBreak="0">
    <w:nsid w:val="144847B6"/>
    <w:multiLevelType w:val="hybridMultilevel"/>
    <w:tmpl w:val="51D484D6"/>
    <w:lvl w:ilvl="0" w:tplc="D05625EC">
      <w:numFmt w:val="bullet"/>
      <w:lvlText w:val="-"/>
      <w:lvlJc w:val="left"/>
      <w:pPr>
        <w:ind w:left="927" w:hanging="360"/>
      </w:pPr>
      <w:rPr>
        <w:rFonts w:ascii="Trebuchet MS" w:eastAsiaTheme="minorHAnsi" w:hAnsi="Trebuchet MS"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7" w15:restartNumberingAfterBreak="0">
    <w:nsid w:val="16BA0C46"/>
    <w:multiLevelType w:val="hybridMultilevel"/>
    <w:tmpl w:val="7BA6EE6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CB864BD"/>
    <w:multiLevelType w:val="hybridMultilevel"/>
    <w:tmpl w:val="FDB2476A"/>
    <w:lvl w:ilvl="0" w:tplc="065C39A6">
      <w:start w:val="16"/>
      <w:numFmt w:val="bullet"/>
      <w:lvlText w:val="-"/>
      <w:lvlJc w:val="left"/>
      <w:pPr>
        <w:ind w:left="720" w:hanging="360"/>
      </w:pPr>
      <w:rPr>
        <w:rFonts w:ascii="Trebuchet MS" w:eastAsiaTheme="minorHAnsi" w:hAnsi="Trebuchet M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DA50AD3"/>
    <w:multiLevelType w:val="multilevel"/>
    <w:tmpl w:val="5240D182"/>
    <w:lvl w:ilvl="0">
      <w:start w:val="1"/>
      <w:numFmt w:val="decimal"/>
      <w:lvlText w:val="%1)"/>
      <w:lvlJc w:val="left"/>
      <w:pPr>
        <w:ind w:left="1287" w:hanging="360"/>
      </w:pPr>
      <w:rPr>
        <w:b/>
        <w:bCs/>
        <w:color w:val="00596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1EA67EA6"/>
    <w:multiLevelType w:val="hybridMultilevel"/>
    <w:tmpl w:val="581241D0"/>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791437"/>
    <w:multiLevelType w:val="hybridMultilevel"/>
    <w:tmpl w:val="789A128C"/>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29B417D"/>
    <w:multiLevelType w:val="hybridMultilevel"/>
    <w:tmpl w:val="BF666576"/>
    <w:lvl w:ilvl="0" w:tplc="2000000D">
      <w:start w:val="1"/>
      <w:numFmt w:val="bullet"/>
      <w:lvlText w:val=""/>
      <w:lvlJc w:val="left"/>
      <w:pPr>
        <w:ind w:left="1287" w:hanging="360"/>
      </w:pPr>
      <w:rPr>
        <w:rFonts w:ascii="Wingdings" w:hAnsi="Wingdings" w:hint="default"/>
        <w:color w:val="005962"/>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hint="default"/>
      </w:rPr>
    </w:lvl>
    <w:lvl w:ilvl="3" w:tplc="FFFFFFFF">
      <w:numFmt w:val="bullet"/>
      <w:lvlText w:val="-"/>
      <w:lvlJc w:val="left"/>
      <w:pPr>
        <w:ind w:left="3795" w:hanging="708"/>
      </w:pPr>
      <w:rPr>
        <w:rFonts w:ascii="Trebuchet MS" w:eastAsiaTheme="minorHAnsi" w:hAnsi="Trebuchet MS" w:cstheme="minorBidi"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233023AE"/>
    <w:multiLevelType w:val="hybridMultilevel"/>
    <w:tmpl w:val="3A5AD956"/>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33A335C"/>
    <w:multiLevelType w:val="hybridMultilevel"/>
    <w:tmpl w:val="A18CDEB4"/>
    <w:lvl w:ilvl="0" w:tplc="1FD80DB0">
      <w:start w:val="1"/>
      <w:numFmt w:val="bullet"/>
      <w:lvlText w:val=""/>
      <w:lvlJc w:val="left"/>
      <w:pPr>
        <w:ind w:left="1146" w:hanging="360"/>
      </w:pPr>
      <w:rPr>
        <w:rFonts w:ascii="Symbol" w:hAnsi="Symbol" w:hint="default"/>
        <w:b w:val="0"/>
        <w:bCs/>
        <w:color w:val="005962"/>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23F77E5C"/>
    <w:multiLevelType w:val="hybridMultilevel"/>
    <w:tmpl w:val="CE844C90"/>
    <w:lvl w:ilvl="0" w:tplc="B18E132A">
      <w:start w:val="1"/>
      <w:numFmt w:val="decimal"/>
      <w:pStyle w:val="Addingupnumeral"/>
      <w:lvlText w:val="%1."/>
      <w:lvlJc w:val="left"/>
      <w:pPr>
        <w:ind w:left="1069" w:hanging="360"/>
      </w:pPr>
      <w:rPr>
        <w:rFonts w:hint="default"/>
        <w:b/>
        <w:bCs/>
        <w:color w:val="005962" w:themeColor="accent1"/>
      </w:rPr>
    </w:lvl>
    <w:lvl w:ilvl="1" w:tplc="04130019">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6" w15:restartNumberingAfterBreak="0">
    <w:nsid w:val="256F58CA"/>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5B42C3A"/>
    <w:multiLevelType w:val="hybridMultilevel"/>
    <w:tmpl w:val="6E423D9C"/>
    <w:lvl w:ilvl="0" w:tplc="E39A1D94">
      <w:start w:val="1"/>
      <w:numFmt w:val="bullet"/>
      <w:lvlText w:val=""/>
      <w:lvlJc w:val="left"/>
      <w:pPr>
        <w:ind w:left="1287" w:hanging="360"/>
      </w:pPr>
      <w:rPr>
        <w:rFonts w:ascii="Symbol" w:hAnsi="Symbol" w:hint="default"/>
        <w:color w:val="005962"/>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2A87292B"/>
    <w:multiLevelType w:val="hybridMultilevel"/>
    <w:tmpl w:val="F16A1966"/>
    <w:lvl w:ilvl="0" w:tplc="D4C660FC">
      <w:start w:val="1"/>
      <w:numFmt w:val="lowerRoman"/>
      <w:lvlText w:val="%1)"/>
      <w:lvlJc w:val="left"/>
      <w:pPr>
        <w:ind w:left="1287" w:hanging="720"/>
      </w:pPr>
      <w:rPr>
        <w:rFonts w:hint="default"/>
        <w:color w:val="005962"/>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9" w15:restartNumberingAfterBreak="0">
    <w:nsid w:val="2E0C43BA"/>
    <w:multiLevelType w:val="hybridMultilevel"/>
    <w:tmpl w:val="B77EDE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2E3E4AC8"/>
    <w:multiLevelType w:val="hybridMultilevel"/>
    <w:tmpl w:val="2EF02964"/>
    <w:lvl w:ilvl="0" w:tplc="20000003">
      <w:start w:val="1"/>
      <w:numFmt w:val="bullet"/>
      <w:lvlText w:val="o"/>
      <w:lvlJc w:val="left"/>
      <w:pPr>
        <w:ind w:left="1287" w:hanging="360"/>
      </w:pPr>
      <w:rPr>
        <w:rFonts w:ascii="Courier New" w:hAnsi="Courier New" w:cs="Courier New"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1" w15:restartNumberingAfterBreak="0">
    <w:nsid w:val="33F86DF7"/>
    <w:multiLevelType w:val="multilevel"/>
    <w:tmpl w:val="F7C020D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376B4939"/>
    <w:multiLevelType w:val="hybridMultilevel"/>
    <w:tmpl w:val="826E59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7BD1346"/>
    <w:multiLevelType w:val="hybridMultilevel"/>
    <w:tmpl w:val="8C089FA4"/>
    <w:lvl w:ilvl="0" w:tplc="049E926C">
      <w:start w:val="1"/>
      <w:numFmt w:val="bullet"/>
      <w:pStyle w:val="Orangetabletext"/>
      <w:lvlText w:val=""/>
      <w:lvlJc w:val="left"/>
      <w:pPr>
        <w:ind w:left="720" w:hanging="360"/>
      </w:pPr>
      <w:rPr>
        <w:rFonts w:ascii="Symbol" w:hAnsi="Symbol" w:hint="default"/>
        <w:b w:val="0"/>
        <w:i w:val="0"/>
        <w:color w:val="FFFFFF" w:themeColor="background1"/>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B573319"/>
    <w:multiLevelType w:val="hybridMultilevel"/>
    <w:tmpl w:val="F6D03DD0"/>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5" w15:restartNumberingAfterBreak="0">
    <w:nsid w:val="3C217D6C"/>
    <w:multiLevelType w:val="hybridMultilevel"/>
    <w:tmpl w:val="52E8F2DE"/>
    <w:lvl w:ilvl="0" w:tplc="20000001">
      <w:start w:val="1"/>
      <w:numFmt w:val="bullet"/>
      <w:lvlText w:val=""/>
      <w:lvlJc w:val="left"/>
      <w:pPr>
        <w:ind w:left="1287" w:hanging="360"/>
      </w:pPr>
      <w:rPr>
        <w:rFonts w:ascii="Symbol" w:hAnsi="Symbol" w:hint="default"/>
      </w:rPr>
    </w:lvl>
    <w:lvl w:ilvl="1" w:tplc="1646EDF0">
      <w:numFmt w:val="bullet"/>
      <w:lvlText w:val="•"/>
      <w:lvlJc w:val="left"/>
      <w:pPr>
        <w:ind w:left="2007" w:hanging="360"/>
      </w:pPr>
      <w:rPr>
        <w:rFonts w:ascii="Trebuchet MS" w:eastAsiaTheme="minorHAnsi" w:hAnsi="Trebuchet MS" w:cstheme="minorBidi"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6" w15:restartNumberingAfterBreak="0">
    <w:nsid w:val="3C99036A"/>
    <w:multiLevelType w:val="hybridMultilevel"/>
    <w:tmpl w:val="F4727AE4"/>
    <w:lvl w:ilvl="0" w:tplc="1A882842">
      <w:start w:val="1"/>
      <w:numFmt w:val="bullet"/>
      <w:pStyle w:val="Checklistbulletpoint"/>
      <w:lvlText w:val=""/>
      <w:lvlJc w:val="left"/>
      <w:pPr>
        <w:ind w:left="1287" w:hanging="360"/>
      </w:pPr>
      <w:rPr>
        <w:rFonts w:ascii="Wingdings" w:hAnsi="Wingdings" w:cs="Wingdings" w:hint="default"/>
        <w:b/>
        <w:bCs/>
        <w:i w:val="0"/>
        <w:iCs w:val="0"/>
        <w:color w:val="F04E30"/>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3D676B0F"/>
    <w:multiLevelType w:val="multilevel"/>
    <w:tmpl w:val="3EE8AD30"/>
    <w:styleLink w:val="Style1"/>
    <w:lvl w:ilvl="0">
      <w:start w:val="1"/>
      <w:numFmt w:val="decimal"/>
      <w:lvlText w:val="1.%1."/>
      <w:lvlJc w:val="left"/>
      <w:pPr>
        <w:ind w:left="360" w:hanging="360"/>
      </w:pPr>
      <w:rPr>
        <w:rFonts w:hint="default"/>
        <w:color w:val="00596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E2B3419"/>
    <w:multiLevelType w:val="hybridMultilevel"/>
    <w:tmpl w:val="8B920196"/>
    <w:lvl w:ilvl="0" w:tplc="423459E2">
      <w:start w:val="1"/>
      <w:numFmt w:val="decimal"/>
      <w:lvlText w:val="%1."/>
      <w:lvlJc w:val="left"/>
      <w:pPr>
        <w:ind w:left="1571" w:hanging="360"/>
      </w:pPr>
      <w:rPr>
        <w:rFonts w:hint="default"/>
      </w:rPr>
    </w:lvl>
    <w:lvl w:ilvl="1" w:tplc="20000019">
      <w:start w:val="1"/>
      <w:numFmt w:val="lowerLetter"/>
      <w:lvlText w:val="%2."/>
      <w:lvlJc w:val="left"/>
      <w:pPr>
        <w:ind w:left="2291" w:hanging="360"/>
      </w:pPr>
    </w:lvl>
    <w:lvl w:ilvl="2" w:tplc="2000001B" w:tentative="1">
      <w:start w:val="1"/>
      <w:numFmt w:val="lowerRoman"/>
      <w:lvlText w:val="%3."/>
      <w:lvlJc w:val="right"/>
      <w:pPr>
        <w:ind w:left="3011" w:hanging="180"/>
      </w:pPr>
    </w:lvl>
    <w:lvl w:ilvl="3" w:tplc="2000000F" w:tentative="1">
      <w:start w:val="1"/>
      <w:numFmt w:val="decimal"/>
      <w:lvlText w:val="%4."/>
      <w:lvlJc w:val="left"/>
      <w:pPr>
        <w:ind w:left="3731" w:hanging="360"/>
      </w:pPr>
    </w:lvl>
    <w:lvl w:ilvl="4" w:tplc="20000019" w:tentative="1">
      <w:start w:val="1"/>
      <w:numFmt w:val="lowerLetter"/>
      <w:lvlText w:val="%5."/>
      <w:lvlJc w:val="left"/>
      <w:pPr>
        <w:ind w:left="4451" w:hanging="360"/>
      </w:pPr>
    </w:lvl>
    <w:lvl w:ilvl="5" w:tplc="2000001B" w:tentative="1">
      <w:start w:val="1"/>
      <w:numFmt w:val="lowerRoman"/>
      <w:lvlText w:val="%6."/>
      <w:lvlJc w:val="right"/>
      <w:pPr>
        <w:ind w:left="5171" w:hanging="180"/>
      </w:pPr>
    </w:lvl>
    <w:lvl w:ilvl="6" w:tplc="2000000F" w:tentative="1">
      <w:start w:val="1"/>
      <w:numFmt w:val="decimal"/>
      <w:lvlText w:val="%7."/>
      <w:lvlJc w:val="left"/>
      <w:pPr>
        <w:ind w:left="5891" w:hanging="360"/>
      </w:pPr>
    </w:lvl>
    <w:lvl w:ilvl="7" w:tplc="20000019" w:tentative="1">
      <w:start w:val="1"/>
      <w:numFmt w:val="lowerLetter"/>
      <w:lvlText w:val="%8."/>
      <w:lvlJc w:val="left"/>
      <w:pPr>
        <w:ind w:left="6611" w:hanging="360"/>
      </w:pPr>
    </w:lvl>
    <w:lvl w:ilvl="8" w:tplc="2000001B" w:tentative="1">
      <w:start w:val="1"/>
      <w:numFmt w:val="lowerRoman"/>
      <w:lvlText w:val="%9."/>
      <w:lvlJc w:val="right"/>
      <w:pPr>
        <w:ind w:left="7331" w:hanging="180"/>
      </w:pPr>
    </w:lvl>
  </w:abstractNum>
  <w:abstractNum w:abstractNumId="29" w15:restartNumberingAfterBreak="0">
    <w:nsid w:val="3EB853A2"/>
    <w:multiLevelType w:val="multilevel"/>
    <w:tmpl w:val="3140B83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41AD5614"/>
    <w:multiLevelType w:val="hybridMultilevel"/>
    <w:tmpl w:val="91A0542C"/>
    <w:lvl w:ilvl="0" w:tplc="E39A1D94">
      <w:start w:val="1"/>
      <w:numFmt w:val="bullet"/>
      <w:lvlText w:val=""/>
      <w:lvlJc w:val="left"/>
      <w:pPr>
        <w:ind w:left="1287" w:hanging="360"/>
      </w:pPr>
      <w:rPr>
        <w:rFonts w:ascii="Symbol" w:hAnsi="Symbol" w:hint="default"/>
        <w:color w:val="005962"/>
      </w:rPr>
    </w:lvl>
    <w:lvl w:ilvl="1" w:tplc="20000003">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1" w15:restartNumberingAfterBreak="0">
    <w:nsid w:val="44ED6B21"/>
    <w:multiLevelType w:val="hybridMultilevel"/>
    <w:tmpl w:val="3404DC8C"/>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2" w15:restartNumberingAfterBreak="0">
    <w:nsid w:val="48577158"/>
    <w:multiLevelType w:val="hybridMultilevel"/>
    <w:tmpl w:val="8C38A414"/>
    <w:lvl w:ilvl="0" w:tplc="262827FC">
      <w:start w:val="1"/>
      <w:numFmt w:val="bullet"/>
      <w:pStyle w:val="1stlevelroundbullet"/>
      <w:lvlText w:val=""/>
      <w:lvlJc w:val="left"/>
      <w:pPr>
        <w:ind w:left="1571" w:hanging="360"/>
      </w:pPr>
      <w:rPr>
        <w:rFonts w:ascii="Symbol" w:hAnsi="Symbol"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33" w15:restartNumberingAfterBreak="0">
    <w:nsid w:val="48610459"/>
    <w:multiLevelType w:val="hybridMultilevel"/>
    <w:tmpl w:val="83665C14"/>
    <w:lvl w:ilvl="0" w:tplc="2000000D">
      <w:start w:val="1"/>
      <w:numFmt w:val="bullet"/>
      <w:lvlText w:val=""/>
      <w:lvlJc w:val="left"/>
      <w:pPr>
        <w:ind w:left="1287" w:hanging="360"/>
      </w:pPr>
      <w:rPr>
        <w:rFonts w:ascii="Wingdings" w:hAnsi="Wingdings" w:hint="default"/>
        <w:color w:val="005962"/>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hint="default"/>
      </w:rPr>
    </w:lvl>
    <w:lvl w:ilvl="3" w:tplc="FFFFFFFF">
      <w:numFmt w:val="bullet"/>
      <w:lvlText w:val="-"/>
      <w:lvlJc w:val="left"/>
      <w:pPr>
        <w:ind w:left="3795" w:hanging="708"/>
      </w:pPr>
      <w:rPr>
        <w:rFonts w:ascii="Trebuchet MS" w:eastAsiaTheme="minorHAnsi" w:hAnsi="Trebuchet MS" w:cstheme="minorBidi"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4" w15:restartNumberingAfterBreak="0">
    <w:nsid w:val="48CB686B"/>
    <w:multiLevelType w:val="hybridMultilevel"/>
    <w:tmpl w:val="5326433C"/>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5" w15:restartNumberingAfterBreak="0">
    <w:nsid w:val="49AF0F80"/>
    <w:multiLevelType w:val="multilevel"/>
    <w:tmpl w:val="960E3348"/>
    <w:lvl w:ilvl="0">
      <w:start w:val="1"/>
      <w:numFmt w:val="decimal"/>
      <w:pStyle w:val="Nadpis1"/>
      <w:lvlText w:val="%1"/>
      <w:lvlJc w:val="left"/>
      <w:pPr>
        <w:ind w:left="927" w:hanging="360"/>
      </w:pPr>
      <w:rPr>
        <w:rFonts w:hint="default"/>
      </w:rPr>
    </w:lvl>
    <w:lvl w:ilvl="1">
      <w:start w:val="1"/>
      <w:numFmt w:val="decimal"/>
      <w:pStyle w:val="Nadpis2"/>
      <w:isLgl/>
      <w:lvlText w:val="%1.%2"/>
      <w:lvlJc w:val="left"/>
      <w:pPr>
        <w:ind w:left="1287" w:hanging="360"/>
      </w:pPr>
      <w:rPr>
        <w:rFonts w:hint="default"/>
      </w:rPr>
    </w:lvl>
    <w:lvl w:ilvl="2">
      <w:start w:val="1"/>
      <w:numFmt w:val="decimal"/>
      <w:pStyle w:val="Nadpis3"/>
      <w:isLgl/>
      <w:lvlText w:val="%1.%2.%3"/>
      <w:lvlJc w:val="left"/>
      <w:pPr>
        <w:ind w:left="200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3807" w:hanging="108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4887" w:hanging="1440"/>
      </w:pPr>
      <w:rPr>
        <w:rFonts w:hint="default"/>
      </w:rPr>
    </w:lvl>
  </w:abstractNum>
  <w:abstractNum w:abstractNumId="36" w15:restartNumberingAfterBreak="0">
    <w:nsid w:val="505F0FFE"/>
    <w:multiLevelType w:val="hybridMultilevel"/>
    <w:tmpl w:val="BA26B56C"/>
    <w:lvl w:ilvl="0" w:tplc="709698A4">
      <w:start w:val="1"/>
      <w:numFmt w:val="bullet"/>
      <w:pStyle w:val="Odstavecseseznamem"/>
      <w:lvlText w:val=""/>
      <w:lvlJc w:val="left"/>
      <w:pPr>
        <w:ind w:left="1287" w:hanging="360"/>
      </w:pPr>
      <w:rPr>
        <w:rFonts w:ascii="Symbol" w:hAnsi="Symbol" w:hint="default"/>
        <w:color w:val="005962"/>
      </w:rPr>
    </w:lvl>
    <w:lvl w:ilvl="1" w:tplc="058E5DA4">
      <w:start w:val="1"/>
      <w:numFmt w:val="bullet"/>
      <w:pStyle w:val="2ndlevelbulletpoint"/>
      <w:lvlText w:val="o"/>
      <w:lvlJc w:val="left"/>
      <w:pPr>
        <w:ind w:left="2007" w:hanging="360"/>
      </w:pPr>
      <w:rPr>
        <w:rFonts w:ascii="Courier New" w:hAnsi="Courier New" w:cs="Courier New" w:hint="default"/>
      </w:rPr>
    </w:lvl>
    <w:lvl w:ilvl="2" w:tplc="5728FDCC">
      <w:start w:val="1"/>
      <w:numFmt w:val="bullet"/>
      <w:pStyle w:val="3rdlevelbulletpoint"/>
      <w:lvlText w:val=""/>
      <w:lvlJc w:val="left"/>
      <w:pPr>
        <w:ind w:left="2727" w:hanging="360"/>
      </w:pPr>
      <w:rPr>
        <w:rFonts w:ascii="Wingdings" w:hAnsi="Wingdings" w:hint="default"/>
      </w:rPr>
    </w:lvl>
    <w:lvl w:ilvl="3" w:tplc="8A64B88C">
      <w:numFmt w:val="bullet"/>
      <w:lvlText w:val="-"/>
      <w:lvlJc w:val="left"/>
      <w:pPr>
        <w:ind w:left="3795" w:hanging="708"/>
      </w:pPr>
      <w:rPr>
        <w:rFonts w:ascii="Trebuchet MS" w:eastAsiaTheme="minorHAnsi" w:hAnsi="Trebuchet MS" w:cstheme="minorBidi"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7" w15:restartNumberingAfterBreak="0">
    <w:nsid w:val="50632CF4"/>
    <w:multiLevelType w:val="hybridMultilevel"/>
    <w:tmpl w:val="AD2C2456"/>
    <w:lvl w:ilvl="0" w:tplc="518492BA">
      <w:start w:val="1"/>
      <w:numFmt w:val="bullet"/>
      <w:lvlText w:val=""/>
      <w:lvlJc w:val="left"/>
      <w:pPr>
        <w:ind w:left="720" w:hanging="360"/>
      </w:pPr>
      <w:rPr>
        <w:rFonts w:ascii="Symbol" w:hAnsi="Symbol"/>
      </w:rPr>
    </w:lvl>
    <w:lvl w:ilvl="1" w:tplc="8828FF10">
      <w:start w:val="1"/>
      <w:numFmt w:val="bullet"/>
      <w:lvlText w:val=""/>
      <w:lvlJc w:val="left"/>
      <w:pPr>
        <w:ind w:left="720" w:hanging="360"/>
      </w:pPr>
      <w:rPr>
        <w:rFonts w:ascii="Symbol" w:hAnsi="Symbol"/>
      </w:rPr>
    </w:lvl>
    <w:lvl w:ilvl="2" w:tplc="C05886D2">
      <w:start w:val="1"/>
      <w:numFmt w:val="bullet"/>
      <w:lvlText w:val=""/>
      <w:lvlJc w:val="left"/>
      <w:pPr>
        <w:ind w:left="720" w:hanging="360"/>
      </w:pPr>
      <w:rPr>
        <w:rFonts w:ascii="Symbol" w:hAnsi="Symbol"/>
      </w:rPr>
    </w:lvl>
    <w:lvl w:ilvl="3" w:tplc="C5A868A6">
      <w:start w:val="1"/>
      <w:numFmt w:val="bullet"/>
      <w:lvlText w:val=""/>
      <w:lvlJc w:val="left"/>
      <w:pPr>
        <w:ind w:left="720" w:hanging="360"/>
      </w:pPr>
      <w:rPr>
        <w:rFonts w:ascii="Symbol" w:hAnsi="Symbol"/>
      </w:rPr>
    </w:lvl>
    <w:lvl w:ilvl="4" w:tplc="090C8D3A">
      <w:start w:val="1"/>
      <w:numFmt w:val="bullet"/>
      <w:lvlText w:val=""/>
      <w:lvlJc w:val="left"/>
      <w:pPr>
        <w:ind w:left="720" w:hanging="360"/>
      </w:pPr>
      <w:rPr>
        <w:rFonts w:ascii="Symbol" w:hAnsi="Symbol"/>
      </w:rPr>
    </w:lvl>
    <w:lvl w:ilvl="5" w:tplc="67F8337E">
      <w:start w:val="1"/>
      <w:numFmt w:val="bullet"/>
      <w:lvlText w:val=""/>
      <w:lvlJc w:val="left"/>
      <w:pPr>
        <w:ind w:left="720" w:hanging="360"/>
      </w:pPr>
      <w:rPr>
        <w:rFonts w:ascii="Symbol" w:hAnsi="Symbol"/>
      </w:rPr>
    </w:lvl>
    <w:lvl w:ilvl="6" w:tplc="C4D22CF0">
      <w:start w:val="1"/>
      <w:numFmt w:val="bullet"/>
      <w:lvlText w:val=""/>
      <w:lvlJc w:val="left"/>
      <w:pPr>
        <w:ind w:left="720" w:hanging="360"/>
      </w:pPr>
      <w:rPr>
        <w:rFonts w:ascii="Symbol" w:hAnsi="Symbol"/>
      </w:rPr>
    </w:lvl>
    <w:lvl w:ilvl="7" w:tplc="5B461266">
      <w:start w:val="1"/>
      <w:numFmt w:val="bullet"/>
      <w:lvlText w:val=""/>
      <w:lvlJc w:val="left"/>
      <w:pPr>
        <w:ind w:left="720" w:hanging="360"/>
      </w:pPr>
      <w:rPr>
        <w:rFonts w:ascii="Symbol" w:hAnsi="Symbol"/>
      </w:rPr>
    </w:lvl>
    <w:lvl w:ilvl="8" w:tplc="314A48C6">
      <w:start w:val="1"/>
      <w:numFmt w:val="bullet"/>
      <w:lvlText w:val=""/>
      <w:lvlJc w:val="left"/>
      <w:pPr>
        <w:ind w:left="720" w:hanging="360"/>
      </w:pPr>
      <w:rPr>
        <w:rFonts w:ascii="Symbol" w:hAnsi="Symbol"/>
      </w:rPr>
    </w:lvl>
  </w:abstractNum>
  <w:abstractNum w:abstractNumId="38" w15:restartNumberingAfterBreak="0">
    <w:nsid w:val="52820022"/>
    <w:multiLevelType w:val="hybridMultilevel"/>
    <w:tmpl w:val="9A2ABF88"/>
    <w:lvl w:ilvl="0" w:tplc="341C8E74">
      <w:start w:val="1"/>
      <w:numFmt w:val="bullet"/>
      <w:lvlText w:val=""/>
      <w:lvlJc w:val="left"/>
      <w:pPr>
        <w:ind w:left="720" w:hanging="360"/>
      </w:pPr>
      <w:rPr>
        <w:rFonts w:ascii="Symbol" w:hAnsi="Symbol" w:hint="default"/>
        <w:color w:val="auto"/>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28465AC"/>
    <w:multiLevelType w:val="hybridMultilevel"/>
    <w:tmpl w:val="A17491AC"/>
    <w:lvl w:ilvl="0" w:tplc="065C39A6">
      <w:start w:val="16"/>
      <w:numFmt w:val="bullet"/>
      <w:lvlText w:val="-"/>
      <w:lvlJc w:val="left"/>
      <w:pPr>
        <w:ind w:left="720" w:hanging="360"/>
      </w:pPr>
      <w:rPr>
        <w:rFonts w:ascii="Trebuchet MS" w:eastAsiaTheme="minorHAnsi" w:hAnsi="Trebuchet M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3D01772"/>
    <w:multiLevelType w:val="hybridMultilevel"/>
    <w:tmpl w:val="7F9ABCCC"/>
    <w:lvl w:ilvl="0" w:tplc="C0BEC16A">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1" w15:restartNumberingAfterBreak="0">
    <w:nsid w:val="5ADF78B5"/>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D26346D"/>
    <w:multiLevelType w:val="multilevel"/>
    <w:tmpl w:val="3EE8AD30"/>
    <w:styleLink w:val="Style2"/>
    <w:lvl w:ilvl="0">
      <w:start w:val="1"/>
      <w:numFmt w:val="decimal"/>
      <w:lvlText w:val="1.%1."/>
      <w:lvlJc w:val="left"/>
      <w:pPr>
        <w:ind w:left="360" w:hanging="360"/>
      </w:pPr>
      <w:rPr>
        <w:rFonts w:hint="default"/>
        <w:color w:val="00596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D932202"/>
    <w:multiLevelType w:val="hybridMultilevel"/>
    <w:tmpl w:val="2EE8F482"/>
    <w:lvl w:ilvl="0" w:tplc="6ECC111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2CA317E"/>
    <w:multiLevelType w:val="hybridMultilevel"/>
    <w:tmpl w:val="C11CDD9C"/>
    <w:lvl w:ilvl="0" w:tplc="2000000F">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5" w15:restartNumberingAfterBreak="0">
    <w:nsid w:val="676E3D4F"/>
    <w:multiLevelType w:val="hybridMultilevel"/>
    <w:tmpl w:val="7A72DD06"/>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46" w15:restartNumberingAfterBreak="0">
    <w:nsid w:val="6CE67AD2"/>
    <w:multiLevelType w:val="multilevel"/>
    <w:tmpl w:val="186E8C76"/>
    <w:styleLink w:val="LFO1"/>
    <w:lvl w:ilvl="0">
      <w:numFmt w:val="bullet"/>
      <w:lvlText w:val=""/>
      <w:lvlJc w:val="left"/>
      <w:pPr>
        <w:ind w:left="1146" w:hanging="360"/>
      </w:pPr>
      <w:rPr>
        <w:rFonts w:ascii="Wingdings" w:hAnsi="Wingdings"/>
        <w:b/>
        <w:color w:val="005962"/>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7" w15:restartNumberingAfterBreak="0">
    <w:nsid w:val="6DF17B41"/>
    <w:multiLevelType w:val="hybridMultilevel"/>
    <w:tmpl w:val="73E44F48"/>
    <w:lvl w:ilvl="0" w:tplc="EFD44404">
      <w:start w:val="1"/>
      <w:numFmt w:val="lowerRoman"/>
      <w:lvlText w:val="%1)"/>
      <w:lvlJc w:val="left"/>
      <w:pPr>
        <w:ind w:left="1287" w:hanging="720"/>
      </w:pPr>
      <w:rPr>
        <w:rFonts w:hint="default"/>
        <w:color w:val="005962"/>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8" w15:restartNumberingAfterBreak="0">
    <w:nsid w:val="6EED4EB6"/>
    <w:multiLevelType w:val="hybridMultilevel"/>
    <w:tmpl w:val="16EE1B5C"/>
    <w:lvl w:ilvl="0" w:tplc="D6EEFCC6">
      <w:start w:val="1"/>
      <w:numFmt w:val="bullet"/>
      <w:lvlText w:val=""/>
      <w:lvlJc w:val="left"/>
      <w:pPr>
        <w:ind w:left="1287" w:hanging="360"/>
      </w:pPr>
      <w:rPr>
        <w:rFonts w:ascii="Symbol" w:hAnsi="Symbol" w:hint="default"/>
        <w:color w:val="005962"/>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49" w15:restartNumberingAfterBreak="0">
    <w:nsid w:val="6F473E83"/>
    <w:multiLevelType w:val="multilevel"/>
    <w:tmpl w:val="3140B83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0" w15:restartNumberingAfterBreak="0">
    <w:nsid w:val="77537B8E"/>
    <w:multiLevelType w:val="multilevel"/>
    <w:tmpl w:val="8BB29AF2"/>
    <w:styleLink w:val="LFO2"/>
    <w:lvl w:ilvl="0">
      <w:numFmt w:val="bullet"/>
      <w:lvlText w:val=""/>
      <w:lvlJc w:val="left"/>
      <w:pPr>
        <w:ind w:left="1287" w:hanging="360"/>
      </w:pPr>
      <w:rPr>
        <w:rFonts w:ascii="Symbol" w:hAnsi="Symbol"/>
        <w:color w:val="005962"/>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795" w:hanging="708"/>
      </w:pPr>
      <w:rPr>
        <w:rFonts w:ascii="Trebuchet MS" w:eastAsia="Calibri" w:hAnsi="Trebuchet MS" w:cs="Times New Roman"/>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51" w15:restartNumberingAfterBreak="0">
    <w:nsid w:val="777A67E5"/>
    <w:multiLevelType w:val="hybridMultilevel"/>
    <w:tmpl w:val="17B49BC2"/>
    <w:lvl w:ilvl="0" w:tplc="4B10F84C">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7C46CB8"/>
    <w:multiLevelType w:val="hybridMultilevel"/>
    <w:tmpl w:val="151E9812"/>
    <w:lvl w:ilvl="0" w:tplc="E39A1D94">
      <w:start w:val="1"/>
      <w:numFmt w:val="bullet"/>
      <w:lvlText w:val=""/>
      <w:lvlJc w:val="left"/>
      <w:pPr>
        <w:ind w:left="1287" w:hanging="360"/>
      </w:pPr>
      <w:rPr>
        <w:rFonts w:ascii="Symbol" w:hAnsi="Symbol" w:hint="default"/>
        <w:color w:val="005962"/>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num w:numId="1">
    <w:abstractNumId w:val="27"/>
  </w:num>
  <w:num w:numId="2">
    <w:abstractNumId w:val="42"/>
  </w:num>
  <w:num w:numId="3">
    <w:abstractNumId w:val="35"/>
  </w:num>
  <w:num w:numId="4">
    <w:abstractNumId w:val="14"/>
  </w:num>
  <w:num w:numId="5">
    <w:abstractNumId w:val="26"/>
  </w:num>
  <w:num w:numId="6">
    <w:abstractNumId w:val="23"/>
  </w:num>
  <w:num w:numId="7">
    <w:abstractNumId w:val="15"/>
  </w:num>
  <w:num w:numId="8">
    <w:abstractNumId w:val="36"/>
  </w:num>
  <w:num w:numId="9">
    <w:abstractNumId w:val="24"/>
  </w:num>
  <w:num w:numId="10">
    <w:abstractNumId w:val="25"/>
  </w:num>
  <w:num w:numId="11">
    <w:abstractNumId w:val="17"/>
  </w:num>
  <w:num w:numId="12">
    <w:abstractNumId w:val="37"/>
  </w:num>
  <w:num w:numId="13">
    <w:abstractNumId w:val="38"/>
  </w:num>
  <w:num w:numId="14">
    <w:abstractNumId w:val="8"/>
  </w:num>
  <w:num w:numId="15">
    <w:abstractNumId w:val="22"/>
  </w:num>
  <w:num w:numId="16">
    <w:abstractNumId w:val="51"/>
  </w:num>
  <w:num w:numId="17">
    <w:abstractNumId w:val="39"/>
  </w:num>
  <w:num w:numId="18">
    <w:abstractNumId w:val="10"/>
  </w:num>
  <w:num w:numId="19">
    <w:abstractNumId w:val="6"/>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9"/>
  </w:num>
  <w:num w:numId="23">
    <w:abstractNumId w:val="44"/>
  </w:num>
  <w:num w:numId="24">
    <w:abstractNumId w:val="43"/>
  </w:num>
  <w:num w:numId="25">
    <w:abstractNumId w:val="28"/>
  </w:num>
  <w:num w:numId="26">
    <w:abstractNumId w:val="40"/>
  </w:num>
  <w:num w:numId="27">
    <w:abstractNumId w:val="13"/>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49"/>
  </w:num>
  <w:num w:numId="31">
    <w:abstractNumId w:val="50"/>
  </w:num>
  <w:num w:numId="32">
    <w:abstractNumId w:val="21"/>
  </w:num>
  <w:num w:numId="33">
    <w:abstractNumId w:val="11"/>
  </w:num>
  <w:num w:numId="34">
    <w:abstractNumId w:val="30"/>
  </w:num>
  <w:num w:numId="35">
    <w:abstractNumId w:val="4"/>
  </w:num>
  <w:num w:numId="36">
    <w:abstractNumId w:val="48"/>
  </w:num>
  <w:num w:numId="37">
    <w:abstractNumId w:val="3"/>
  </w:num>
  <w:num w:numId="38">
    <w:abstractNumId w:val="46"/>
  </w:num>
  <w:num w:numId="39">
    <w:abstractNumId w:val="31"/>
  </w:num>
  <w:num w:numId="40">
    <w:abstractNumId w:val="45"/>
  </w:num>
  <w:num w:numId="41">
    <w:abstractNumId w:val="34"/>
  </w:num>
  <w:num w:numId="42">
    <w:abstractNumId w:val="2"/>
  </w:num>
  <w:num w:numId="43">
    <w:abstractNumId w:val="1"/>
  </w:num>
  <w:num w:numId="44">
    <w:abstractNumId w:val="16"/>
  </w:num>
  <w:num w:numId="45">
    <w:abstractNumId w:val="20"/>
  </w:num>
  <w:num w:numId="46">
    <w:abstractNumId w:val="52"/>
  </w:num>
  <w:num w:numId="47">
    <w:abstractNumId w:val="9"/>
  </w:num>
  <w:num w:numId="48">
    <w:abstractNumId w:val="0"/>
  </w:num>
  <w:num w:numId="49">
    <w:abstractNumId w:val="32"/>
  </w:num>
  <w:num w:numId="50">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num>
  <w:num w:numId="53">
    <w:abstractNumId w:val="33"/>
  </w:num>
  <w:num w:numId="54">
    <w:abstractNumId w:val="41"/>
  </w:num>
  <w:num w:numId="55">
    <w:abstractNumId w:val="47"/>
  </w:num>
  <w:num w:numId="56">
    <w:abstractNumId w:val="18"/>
  </w:num>
  <w:num w:numId="57">
    <w:abstractNumId w:val="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zMjQ3sDQzNTEyMDBX0lEKTi0uzszPAykwrAUAXa21HCwAAAA="/>
  </w:docVars>
  <w:rsids>
    <w:rsidRoot w:val="00B539D4"/>
    <w:rsid w:val="000001DC"/>
    <w:rsid w:val="000007B0"/>
    <w:rsid w:val="00000AA6"/>
    <w:rsid w:val="00000AF4"/>
    <w:rsid w:val="00001026"/>
    <w:rsid w:val="00001122"/>
    <w:rsid w:val="0000151C"/>
    <w:rsid w:val="000019AA"/>
    <w:rsid w:val="00001A8E"/>
    <w:rsid w:val="00001BD6"/>
    <w:rsid w:val="00001E18"/>
    <w:rsid w:val="00001FF0"/>
    <w:rsid w:val="000022EA"/>
    <w:rsid w:val="00002446"/>
    <w:rsid w:val="0000251B"/>
    <w:rsid w:val="000045C8"/>
    <w:rsid w:val="00004E78"/>
    <w:rsid w:val="0000527D"/>
    <w:rsid w:val="000054CE"/>
    <w:rsid w:val="0000563E"/>
    <w:rsid w:val="00005D9D"/>
    <w:rsid w:val="000061FB"/>
    <w:rsid w:val="00006710"/>
    <w:rsid w:val="00006F13"/>
    <w:rsid w:val="0000735D"/>
    <w:rsid w:val="00007604"/>
    <w:rsid w:val="00007780"/>
    <w:rsid w:val="000077C5"/>
    <w:rsid w:val="00007D18"/>
    <w:rsid w:val="00007D2E"/>
    <w:rsid w:val="00007DF2"/>
    <w:rsid w:val="00007E1A"/>
    <w:rsid w:val="00007F42"/>
    <w:rsid w:val="00007F7C"/>
    <w:rsid w:val="00007F7F"/>
    <w:rsid w:val="000101E3"/>
    <w:rsid w:val="00010281"/>
    <w:rsid w:val="00010891"/>
    <w:rsid w:val="00010B27"/>
    <w:rsid w:val="00010E23"/>
    <w:rsid w:val="00011483"/>
    <w:rsid w:val="000116FA"/>
    <w:rsid w:val="000119EE"/>
    <w:rsid w:val="00011BDD"/>
    <w:rsid w:val="00012524"/>
    <w:rsid w:val="00012530"/>
    <w:rsid w:val="000131D4"/>
    <w:rsid w:val="0001389E"/>
    <w:rsid w:val="00013925"/>
    <w:rsid w:val="000139FD"/>
    <w:rsid w:val="00013AD7"/>
    <w:rsid w:val="00014421"/>
    <w:rsid w:val="00014697"/>
    <w:rsid w:val="000149B2"/>
    <w:rsid w:val="000149DA"/>
    <w:rsid w:val="00014A21"/>
    <w:rsid w:val="00014F7D"/>
    <w:rsid w:val="0001503B"/>
    <w:rsid w:val="00015102"/>
    <w:rsid w:val="000159DA"/>
    <w:rsid w:val="00015A08"/>
    <w:rsid w:val="00015D11"/>
    <w:rsid w:val="00016621"/>
    <w:rsid w:val="00016ABE"/>
    <w:rsid w:val="00016CBE"/>
    <w:rsid w:val="00017338"/>
    <w:rsid w:val="00017A8B"/>
    <w:rsid w:val="00017B1A"/>
    <w:rsid w:val="00017DE5"/>
    <w:rsid w:val="000209D5"/>
    <w:rsid w:val="00020DEC"/>
    <w:rsid w:val="00021411"/>
    <w:rsid w:val="00021CA1"/>
    <w:rsid w:val="000222E1"/>
    <w:rsid w:val="00022603"/>
    <w:rsid w:val="000226CC"/>
    <w:rsid w:val="00023066"/>
    <w:rsid w:val="0002313F"/>
    <w:rsid w:val="0002381D"/>
    <w:rsid w:val="00023CD2"/>
    <w:rsid w:val="00024D3C"/>
    <w:rsid w:val="00024DBD"/>
    <w:rsid w:val="00024E05"/>
    <w:rsid w:val="00025027"/>
    <w:rsid w:val="000252D9"/>
    <w:rsid w:val="00025506"/>
    <w:rsid w:val="00025653"/>
    <w:rsid w:val="00025768"/>
    <w:rsid w:val="00025EBF"/>
    <w:rsid w:val="000262DE"/>
    <w:rsid w:val="00026E5D"/>
    <w:rsid w:val="000271FD"/>
    <w:rsid w:val="00027281"/>
    <w:rsid w:val="00027414"/>
    <w:rsid w:val="0002799C"/>
    <w:rsid w:val="00027B84"/>
    <w:rsid w:val="00027B92"/>
    <w:rsid w:val="00030043"/>
    <w:rsid w:val="00030102"/>
    <w:rsid w:val="00030B26"/>
    <w:rsid w:val="00030EEC"/>
    <w:rsid w:val="00030F3A"/>
    <w:rsid w:val="000310DA"/>
    <w:rsid w:val="00031287"/>
    <w:rsid w:val="000313C4"/>
    <w:rsid w:val="0003154C"/>
    <w:rsid w:val="000316B9"/>
    <w:rsid w:val="00031D54"/>
    <w:rsid w:val="00032865"/>
    <w:rsid w:val="00032DD1"/>
    <w:rsid w:val="0003327C"/>
    <w:rsid w:val="00033415"/>
    <w:rsid w:val="0003350E"/>
    <w:rsid w:val="0003367B"/>
    <w:rsid w:val="000338D5"/>
    <w:rsid w:val="00033A0F"/>
    <w:rsid w:val="000340F0"/>
    <w:rsid w:val="000352C8"/>
    <w:rsid w:val="0003586B"/>
    <w:rsid w:val="00035C04"/>
    <w:rsid w:val="00036256"/>
    <w:rsid w:val="00037161"/>
    <w:rsid w:val="000372D3"/>
    <w:rsid w:val="00037384"/>
    <w:rsid w:val="00037D75"/>
    <w:rsid w:val="00040681"/>
    <w:rsid w:val="00040A92"/>
    <w:rsid w:val="0004101E"/>
    <w:rsid w:val="000410A9"/>
    <w:rsid w:val="000419A4"/>
    <w:rsid w:val="00041E80"/>
    <w:rsid w:val="00042425"/>
    <w:rsid w:val="00042679"/>
    <w:rsid w:val="0004276F"/>
    <w:rsid w:val="00042B2E"/>
    <w:rsid w:val="00042D22"/>
    <w:rsid w:val="00042F61"/>
    <w:rsid w:val="0004336E"/>
    <w:rsid w:val="000436D9"/>
    <w:rsid w:val="00043951"/>
    <w:rsid w:val="0004399F"/>
    <w:rsid w:val="00043A1B"/>
    <w:rsid w:val="00043B47"/>
    <w:rsid w:val="00043E76"/>
    <w:rsid w:val="00044152"/>
    <w:rsid w:val="0004425F"/>
    <w:rsid w:val="000449FD"/>
    <w:rsid w:val="00045551"/>
    <w:rsid w:val="00045609"/>
    <w:rsid w:val="00045C89"/>
    <w:rsid w:val="00045DE7"/>
    <w:rsid w:val="00045F12"/>
    <w:rsid w:val="000463FA"/>
    <w:rsid w:val="000466C5"/>
    <w:rsid w:val="000471C3"/>
    <w:rsid w:val="000474C4"/>
    <w:rsid w:val="00047771"/>
    <w:rsid w:val="000505E9"/>
    <w:rsid w:val="00050DBA"/>
    <w:rsid w:val="0005102A"/>
    <w:rsid w:val="000514FF"/>
    <w:rsid w:val="000515C0"/>
    <w:rsid w:val="00051802"/>
    <w:rsid w:val="00051EC4"/>
    <w:rsid w:val="0005204B"/>
    <w:rsid w:val="0005209F"/>
    <w:rsid w:val="00052370"/>
    <w:rsid w:val="00052433"/>
    <w:rsid w:val="00052929"/>
    <w:rsid w:val="00052FBF"/>
    <w:rsid w:val="0005328B"/>
    <w:rsid w:val="00053850"/>
    <w:rsid w:val="00054169"/>
    <w:rsid w:val="000544EF"/>
    <w:rsid w:val="0005465C"/>
    <w:rsid w:val="00054BDF"/>
    <w:rsid w:val="00054CA8"/>
    <w:rsid w:val="00054F56"/>
    <w:rsid w:val="00054FC6"/>
    <w:rsid w:val="000552E1"/>
    <w:rsid w:val="00055606"/>
    <w:rsid w:val="00055E7C"/>
    <w:rsid w:val="00055F2F"/>
    <w:rsid w:val="00056D4A"/>
    <w:rsid w:val="00057033"/>
    <w:rsid w:val="000574E4"/>
    <w:rsid w:val="000576EE"/>
    <w:rsid w:val="00060334"/>
    <w:rsid w:val="0006121E"/>
    <w:rsid w:val="00061BC2"/>
    <w:rsid w:val="00061C4C"/>
    <w:rsid w:val="00061F27"/>
    <w:rsid w:val="0006236C"/>
    <w:rsid w:val="000624F7"/>
    <w:rsid w:val="000628D5"/>
    <w:rsid w:val="00062969"/>
    <w:rsid w:val="00062FC7"/>
    <w:rsid w:val="000631C9"/>
    <w:rsid w:val="00063B5A"/>
    <w:rsid w:val="00063FBD"/>
    <w:rsid w:val="00064BB4"/>
    <w:rsid w:val="000651F6"/>
    <w:rsid w:val="000659C7"/>
    <w:rsid w:val="00065E9C"/>
    <w:rsid w:val="00066235"/>
    <w:rsid w:val="00066288"/>
    <w:rsid w:val="00066612"/>
    <w:rsid w:val="00066ED7"/>
    <w:rsid w:val="00066EFA"/>
    <w:rsid w:val="00066F89"/>
    <w:rsid w:val="000674BA"/>
    <w:rsid w:val="000677E2"/>
    <w:rsid w:val="00067A72"/>
    <w:rsid w:val="00070994"/>
    <w:rsid w:val="00070D9B"/>
    <w:rsid w:val="00071070"/>
    <w:rsid w:val="00071252"/>
    <w:rsid w:val="00072E47"/>
    <w:rsid w:val="000738C2"/>
    <w:rsid w:val="00073BE8"/>
    <w:rsid w:val="00073F29"/>
    <w:rsid w:val="0007402C"/>
    <w:rsid w:val="000747DC"/>
    <w:rsid w:val="00074B19"/>
    <w:rsid w:val="00074E3C"/>
    <w:rsid w:val="00075034"/>
    <w:rsid w:val="0007524D"/>
    <w:rsid w:val="000756E0"/>
    <w:rsid w:val="000759B2"/>
    <w:rsid w:val="00075B3E"/>
    <w:rsid w:val="00075BFE"/>
    <w:rsid w:val="00076535"/>
    <w:rsid w:val="00076879"/>
    <w:rsid w:val="00076B05"/>
    <w:rsid w:val="000777F4"/>
    <w:rsid w:val="00077A4A"/>
    <w:rsid w:val="000802A6"/>
    <w:rsid w:val="0008072E"/>
    <w:rsid w:val="00080780"/>
    <w:rsid w:val="000807B4"/>
    <w:rsid w:val="00080887"/>
    <w:rsid w:val="00080A59"/>
    <w:rsid w:val="00080A77"/>
    <w:rsid w:val="000810C7"/>
    <w:rsid w:val="00081146"/>
    <w:rsid w:val="000812C2"/>
    <w:rsid w:val="00081454"/>
    <w:rsid w:val="00081958"/>
    <w:rsid w:val="00081E7E"/>
    <w:rsid w:val="00082A81"/>
    <w:rsid w:val="000838DE"/>
    <w:rsid w:val="00083936"/>
    <w:rsid w:val="00083F22"/>
    <w:rsid w:val="0008442B"/>
    <w:rsid w:val="000847E0"/>
    <w:rsid w:val="00084A7F"/>
    <w:rsid w:val="00085A7C"/>
    <w:rsid w:val="00085ED8"/>
    <w:rsid w:val="0009036A"/>
    <w:rsid w:val="00090520"/>
    <w:rsid w:val="00090820"/>
    <w:rsid w:val="00091337"/>
    <w:rsid w:val="00091465"/>
    <w:rsid w:val="000918FC"/>
    <w:rsid w:val="00091C01"/>
    <w:rsid w:val="00091C60"/>
    <w:rsid w:val="00091EF0"/>
    <w:rsid w:val="00092076"/>
    <w:rsid w:val="000925A0"/>
    <w:rsid w:val="00092C1F"/>
    <w:rsid w:val="00092D24"/>
    <w:rsid w:val="00092F18"/>
    <w:rsid w:val="0009356D"/>
    <w:rsid w:val="00093C1A"/>
    <w:rsid w:val="00093C49"/>
    <w:rsid w:val="00093D4A"/>
    <w:rsid w:val="0009421F"/>
    <w:rsid w:val="000942CB"/>
    <w:rsid w:val="000944D3"/>
    <w:rsid w:val="00095C90"/>
    <w:rsid w:val="00095E21"/>
    <w:rsid w:val="0009619D"/>
    <w:rsid w:val="0009694D"/>
    <w:rsid w:val="00096FF2"/>
    <w:rsid w:val="00097A34"/>
    <w:rsid w:val="00097F80"/>
    <w:rsid w:val="000A0C5E"/>
    <w:rsid w:val="000A16FD"/>
    <w:rsid w:val="000A1F47"/>
    <w:rsid w:val="000A2AA7"/>
    <w:rsid w:val="000A2DD9"/>
    <w:rsid w:val="000A2DF7"/>
    <w:rsid w:val="000A3545"/>
    <w:rsid w:val="000A37CC"/>
    <w:rsid w:val="000A3FCD"/>
    <w:rsid w:val="000A4C44"/>
    <w:rsid w:val="000A5596"/>
    <w:rsid w:val="000A5951"/>
    <w:rsid w:val="000A5B16"/>
    <w:rsid w:val="000A630C"/>
    <w:rsid w:val="000A6519"/>
    <w:rsid w:val="000A66D4"/>
    <w:rsid w:val="000A6A17"/>
    <w:rsid w:val="000A73E3"/>
    <w:rsid w:val="000A77F2"/>
    <w:rsid w:val="000A7DAB"/>
    <w:rsid w:val="000B0B8F"/>
    <w:rsid w:val="000B1536"/>
    <w:rsid w:val="000B1C4B"/>
    <w:rsid w:val="000B1C76"/>
    <w:rsid w:val="000B2599"/>
    <w:rsid w:val="000B279D"/>
    <w:rsid w:val="000B2837"/>
    <w:rsid w:val="000B2F51"/>
    <w:rsid w:val="000B345B"/>
    <w:rsid w:val="000B3908"/>
    <w:rsid w:val="000B3A22"/>
    <w:rsid w:val="000B3B56"/>
    <w:rsid w:val="000B3CD2"/>
    <w:rsid w:val="000B3DC8"/>
    <w:rsid w:val="000B3EBD"/>
    <w:rsid w:val="000B40E3"/>
    <w:rsid w:val="000B4478"/>
    <w:rsid w:val="000B4481"/>
    <w:rsid w:val="000B472A"/>
    <w:rsid w:val="000B475D"/>
    <w:rsid w:val="000B4A76"/>
    <w:rsid w:val="000B4E32"/>
    <w:rsid w:val="000B50E6"/>
    <w:rsid w:val="000B59AE"/>
    <w:rsid w:val="000B5ADB"/>
    <w:rsid w:val="000B5F19"/>
    <w:rsid w:val="000B6847"/>
    <w:rsid w:val="000B6F21"/>
    <w:rsid w:val="000B6FF8"/>
    <w:rsid w:val="000B703D"/>
    <w:rsid w:val="000B7117"/>
    <w:rsid w:val="000B78A4"/>
    <w:rsid w:val="000B7D71"/>
    <w:rsid w:val="000B7F42"/>
    <w:rsid w:val="000C0352"/>
    <w:rsid w:val="000C03C9"/>
    <w:rsid w:val="000C0539"/>
    <w:rsid w:val="000C096F"/>
    <w:rsid w:val="000C0D6E"/>
    <w:rsid w:val="000C1038"/>
    <w:rsid w:val="000C1BDC"/>
    <w:rsid w:val="000C1C45"/>
    <w:rsid w:val="000C1D36"/>
    <w:rsid w:val="000C26DA"/>
    <w:rsid w:val="000C2B41"/>
    <w:rsid w:val="000C2D05"/>
    <w:rsid w:val="000C32AE"/>
    <w:rsid w:val="000C3D89"/>
    <w:rsid w:val="000C3EE5"/>
    <w:rsid w:val="000C463D"/>
    <w:rsid w:val="000C5096"/>
    <w:rsid w:val="000C50B3"/>
    <w:rsid w:val="000C5802"/>
    <w:rsid w:val="000C5828"/>
    <w:rsid w:val="000C5E33"/>
    <w:rsid w:val="000C66AA"/>
    <w:rsid w:val="000C6D3D"/>
    <w:rsid w:val="000C708D"/>
    <w:rsid w:val="000C78FE"/>
    <w:rsid w:val="000C7910"/>
    <w:rsid w:val="000C7A21"/>
    <w:rsid w:val="000D00C4"/>
    <w:rsid w:val="000D03BB"/>
    <w:rsid w:val="000D0610"/>
    <w:rsid w:val="000D084E"/>
    <w:rsid w:val="000D0E06"/>
    <w:rsid w:val="000D1053"/>
    <w:rsid w:val="000D12E7"/>
    <w:rsid w:val="000D13A8"/>
    <w:rsid w:val="000D21D0"/>
    <w:rsid w:val="000D26F2"/>
    <w:rsid w:val="000D2BC5"/>
    <w:rsid w:val="000D2F79"/>
    <w:rsid w:val="000D32C2"/>
    <w:rsid w:val="000D3334"/>
    <w:rsid w:val="000D3A35"/>
    <w:rsid w:val="000D3C62"/>
    <w:rsid w:val="000D3CD9"/>
    <w:rsid w:val="000D3D4E"/>
    <w:rsid w:val="000D4334"/>
    <w:rsid w:val="000D47FA"/>
    <w:rsid w:val="000D4EB4"/>
    <w:rsid w:val="000D5166"/>
    <w:rsid w:val="000D56ED"/>
    <w:rsid w:val="000D5FFE"/>
    <w:rsid w:val="000D6405"/>
    <w:rsid w:val="000D6759"/>
    <w:rsid w:val="000D6A21"/>
    <w:rsid w:val="000D6C2C"/>
    <w:rsid w:val="000D6C39"/>
    <w:rsid w:val="000D7176"/>
    <w:rsid w:val="000D789A"/>
    <w:rsid w:val="000D7D8C"/>
    <w:rsid w:val="000E0411"/>
    <w:rsid w:val="000E0A9F"/>
    <w:rsid w:val="000E1079"/>
    <w:rsid w:val="000E1F1D"/>
    <w:rsid w:val="000E218F"/>
    <w:rsid w:val="000E250C"/>
    <w:rsid w:val="000E28D8"/>
    <w:rsid w:val="000E2B84"/>
    <w:rsid w:val="000E3005"/>
    <w:rsid w:val="000E3034"/>
    <w:rsid w:val="000E399F"/>
    <w:rsid w:val="000E39F0"/>
    <w:rsid w:val="000E3B2F"/>
    <w:rsid w:val="000E50B1"/>
    <w:rsid w:val="000E50D0"/>
    <w:rsid w:val="000E51A3"/>
    <w:rsid w:val="000E5243"/>
    <w:rsid w:val="000E53DA"/>
    <w:rsid w:val="000E585D"/>
    <w:rsid w:val="000E5AEC"/>
    <w:rsid w:val="000E5C38"/>
    <w:rsid w:val="000E5EE1"/>
    <w:rsid w:val="000E609B"/>
    <w:rsid w:val="000E617C"/>
    <w:rsid w:val="000E6B9D"/>
    <w:rsid w:val="000E6CBB"/>
    <w:rsid w:val="000E6E9D"/>
    <w:rsid w:val="000E7096"/>
    <w:rsid w:val="000E71FA"/>
    <w:rsid w:val="000E7701"/>
    <w:rsid w:val="000E7C02"/>
    <w:rsid w:val="000E7C66"/>
    <w:rsid w:val="000F0276"/>
    <w:rsid w:val="000F0297"/>
    <w:rsid w:val="000F0476"/>
    <w:rsid w:val="000F0767"/>
    <w:rsid w:val="000F07B1"/>
    <w:rsid w:val="000F0A85"/>
    <w:rsid w:val="000F0AD4"/>
    <w:rsid w:val="000F0E84"/>
    <w:rsid w:val="000F10D9"/>
    <w:rsid w:val="000F1449"/>
    <w:rsid w:val="000F16C6"/>
    <w:rsid w:val="000F1A4D"/>
    <w:rsid w:val="000F1CAD"/>
    <w:rsid w:val="000F1FBE"/>
    <w:rsid w:val="000F3115"/>
    <w:rsid w:val="000F37F6"/>
    <w:rsid w:val="000F3FA4"/>
    <w:rsid w:val="000F4465"/>
    <w:rsid w:val="000F4594"/>
    <w:rsid w:val="000F4BEF"/>
    <w:rsid w:val="000F4EC7"/>
    <w:rsid w:val="000F5037"/>
    <w:rsid w:val="000F5969"/>
    <w:rsid w:val="000F5CC1"/>
    <w:rsid w:val="000F5D48"/>
    <w:rsid w:val="000F658D"/>
    <w:rsid w:val="000F683B"/>
    <w:rsid w:val="000F6D0F"/>
    <w:rsid w:val="000F71CC"/>
    <w:rsid w:val="000F7247"/>
    <w:rsid w:val="000F7279"/>
    <w:rsid w:val="000F7404"/>
    <w:rsid w:val="0010009D"/>
    <w:rsid w:val="001002B1"/>
    <w:rsid w:val="001007D2"/>
    <w:rsid w:val="00100B99"/>
    <w:rsid w:val="00100FAA"/>
    <w:rsid w:val="0010118E"/>
    <w:rsid w:val="00101389"/>
    <w:rsid w:val="00101A85"/>
    <w:rsid w:val="00101AA5"/>
    <w:rsid w:val="0010243B"/>
    <w:rsid w:val="001026DD"/>
    <w:rsid w:val="00102905"/>
    <w:rsid w:val="00102B03"/>
    <w:rsid w:val="00102C88"/>
    <w:rsid w:val="001031D3"/>
    <w:rsid w:val="001034CE"/>
    <w:rsid w:val="001038FF"/>
    <w:rsid w:val="00103A88"/>
    <w:rsid w:val="00103C08"/>
    <w:rsid w:val="00103F96"/>
    <w:rsid w:val="0010408D"/>
    <w:rsid w:val="0010463C"/>
    <w:rsid w:val="00104670"/>
    <w:rsid w:val="00104766"/>
    <w:rsid w:val="001047AB"/>
    <w:rsid w:val="00104BD0"/>
    <w:rsid w:val="00105851"/>
    <w:rsid w:val="001059B2"/>
    <w:rsid w:val="00105A84"/>
    <w:rsid w:val="00106002"/>
    <w:rsid w:val="001062CD"/>
    <w:rsid w:val="00106417"/>
    <w:rsid w:val="001065F6"/>
    <w:rsid w:val="00107138"/>
    <w:rsid w:val="001075DA"/>
    <w:rsid w:val="00107C32"/>
    <w:rsid w:val="0011020D"/>
    <w:rsid w:val="00110230"/>
    <w:rsid w:val="0011059A"/>
    <w:rsid w:val="001105BE"/>
    <w:rsid w:val="0011060E"/>
    <w:rsid w:val="00110ED7"/>
    <w:rsid w:val="00110F76"/>
    <w:rsid w:val="0011112D"/>
    <w:rsid w:val="0011139B"/>
    <w:rsid w:val="0011140C"/>
    <w:rsid w:val="0011233F"/>
    <w:rsid w:val="001128E5"/>
    <w:rsid w:val="00112AE6"/>
    <w:rsid w:val="00112D7B"/>
    <w:rsid w:val="0011405E"/>
    <w:rsid w:val="001142F1"/>
    <w:rsid w:val="0011434D"/>
    <w:rsid w:val="001147E3"/>
    <w:rsid w:val="00115405"/>
    <w:rsid w:val="001159B5"/>
    <w:rsid w:val="00115A33"/>
    <w:rsid w:val="00116369"/>
    <w:rsid w:val="00116EEF"/>
    <w:rsid w:val="0011730A"/>
    <w:rsid w:val="001173A8"/>
    <w:rsid w:val="00120050"/>
    <w:rsid w:val="001201F3"/>
    <w:rsid w:val="0012062C"/>
    <w:rsid w:val="0012067F"/>
    <w:rsid w:val="00120D0B"/>
    <w:rsid w:val="00120F75"/>
    <w:rsid w:val="001216D9"/>
    <w:rsid w:val="001218A6"/>
    <w:rsid w:val="001218D7"/>
    <w:rsid w:val="00121FA0"/>
    <w:rsid w:val="00122C67"/>
    <w:rsid w:val="001233BF"/>
    <w:rsid w:val="00123582"/>
    <w:rsid w:val="0012415F"/>
    <w:rsid w:val="00124845"/>
    <w:rsid w:val="001248F5"/>
    <w:rsid w:val="001249AD"/>
    <w:rsid w:val="00124BCD"/>
    <w:rsid w:val="00124C0D"/>
    <w:rsid w:val="00124FDD"/>
    <w:rsid w:val="001255C5"/>
    <w:rsid w:val="00125F40"/>
    <w:rsid w:val="00126482"/>
    <w:rsid w:val="00126E5A"/>
    <w:rsid w:val="00127756"/>
    <w:rsid w:val="00127A39"/>
    <w:rsid w:val="00127E5A"/>
    <w:rsid w:val="00127EEC"/>
    <w:rsid w:val="001303D5"/>
    <w:rsid w:val="0013046E"/>
    <w:rsid w:val="001307FE"/>
    <w:rsid w:val="00130BCA"/>
    <w:rsid w:val="00131565"/>
    <w:rsid w:val="00131603"/>
    <w:rsid w:val="00131745"/>
    <w:rsid w:val="00131A68"/>
    <w:rsid w:val="00131C0D"/>
    <w:rsid w:val="001328D3"/>
    <w:rsid w:val="00132E0F"/>
    <w:rsid w:val="00132FAF"/>
    <w:rsid w:val="00132FFC"/>
    <w:rsid w:val="0013311C"/>
    <w:rsid w:val="0013312B"/>
    <w:rsid w:val="0013457B"/>
    <w:rsid w:val="00134AF3"/>
    <w:rsid w:val="00134B03"/>
    <w:rsid w:val="00135BBA"/>
    <w:rsid w:val="00135F7B"/>
    <w:rsid w:val="001360EE"/>
    <w:rsid w:val="001361CA"/>
    <w:rsid w:val="00136CDD"/>
    <w:rsid w:val="0013766C"/>
    <w:rsid w:val="00137802"/>
    <w:rsid w:val="00137914"/>
    <w:rsid w:val="00137D4F"/>
    <w:rsid w:val="00137DF8"/>
    <w:rsid w:val="00137E80"/>
    <w:rsid w:val="00140446"/>
    <w:rsid w:val="00140D04"/>
    <w:rsid w:val="00140D7A"/>
    <w:rsid w:val="00141BFB"/>
    <w:rsid w:val="00141DFC"/>
    <w:rsid w:val="00141ED1"/>
    <w:rsid w:val="00142017"/>
    <w:rsid w:val="00142062"/>
    <w:rsid w:val="001420E6"/>
    <w:rsid w:val="00142497"/>
    <w:rsid w:val="001429FA"/>
    <w:rsid w:val="00142A25"/>
    <w:rsid w:val="001432C0"/>
    <w:rsid w:val="0014353E"/>
    <w:rsid w:val="001435C3"/>
    <w:rsid w:val="00143DEE"/>
    <w:rsid w:val="00143EF2"/>
    <w:rsid w:val="001442CC"/>
    <w:rsid w:val="00144557"/>
    <w:rsid w:val="001445ED"/>
    <w:rsid w:val="00144680"/>
    <w:rsid w:val="001455C9"/>
    <w:rsid w:val="001455EB"/>
    <w:rsid w:val="00145AEE"/>
    <w:rsid w:val="00145E07"/>
    <w:rsid w:val="00145F30"/>
    <w:rsid w:val="001462A9"/>
    <w:rsid w:val="00146542"/>
    <w:rsid w:val="0014692D"/>
    <w:rsid w:val="00146BD8"/>
    <w:rsid w:val="00146CCE"/>
    <w:rsid w:val="00146F7A"/>
    <w:rsid w:val="00147226"/>
    <w:rsid w:val="001474CE"/>
    <w:rsid w:val="00147B64"/>
    <w:rsid w:val="00147F70"/>
    <w:rsid w:val="0015052A"/>
    <w:rsid w:val="001505A8"/>
    <w:rsid w:val="001507B2"/>
    <w:rsid w:val="00150950"/>
    <w:rsid w:val="00150A15"/>
    <w:rsid w:val="00151C1C"/>
    <w:rsid w:val="00152C3B"/>
    <w:rsid w:val="00152CDF"/>
    <w:rsid w:val="0015334C"/>
    <w:rsid w:val="00153F75"/>
    <w:rsid w:val="00154307"/>
    <w:rsid w:val="001553B3"/>
    <w:rsid w:val="001555A1"/>
    <w:rsid w:val="00155A13"/>
    <w:rsid w:val="0015696D"/>
    <w:rsid w:val="00156AF6"/>
    <w:rsid w:val="00156B9A"/>
    <w:rsid w:val="00156DC1"/>
    <w:rsid w:val="00156EC6"/>
    <w:rsid w:val="00156F40"/>
    <w:rsid w:val="00156F9C"/>
    <w:rsid w:val="0015728F"/>
    <w:rsid w:val="00157301"/>
    <w:rsid w:val="0015730C"/>
    <w:rsid w:val="00157801"/>
    <w:rsid w:val="001579C4"/>
    <w:rsid w:val="00157AA0"/>
    <w:rsid w:val="00157D1C"/>
    <w:rsid w:val="00157E67"/>
    <w:rsid w:val="0016009B"/>
    <w:rsid w:val="001604B2"/>
    <w:rsid w:val="00160B8A"/>
    <w:rsid w:val="00161323"/>
    <w:rsid w:val="00161327"/>
    <w:rsid w:val="001618A0"/>
    <w:rsid w:val="001618CE"/>
    <w:rsid w:val="00161B85"/>
    <w:rsid w:val="00161D8B"/>
    <w:rsid w:val="00161E45"/>
    <w:rsid w:val="00161E59"/>
    <w:rsid w:val="00162245"/>
    <w:rsid w:val="00163140"/>
    <w:rsid w:val="001638DE"/>
    <w:rsid w:val="00164339"/>
    <w:rsid w:val="00164817"/>
    <w:rsid w:val="00164C86"/>
    <w:rsid w:val="001658A9"/>
    <w:rsid w:val="00165D1A"/>
    <w:rsid w:val="00165E1E"/>
    <w:rsid w:val="00165E3D"/>
    <w:rsid w:val="0016687D"/>
    <w:rsid w:val="0016697E"/>
    <w:rsid w:val="001672C8"/>
    <w:rsid w:val="001703FC"/>
    <w:rsid w:val="0017050E"/>
    <w:rsid w:val="00170B7F"/>
    <w:rsid w:val="00170CAE"/>
    <w:rsid w:val="00170DF2"/>
    <w:rsid w:val="00170ED4"/>
    <w:rsid w:val="001711C3"/>
    <w:rsid w:val="0017145C"/>
    <w:rsid w:val="0017188B"/>
    <w:rsid w:val="00171DCD"/>
    <w:rsid w:val="00172113"/>
    <w:rsid w:val="0017299E"/>
    <w:rsid w:val="00172B20"/>
    <w:rsid w:val="001730F7"/>
    <w:rsid w:val="00173452"/>
    <w:rsid w:val="001734ED"/>
    <w:rsid w:val="0017395C"/>
    <w:rsid w:val="00173D84"/>
    <w:rsid w:val="00173EE3"/>
    <w:rsid w:val="00173F93"/>
    <w:rsid w:val="00174195"/>
    <w:rsid w:val="0017447A"/>
    <w:rsid w:val="0017495C"/>
    <w:rsid w:val="0017515C"/>
    <w:rsid w:val="001751F7"/>
    <w:rsid w:val="0017528E"/>
    <w:rsid w:val="00175616"/>
    <w:rsid w:val="00175DBA"/>
    <w:rsid w:val="00175EA0"/>
    <w:rsid w:val="00175F08"/>
    <w:rsid w:val="0017606A"/>
    <w:rsid w:val="00176645"/>
    <w:rsid w:val="00177AB4"/>
    <w:rsid w:val="00180488"/>
    <w:rsid w:val="00180624"/>
    <w:rsid w:val="00180710"/>
    <w:rsid w:val="00180723"/>
    <w:rsid w:val="001809A1"/>
    <w:rsid w:val="00180DF8"/>
    <w:rsid w:val="00180FF9"/>
    <w:rsid w:val="0018156D"/>
    <w:rsid w:val="001818CA"/>
    <w:rsid w:val="00181E0E"/>
    <w:rsid w:val="00182F88"/>
    <w:rsid w:val="001832B4"/>
    <w:rsid w:val="00183C51"/>
    <w:rsid w:val="00183C91"/>
    <w:rsid w:val="00183CFD"/>
    <w:rsid w:val="00184313"/>
    <w:rsid w:val="00184680"/>
    <w:rsid w:val="00184972"/>
    <w:rsid w:val="00184B40"/>
    <w:rsid w:val="00184E24"/>
    <w:rsid w:val="001850CC"/>
    <w:rsid w:val="001854E4"/>
    <w:rsid w:val="00185517"/>
    <w:rsid w:val="00185C36"/>
    <w:rsid w:val="00185C7C"/>
    <w:rsid w:val="00185DE5"/>
    <w:rsid w:val="00186577"/>
    <w:rsid w:val="001865A0"/>
    <w:rsid w:val="0018661A"/>
    <w:rsid w:val="00187048"/>
    <w:rsid w:val="00187763"/>
    <w:rsid w:val="00187CA4"/>
    <w:rsid w:val="00187D84"/>
    <w:rsid w:val="0019060A"/>
    <w:rsid w:val="00190DC8"/>
    <w:rsid w:val="00191740"/>
    <w:rsid w:val="001918CE"/>
    <w:rsid w:val="001919F5"/>
    <w:rsid w:val="00191AAD"/>
    <w:rsid w:val="00191C01"/>
    <w:rsid w:val="00191C89"/>
    <w:rsid w:val="00192223"/>
    <w:rsid w:val="00192399"/>
    <w:rsid w:val="001923C3"/>
    <w:rsid w:val="001928F7"/>
    <w:rsid w:val="001930CA"/>
    <w:rsid w:val="001930FA"/>
    <w:rsid w:val="00193175"/>
    <w:rsid w:val="001932D3"/>
    <w:rsid w:val="00193573"/>
    <w:rsid w:val="00193C59"/>
    <w:rsid w:val="00193ED0"/>
    <w:rsid w:val="0019417C"/>
    <w:rsid w:val="00194259"/>
    <w:rsid w:val="00195102"/>
    <w:rsid w:val="0019522A"/>
    <w:rsid w:val="00195337"/>
    <w:rsid w:val="001953C0"/>
    <w:rsid w:val="00195AE3"/>
    <w:rsid w:val="00195B27"/>
    <w:rsid w:val="001966D3"/>
    <w:rsid w:val="00197410"/>
    <w:rsid w:val="00197A46"/>
    <w:rsid w:val="00197DBE"/>
    <w:rsid w:val="00197F73"/>
    <w:rsid w:val="001A03DF"/>
    <w:rsid w:val="001A0448"/>
    <w:rsid w:val="001A04A8"/>
    <w:rsid w:val="001A0590"/>
    <w:rsid w:val="001A0D75"/>
    <w:rsid w:val="001A10A5"/>
    <w:rsid w:val="001A117D"/>
    <w:rsid w:val="001A1449"/>
    <w:rsid w:val="001A1C83"/>
    <w:rsid w:val="001A2105"/>
    <w:rsid w:val="001A231B"/>
    <w:rsid w:val="001A29C4"/>
    <w:rsid w:val="001A31B5"/>
    <w:rsid w:val="001A406E"/>
    <w:rsid w:val="001A430B"/>
    <w:rsid w:val="001A4851"/>
    <w:rsid w:val="001A4A39"/>
    <w:rsid w:val="001A5592"/>
    <w:rsid w:val="001A5847"/>
    <w:rsid w:val="001A5E27"/>
    <w:rsid w:val="001A5E38"/>
    <w:rsid w:val="001A6895"/>
    <w:rsid w:val="001A75F6"/>
    <w:rsid w:val="001A79F4"/>
    <w:rsid w:val="001A7ABF"/>
    <w:rsid w:val="001B0466"/>
    <w:rsid w:val="001B056C"/>
    <w:rsid w:val="001B1278"/>
    <w:rsid w:val="001B1574"/>
    <w:rsid w:val="001B192F"/>
    <w:rsid w:val="001B19FE"/>
    <w:rsid w:val="001B1D57"/>
    <w:rsid w:val="001B1FB0"/>
    <w:rsid w:val="001B21D9"/>
    <w:rsid w:val="001B2547"/>
    <w:rsid w:val="001B2810"/>
    <w:rsid w:val="001B2A1D"/>
    <w:rsid w:val="001B2BC2"/>
    <w:rsid w:val="001B2C50"/>
    <w:rsid w:val="001B2DC5"/>
    <w:rsid w:val="001B2F85"/>
    <w:rsid w:val="001B32B7"/>
    <w:rsid w:val="001B3D41"/>
    <w:rsid w:val="001B4014"/>
    <w:rsid w:val="001B426A"/>
    <w:rsid w:val="001B43A3"/>
    <w:rsid w:val="001B459F"/>
    <w:rsid w:val="001B491B"/>
    <w:rsid w:val="001B49A7"/>
    <w:rsid w:val="001B4B7E"/>
    <w:rsid w:val="001B5045"/>
    <w:rsid w:val="001B5085"/>
    <w:rsid w:val="001B544E"/>
    <w:rsid w:val="001B54D1"/>
    <w:rsid w:val="001B5714"/>
    <w:rsid w:val="001B61B5"/>
    <w:rsid w:val="001B61D5"/>
    <w:rsid w:val="001B683A"/>
    <w:rsid w:val="001B6C2A"/>
    <w:rsid w:val="001B6F24"/>
    <w:rsid w:val="001B7187"/>
    <w:rsid w:val="001B76D9"/>
    <w:rsid w:val="001B7929"/>
    <w:rsid w:val="001B7C3E"/>
    <w:rsid w:val="001C0113"/>
    <w:rsid w:val="001C0A81"/>
    <w:rsid w:val="001C0C51"/>
    <w:rsid w:val="001C0D0C"/>
    <w:rsid w:val="001C11AB"/>
    <w:rsid w:val="001C1232"/>
    <w:rsid w:val="001C12C1"/>
    <w:rsid w:val="001C13B6"/>
    <w:rsid w:val="001C1BBC"/>
    <w:rsid w:val="001C210B"/>
    <w:rsid w:val="001C2410"/>
    <w:rsid w:val="001C2440"/>
    <w:rsid w:val="001C2B6B"/>
    <w:rsid w:val="001C309A"/>
    <w:rsid w:val="001C31D6"/>
    <w:rsid w:val="001C3259"/>
    <w:rsid w:val="001C39CD"/>
    <w:rsid w:val="001C3D8D"/>
    <w:rsid w:val="001C46A3"/>
    <w:rsid w:val="001C47AE"/>
    <w:rsid w:val="001C48EF"/>
    <w:rsid w:val="001C50FA"/>
    <w:rsid w:val="001C5514"/>
    <w:rsid w:val="001C5C7A"/>
    <w:rsid w:val="001C605D"/>
    <w:rsid w:val="001C60AE"/>
    <w:rsid w:val="001C617F"/>
    <w:rsid w:val="001C61D2"/>
    <w:rsid w:val="001C64E7"/>
    <w:rsid w:val="001C68C2"/>
    <w:rsid w:val="001C6D69"/>
    <w:rsid w:val="001C75E6"/>
    <w:rsid w:val="001C7608"/>
    <w:rsid w:val="001C77EA"/>
    <w:rsid w:val="001C7972"/>
    <w:rsid w:val="001C79E6"/>
    <w:rsid w:val="001C7B67"/>
    <w:rsid w:val="001C7CDC"/>
    <w:rsid w:val="001D0375"/>
    <w:rsid w:val="001D0642"/>
    <w:rsid w:val="001D06C7"/>
    <w:rsid w:val="001D082A"/>
    <w:rsid w:val="001D0B77"/>
    <w:rsid w:val="001D0BD2"/>
    <w:rsid w:val="001D0E89"/>
    <w:rsid w:val="001D10AD"/>
    <w:rsid w:val="001D149A"/>
    <w:rsid w:val="001D1E3C"/>
    <w:rsid w:val="001D30B6"/>
    <w:rsid w:val="001D30D3"/>
    <w:rsid w:val="001D3D87"/>
    <w:rsid w:val="001D3F71"/>
    <w:rsid w:val="001D41FF"/>
    <w:rsid w:val="001D49A2"/>
    <w:rsid w:val="001D4A11"/>
    <w:rsid w:val="001D4CF2"/>
    <w:rsid w:val="001D52B5"/>
    <w:rsid w:val="001D5644"/>
    <w:rsid w:val="001D5BBA"/>
    <w:rsid w:val="001D5C13"/>
    <w:rsid w:val="001D5CB1"/>
    <w:rsid w:val="001D5D18"/>
    <w:rsid w:val="001D5D22"/>
    <w:rsid w:val="001D5EE3"/>
    <w:rsid w:val="001D612E"/>
    <w:rsid w:val="001D63F5"/>
    <w:rsid w:val="001D662A"/>
    <w:rsid w:val="001D6771"/>
    <w:rsid w:val="001D6957"/>
    <w:rsid w:val="001D6F48"/>
    <w:rsid w:val="001D7D6E"/>
    <w:rsid w:val="001D7E98"/>
    <w:rsid w:val="001E00A6"/>
    <w:rsid w:val="001E0254"/>
    <w:rsid w:val="001E033F"/>
    <w:rsid w:val="001E0445"/>
    <w:rsid w:val="001E07FD"/>
    <w:rsid w:val="001E152A"/>
    <w:rsid w:val="001E1568"/>
    <w:rsid w:val="001E1B2F"/>
    <w:rsid w:val="001E1B51"/>
    <w:rsid w:val="001E1D76"/>
    <w:rsid w:val="001E2C39"/>
    <w:rsid w:val="001E2E32"/>
    <w:rsid w:val="001E34CB"/>
    <w:rsid w:val="001E38E7"/>
    <w:rsid w:val="001E3C9E"/>
    <w:rsid w:val="001E46FD"/>
    <w:rsid w:val="001E47A3"/>
    <w:rsid w:val="001E4A6B"/>
    <w:rsid w:val="001E4D03"/>
    <w:rsid w:val="001E5272"/>
    <w:rsid w:val="001E582F"/>
    <w:rsid w:val="001E5920"/>
    <w:rsid w:val="001E5AEE"/>
    <w:rsid w:val="001E5E87"/>
    <w:rsid w:val="001E632D"/>
    <w:rsid w:val="001E6693"/>
    <w:rsid w:val="001E6709"/>
    <w:rsid w:val="001E674E"/>
    <w:rsid w:val="001E6B10"/>
    <w:rsid w:val="001E6D56"/>
    <w:rsid w:val="001E6E56"/>
    <w:rsid w:val="001E724D"/>
    <w:rsid w:val="001E73EB"/>
    <w:rsid w:val="001E74F3"/>
    <w:rsid w:val="001E77DC"/>
    <w:rsid w:val="001E7893"/>
    <w:rsid w:val="001E79E8"/>
    <w:rsid w:val="001E7A28"/>
    <w:rsid w:val="001E7D50"/>
    <w:rsid w:val="001E7E85"/>
    <w:rsid w:val="001F0482"/>
    <w:rsid w:val="001F07C5"/>
    <w:rsid w:val="001F1069"/>
    <w:rsid w:val="001F11B1"/>
    <w:rsid w:val="001F12EB"/>
    <w:rsid w:val="001F130C"/>
    <w:rsid w:val="001F1472"/>
    <w:rsid w:val="001F14E3"/>
    <w:rsid w:val="001F158C"/>
    <w:rsid w:val="001F18D0"/>
    <w:rsid w:val="001F22E1"/>
    <w:rsid w:val="001F2504"/>
    <w:rsid w:val="001F28CD"/>
    <w:rsid w:val="001F2992"/>
    <w:rsid w:val="001F2AE7"/>
    <w:rsid w:val="001F2DE8"/>
    <w:rsid w:val="001F367E"/>
    <w:rsid w:val="001F4676"/>
    <w:rsid w:val="001F480B"/>
    <w:rsid w:val="001F499E"/>
    <w:rsid w:val="001F4AA9"/>
    <w:rsid w:val="001F506F"/>
    <w:rsid w:val="001F5266"/>
    <w:rsid w:val="001F531A"/>
    <w:rsid w:val="001F5CC4"/>
    <w:rsid w:val="001F5D74"/>
    <w:rsid w:val="001F6156"/>
    <w:rsid w:val="001F6CFA"/>
    <w:rsid w:val="001F7014"/>
    <w:rsid w:val="001F7055"/>
    <w:rsid w:val="001F789F"/>
    <w:rsid w:val="001F79BE"/>
    <w:rsid w:val="002000B9"/>
    <w:rsid w:val="00200252"/>
    <w:rsid w:val="0020043C"/>
    <w:rsid w:val="00201273"/>
    <w:rsid w:val="002013EB"/>
    <w:rsid w:val="00201545"/>
    <w:rsid w:val="0020196B"/>
    <w:rsid w:val="00201A80"/>
    <w:rsid w:val="00201F29"/>
    <w:rsid w:val="0020212C"/>
    <w:rsid w:val="00202198"/>
    <w:rsid w:val="002022F4"/>
    <w:rsid w:val="00202C19"/>
    <w:rsid w:val="00202D2A"/>
    <w:rsid w:val="002033E9"/>
    <w:rsid w:val="0020343F"/>
    <w:rsid w:val="002037CF"/>
    <w:rsid w:val="002038C1"/>
    <w:rsid w:val="00204203"/>
    <w:rsid w:val="00204ED4"/>
    <w:rsid w:val="002050D6"/>
    <w:rsid w:val="00205696"/>
    <w:rsid w:val="00205810"/>
    <w:rsid w:val="0020667C"/>
    <w:rsid w:val="00206A4D"/>
    <w:rsid w:val="00206CC9"/>
    <w:rsid w:val="002072B3"/>
    <w:rsid w:val="002074EE"/>
    <w:rsid w:val="002105B9"/>
    <w:rsid w:val="0021083E"/>
    <w:rsid w:val="00210D48"/>
    <w:rsid w:val="00211571"/>
    <w:rsid w:val="002116E5"/>
    <w:rsid w:val="00212428"/>
    <w:rsid w:val="00212B58"/>
    <w:rsid w:val="0021333A"/>
    <w:rsid w:val="002135D8"/>
    <w:rsid w:val="00213614"/>
    <w:rsid w:val="00213BBF"/>
    <w:rsid w:val="00213E5B"/>
    <w:rsid w:val="00214455"/>
    <w:rsid w:val="00214D31"/>
    <w:rsid w:val="00214DAF"/>
    <w:rsid w:val="002155BB"/>
    <w:rsid w:val="00215A6E"/>
    <w:rsid w:val="00215CD6"/>
    <w:rsid w:val="00215E63"/>
    <w:rsid w:val="002161B4"/>
    <w:rsid w:val="002161CA"/>
    <w:rsid w:val="002162BE"/>
    <w:rsid w:val="00216484"/>
    <w:rsid w:val="00216700"/>
    <w:rsid w:val="00216EB3"/>
    <w:rsid w:val="00217356"/>
    <w:rsid w:val="0021780D"/>
    <w:rsid w:val="00221F33"/>
    <w:rsid w:val="00222034"/>
    <w:rsid w:val="00222591"/>
    <w:rsid w:val="00222608"/>
    <w:rsid w:val="002228D2"/>
    <w:rsid w:val="00222939"/>
    <w:rsid w:val="00222B12"/>
    <w:rsid w:val="00223193"/>
    <w:rsid w:val="0022343C"/>
    <w:rsid w:val="00223722"/>
    <w:rsid w:val="002237B5"/>
    <w:rsid w:val="00223B0A"/>
    <w:rsid w:val="00224368"/>
    <w:rsid w:val="002248F8"/>
    <w:rsid w:val="0022498B"/>
    <w:rsid w:val="00224AFA"/>
    <w:rsid w:val="00224DA8"/>
    <w:rsid w:val="00224F31"/>
    <w:rsid w:val="002253A6"/>
    <w:rsid w:val="002255C2"/>
    <w:rsid w:val="00225D95"/>
    <w:rsid w:val="0022648A"/>
    <w:rsid w:val="0022648C"/>
    <w:rsid w:val="0022653D"/>
    <w:rsid w:val="00226573"/>
    <w:rsid w:val="00226EB9"/>
    <w:rsid w:val="00226F6B"/>
    <w:rsid w:val="002270AF"/>
    <w:rsid w:val="00227236"/>
    <w:rsid w:val="0022724E"/>
    <w:rsid w:val="00230C48"/>
    <w:rsid w:val="00230CE0"/>
    <w:rsid w:val="00230F99"/>
    <w:rsid w:val="0023149C"/>
    <w:rsid w:val="002315DA"/>
    <w:rsid w:val="0023162B"/>
    <w:rsid w:val="00231892"/>
    <w:rsid w:val="00231BB8"/>
    <w:rsid w:val="00231FC6"/>
    <w:rsid w:val="002320B4"/>
    <w:rsid w:val="00232DBF"/>
    <w:rsid w:val="002335C3"/>
    <w:rsid w:val="00233975"/>
    <w:rsid w:val="00233D6D"/>
    <w:rsid w:val="00233DE5"/>
    <w:rsid w:val="0023488C"/>
    <w:rsid w:val="00234B65"/>
    <w:rsid w:val="002356C3"/>
    <w:rsid w:val="002357C1"/>
    <w:rsid w:val="00235FB4"/>
    <w:rsid w:val="002360D4"/>
    <w:rsid w:val="0023690D"/>
    <w:rsid w:val="00236E4B"/>
    <w:rsid w:val="002373AD"/>
    <w:rsid w:val="00237527"/>
    <w:rsid w:val="00237579"/>
    <w:rsid w:val="002375CF"/>
    <w:rsid w:val="0023771E"/>
    <w:rsid w:val="00237747"/>
    <w:rsid w:val="002379A3"/>
    <w:rsid w:val="002404F3"/>
    <w:rsid w:val="002406DC"/>
    <w:rsid w:val="002407CA"/>
    <w:rsid w:val="00240BF9"/>
    <w:rsid w:val="002418B0"/>
    <w:rsid w:val="002419FF"/>
    <w:rsid w:val="00241A61"/>
    <w:rsid w:val="00241C32"/>
    <w:rsid w:val="00241E0B"/>
    <w:rsid w:val="00241F21"/>
    <w:rsid w:val="00241FB5"/>
    <w:rsid w:val="002420E5"/>
    <w:rsid w:val="002427E5"/>
    <w:rsid w:val="00243189"/>
    <w:rsid w:val="00243404"/>
    <w:rsid w:val="0024393A"/>
    <w:rsid w:val="00243B5A"/>
    <w:rsid w:val="0024478F"/>
    <w:rsid w:val="00244B44"/>
    <w:rsid w:val="0024593C"/>
    <w:rsid w:val="002462D0"/>
    <w:rsid w:val="0024661C"/>
    <w:rsid w:val="00246685"/>
    <w:rsid w:val="00246791"/>
    <w:rsid w:val="00246CC8"/>
    <w:rsid w:val="00246DC0"/>
    <w:rsid w:val="00247002"/>
    <w:rsid w:val="002471BE"/>
    <w:rsid w:val="00247493"/>
    <w:rsid w:val="0024772E"/>
    <w:rsid w:val="00247A28"/>
    <w:rsid w:val="00247E5F"/>
    <w:rsid w:val="00250153"/>
    <w:rsid w:val="00250304"/>
    <w:rsid w:val="00250CE9"/>
    <w:rsid w:val="00250EB5"/>
    <w:rsid w:val="0025176A"/>
    <w:rsid w:val="002518FA"/>
    <w:rsid w:val="00252596"/>
    <w:rsid w:val="00252767"/>
    <w:rsid w:val="0025337A"/>
    <w:rsid w:val="0025355F"/>
    <w:rsid w:val="0025375E"/>
    <w:rsid w:val="002537C9"/>
    <w:rsid w:val="00253912"/>
    <w:rsid w:val="00253A4B"/>
    <w:rsid w:val="00254A69"/>
    <w:rsid w:val="0025583F"/>
    <w:rsid w:val="0025598E"/>
    <w:rsid w:val="00255F52"/>
    <w:rsid w:val="00256054"/>
    <w:rsid w:val="002561E6"/>
    <w:rsid w:val="002562DA"/>
    <w:rsid w:val="00256BC3"/>
    <w:rsid w:val="00256F51"/>
    <w:rsid w:val="0025710E"/>
    <w:rsid w:val="00257E0D"/>
    <w:rsid w:val="00257E12"/>
    <w:rsid w:val="00257EF8"/>
    <w:rsid w:val="00260BAA"/>
    <w:rsid w:val="002610E2"/>
    <w:rsid w:val="0026143B"/>
    <w:rsid w:val="0026180A"/>
    <w:rsid w:val="002619F3"/>
    <w:rsid w:val="00262082"/>
    <w:rsid w:val="002627EC"/>
    <w:rsid w:val="00262CA4"/>
    <w:rsid w:val="00263039"/>
    <w:rsid w:val="00263045"/>
    <w:rsid w:val="00263B99"/>
    <w:rsid w:val="00264A45"/>
    <w:rsid w:val="00264B6C"/>
    <w:rsid w:val="00264E3E"/>
    <w:rsid w:val="00264FAB"/>
    <w:rsid w:val="00265674"/>
    <w:rsid w:val="00265C3C"/>
    <w:rsid w:val="00266135"/>
    <w:rsid w:val="0026625E"/>
    <w:rsid w:val="00266307"/>
    <w:rsid w:val="00266544"/>
    <w:rsid w:val="00266A16"/>
    <w:rsid w:val="00266DDA"/>
    <w:rsid w:val="00266F78"/>
    <w:rsid w:val="002670A4"/>
    <w:rsid w:val="002672C3"/>
    <w:rsid w:val="00267434"/>
    <w:rsid w:val="00267517"/>
    <w:rsid w:val="0026764E"/>
    <w:rsid w:val="00267A06"/>
    <w:rsid w:val="00267B32"/>
    <w:rsid w:val="00270285"/>
    <w:rsid w:val="00270708"/>
    <w:rsid w:val="00270BA4"/>
    <w:rsid w:val="00270CE6"/>
    <w:rsid w:val="002710CE"/>
    <w:rsid w:val="002714D8"/>
    <w:rsid w:val="0027152C"/>
    <w:rsid w:val="00271808"/>
    <w:rsid w:val="0027187B"/>
    <w:rsid w:val="0027213A"/>
    <w:rsid w:val="00272BAC"/>
    <w:rsid w:val="00272D06"/>
    <w:rsid w:val="00272E3C"/>
    <w:rsid w:val="0027321D"/>
    <w:rsid w:val="00273379"/>
    <w:rsid w:val="00273EB0"/>
    <w:rsid w:val="00273F66"/>
    <w:rsid w:val="00274386"/>
    <w:rsid w:val="00274452"/>
    <w:rsid w:val="002745E7"/>
    <w:rsid w:val="0027470E"/>
    <w:rsid w:val="002747CD"/>
    <w:rsid w:val="0027489A"/>
    <w:rsid w:val="00274908"/>
    <w:rsid w:val="0027515E"/>
    <w:rsid w:val="00275182"/>
    <w:rsid w:val="002751C5"/>
    <w:rsid w:val="00275487"/>
    <w:rsid w:val="002756D0"/>
    <w:rsid w:val="002756E3"/>
    <w:rsid w:val="00275E3F"/>
    <w:rsid w:val="00276079"/>
    <w:rsid w:val="00276BBE"/>
    <w:rsid w:val="00276D99"/>
    <w:rsid w:val="00276DAE"/>
    <w:rsid w:val="0027722B"/>
    <w:rsid w:val="00277717"/>
    <w:rsid w:val="002778E6"/>
    <w:rsid w:val="00280B51"/>
    <w:rsid w:val="00280C12"/>
    <w:rsid w:val="0028108B"/>
    <w:rsid w:val="00281624"/>
    <w:rsid w:val="002818A2"/>
    <w:rsid w:val="002821D8"/>
    <w:rsid w:val="002822BB"/>
    <w:rsid w:val="0028237C"/>
    <w:rsid w:val="00282F06"/>
    <w:rsid w:val="002834EA"/>
    <w:rsid w:val="0028391B"/>
    <w:rsid w:val="00283BA8"/>
    <w:rsid w:val="00283BEC"/>
    <w:rsid w:val="00283C46"/>
    <w:rsid w:val="00283F00"/>
    <w:rsid w:val="00283F8B"/>
    <w:rsid w:val="0028427E"/>
    <w:rsid w:val="002845F6"/>
    <w:rsid w:val="00284D8F"/>
    <w:rsid w:val="00285127"/>
    <w:rsid w:val="0028545C"/>
    <w:rsid w:val="002857BD"/>
    <w:rsid w:val="002858BA"/>
    <w:rsid w:val="002858C5"/>
    <w:rsid w:val="0028597F"/>
    <w:rsid w:val="00286A6E"/>
    <w:rsid w:val="00286AF0"/>
    <w:rsid w:val="00286D43"/>
    <w:rsid w:val="00286F56"/>
    <w:rsid w:val="002874E1"/>
    <w:rsid w:val="00287A60"/>
    <w:rsid w:val="0029046C"/>
    <w:rsid w:val="00290C31"/>
    <w:rsid w:val="00290CE8"/>
    <w:rsid w:val="00291A59"/>
    <w:rsid w:val="00291C79"/>
    <w:rsid w:val="00291D7E"/>
    <w:rsid w:val="00291EB5"/>
    <w:rsid w:val="00292087"/>
    <w:rsid w:val="0029213A"/>
    <w:rsid w:val="00292337"/>
    <w:rsid w:val="0029297F"/>
    <w:rsid w:val="00292A0A"/>
    <w:rsid w:val="00292D63"/>
    <w:rsid w:val="002932FA"/>
    <w:rsid w:val="002935DB"/>
    <w:rsid w:val="00293EDF"/>
    <w:rsid w:val="00293FC7"/>
    <w:rsid w:val="0029402C"/>
    <w:rsid w:val="0029430B"/>
    <w:rsid w:val="002952D8"/>
    <w:rsid w:val="002955C1"/>
    <w:rsid w:val="00295CF7"/>
    <w:rsid w:val="00295F37"/>
    <w:rsid w:val="0029678D"/>
    <w:rsid w:val="00296BE7"/>
    <w:rsid w:val="00297249"/>
    <w:rsid w:val="00297729"/>
    <w:rsid w:val="00297A39"/>
    <w:rsid w:val="002A01E6"/>
    <w:rsid w:val="002A03EA"/>
    <w:rsid w:val="002A0531"/>
    <w:rsid w:val="002A206D"/>
    <w:rsid w:val="002A218F"/>
    <w:rsid w:val="002A237D"/>
    <w:rsid w:val="002A33EC"/>
    <w:rsid w:val="002A3CA4"/>
    <w:rsid w:val="002A41AB"/>
    <w:rsid w:val="002A44D8"/>
    <w:rsid w:val="002A487F"/>
    <w:rsid w:val="002A4BF0"/>
    <w:rsid w:val="002A4CEE"/>
    <w:rsid w:val="002A4DFD"/>
    <w:rsid w:val="002A50DE"/>
    <w:rsid w:val="002A5812"/>
    <w:rsid w:val="002A58EF"/>
    <w:rsid w:val="002A5AE5"/>
    <w:rsid w:val="002A5B67"/>
    <w:rsid w:val="002A5D09"/>
    <w:rsid w:val="002A5D9E"/>
    <w:rsid w:val="002A5E69"/>
    <w:rsid w:val="002A60B2"/>
    <w:rsid w:val="002A653D"/>
    <w:rsid w:val="002A6D9D"/>
    <w:rsid w:val="002A6DE7"/>
    <w:rsid w:val="002A6E9A"/>
    <w:rsid w:val="002A705E"/>
    <w:rsid w:val="002A7528"/>
    <w:rsid w:val="002A76B3"/>
    <w:rsid w:val="002A783E"/>
    <w:rsid w:val="002A7894"/>
    <w:rsid w:val="002A794B"/>
    <w:rsid w:val="002A7ACC"/>
    <w:rsid w:val="002A7F4E"/>
    <w:rsid w:val="002B0009"/>
    <w:rsid w:val="002B011A"/>
    <w:rsid w:val="002B062D"/>
    <w:rsid w:val="002B095C"/>
    <w:rsid w:val="002B0DC2"/>
    <w:rsid w:val="002B0F6A"/>
    <w:rsid w:val="002B19A5"/>
    <w:rsid w:val="002B20A9"/>
    <w:rsid w:val="002B21BA"/>
    <w:rsid w:val="002B2321"/>
    <w:rsid w:val="002B23B5"/>
    <w:rsid w:val="002B28A0"/>
    <w:rsid w:val="002B296A"/>
    <w:rsid w:val="002B2DC3"/>
    <w:rsid w:val="002B2E50"/>
    <w:rsid w:val="002B2F30"/>
    <w:rsid w:val="002B3D8C"/>
    <w:rsid w:val="002B47EC"/>
    <w:rsid w:val="002B4868"/>
    <w:rsid w:val="002B4AB9"/>
    <w:rsid w:val="002B4F7F"/>
    <w:rsid w:val="002B5532"/>
    <w:rsid w:val="002B57EC"/>
    <w:rsid w:val="002B5D3A"/>
    <w:rsid w:val="002B63AA"/>
    <w:rsid w:val="002B6487"/>
    <w:rsid w:val="002B6894"/>
    <w:rsid w:val="002B6DE3"/>
    <w:rsid w:val="002B7096"/>
    <w:rsid w:val="002B7471"/>
    <w:rsid w:val="002B7625"/>
    <w:rsid w:val="002B7AAD"/>
    <w:rsid w:val="002C0436"/>
    <w:rsid w:val="002C0591"/>
    <w:rsid w:val="002C0A59"/>
    <w:rsid w:val="002C0E41"/>
    <w:rsid w:val="002C1060"/>
    <w:rsid w:val="002C1845"/>
    <w:rsid w:val="002C1BBF"/>
    <w:rsid w:val="002C1E04"/>
    <w:rsid w:val="002C1F61"/>
    <w:rsid w:val="002C2439"/>
    <w:rsid w:val="002C3379"/>
    <w:rsid w:val="002C34CE"/>
    <w:rsid w:val="002C36F3"/>
    <w:rsid w:val="002C48CE"/>
    <w:rsid w:val="002C4D6D"/>
    <w:rsid w:val="002C6352"/>
    <w:rsid w:val="002C6B1F"/>
    <w:rsid w:val="002C711B"/>
    <w:rsid w:val="002C71BB"/>
    <w:rsid w:val="002C7559"/>
    <w:rsid w:val="002C78B8"/>
    <w:rsid w:val="002D015E"/>
    <w:rsid w:val="002D0C24"/>
    <w:rsid w:val="002D0C75"/>
    <w:rsid w:val="002D0FB7"/>
    <w:rsid w:val="002D1675"/>
    <w:rsid w:val="002D178D"/>
    <w:rsid w:val="002D1C8B"/>
    <w:rsid w:val="002D1E3F"/>
    <w:rsid w:val="002D1E40"/>
    <w:rsid w:val="002D200D"/>
    <w:rsid w:val="002D284A"/>
    <w:rsid w:val="002D2C26"/>
    <w:rsid w:val="002D2CC0"/>
    <w:rsid w:val="002D35DC"/>
    <w:rsid w:val="002D3CEA"/>
    <w:rsid w:val="002D4231"/>
    <w:rsid w:val="002D4A74"/>
    <w:rsid w:val="002D4BF3"/>
    <w:rsid w:val="002D4F6B"/>
    <w:rsid w:val="002D500A"/>
    <w:rsid w:val="002D57DB"/>
    <w:rsid w:val="002D57FE"/>
    <w:rsid w:val="002D5927"/>
    <w:rsid w:val="002D5C0A"/>
    <w:rsid w:val="002D5FE4"/>
    <w:rsid w:val="002D6337"/>
    <w:rsid w:val="002D6914"/>
    <w:rsid w:val="002D6B86"/>
    <w:rsid w:val="002D6BD7"/>
    <w:rsid w:val="002D6E92"/>
    <w:rsid w:val="002D6FE2"/>
    <w:rsid w:val="002D7696"/>
    <w:rsid w:val="002D7BD9"/>
    <w:rsid w:val="002E0150"/>
    <w:rsid w:val="002E059E"/>
    <w:rsid w:val="002E0C54"/>
    <w:rsid w:val="002E0E7A"/>
    <w:rsid w:val="002E1117"/>
    <w:rsid w:val="002E14F9"/>
    <w:rsid w:val="002E1941"/>
    <w:rsid w:val="002E1CA3"/>
    <w:rsid w:val="002E1DC6"/>
    <w:rsid w:val="002E2042"/>
    <w:rsid w:val="002E20C5"/>
    <w:rsid w:val="002E22E5"/>
    <w:rsid w:val="002E3234"/>
    <w:rsid w:val="002E3318"/>
    <w:rsid w:val="002E3330"/>
    <w:rsid w:val="002E3542"/>
    <w:rsid w:val="002E3621"/>
    <w:rsid w:val="002E3D81"/>
    <w:rsid w:val="002E3EA5"/>
    <w:rsid w:val="002E4801"/>
    <w:rsid w:val="002E49B2"/>
    <w:rsid w:val="002E4A9C"/>
    <w:rsid w:val="002E4CB1"/>
    <w:rsid w:val="002E4FCD"/>
    <w:rsid w:val="002E5087"/>
    <w:rsid w:val="002E5259"/>
    <w:rsid w:val="002E52EA"/>
    <w:rsid w:val="002E54B1"/>
    <w:rsid w:val="002E54C2"/>
    <w:rsid w:val="002E59F3"/>
    <w:rsid w:val="002E5A61"/>
    <w:rsid w:val="002E5D06"/>
    <w:rsid w:val="002E5DC9"/>
    <w:rsid w:val="002E5EA6"/>
    <w:rsid w:val="002E5F37"/>
    <w:rsid w:val="002E6D5C"/>
    <w:rsid w:val="002E6E03"/>
    <w:rsid w:val="002E6ED0"/>
    <w:rsid w:val="002E7175"/>
    <w:rsid w:val="002E7255"/>
    <w:rsid w:val="002E75CE"/>
    <w:rsid w:val="002E75DD"/>
    <w:rsid w:val="002E7B43"/>
    <w:rsid w:val="002E7C43"/>
    <w:rsid w:val="002E7D92"/>
    <w:rsid w:val="002E7F3F"/>
    <w:rsid w:val="002F0156"/>
    <w:rsid w:val="002F0E2B"/>
    <w:rsid w:val="002F1653"/>
    <w:rsid w:val="002F1771"/>
    <w:rsid w:val="002F1CFC"/>
    <w:rsid w:val="002F1F6B"/>
    <w:rsid w:val="002F2636"/>
    <w:rsid w:val="002F26BC"/>
    <w:rsid w:val="002F28AD"/>
    <w:rsid w:val="002F2A43"/>
    <w:rsid w:val="002F2A7F"/>
    <w:rsid w:val="002F2F06"/>
    <w:rsid w:val="002F2FE7"/>
    <w:rsid w:val="002F306B"/>
    <w:rsid w:val="002F3BCF"/>
    <w:rsid w:val="002F3CD9"/>
    <w:rsid w:val="002F3FAD"/>
    <w:rsid w:val="002F427E"/>
    <w:rsid w:val="002F43CD"/>
    <w:rsid w:val="002F4878"/>
    <w:rsid w:val="002F5AEE"/>
    <w:rsid w:val="002F5B9E"/>
    <w:rsid w:val="002F60CB"/>
    <w:rsid w:val="002F6745"/>
    <w:rsid w:val="002F6C57"/>
    <w:rsid w:val="002F6F87"/>
    <w:rsid w:val="002F7B73"/>
    <w:rsid w:val="002F7D8B"/>
    <w:rsid w:val="0030079B"/>
    <w:rsid w:val="00300804"/>
    <w:rsid w:val="00300815"/>
    <w:rsid w:val="00300EE5"/>
    <w:rsid w:val="003012A4"/>
    <w:rsid w:val="00301662"/>
    <w:rsid w:val="0030181D"/>
    <w:rsid w:val="00301C5D"/>
    <w:rsid w:val="00301D94"/>
    <w:rsid w:val="00301D97"/>
    <w:rsid w:val="00301DB8"/>
    <w:rsid w:val="00301ECD"/>
    <w:rsid w:val="003020F5"/>
    <w:rsid w:val="003024A6"/>
    <w:rsid w:val="003025DA"/>
    <w:rsid w:val="00302794"/>
    <w:rsid w:val="003029EC"/>
    <w:rsid w:val="00303065"/>
    <w:rsid w:val="00303394"/>
    <w:rsid w:val="00303430"/>
    <w:rsid w:val="003036EF"/>
    <w:rsid w:val="00303FA4"/>
    <w:rsid w:val="003041AE"/>
    <w:rsid w:val="003043DA"/>
    <w:rsid w:val="00304919"/>
    <w:rsid w:val="00304944"/>
    <w:rsid w:val="00304B1F"/>
    <w:rsid w:val="00304C51"/>
    <w:rsid w:val="00304E01"/>
    <w:rsid w:val="003055E8"/>
    <w:rsid w:val="003059EA"/>
    <w:rsid w:val="00305B06"/>
    <w:rsid w:val="00305B7C"/>
    <w:rsid w:val="00305CE2"/>
    <w:rsid w:val="00305D72"/>
    <w:rsid w:val="0030623A"/>
    <w:rsid w:val="0030677B"/>
    <w:rsid w:val="0030713A"/>
    <w:rsid w:val="0030731D"/>
    <w:rsid w:val="0030742F"/>
    <w:rsid w:val="00307A8C"/>
    <w:rsid w:val="003100E2"/>
    <w:rsid w:val="0031031E"/>
    <w:rsid w:val="00310593"/>
    <w:rsid w:val="00310626"/>
    <w:rsid w:val="00310C82"/>
    <w:rsid w:val="00310DE0"/>
    <w:rsid w:val="003112C1"/>
    <w:rsid w:val="0031144C"/>
    <w:rsid w:val="00311CBB"/>
    <w:rsid w:val="00312DDF"/>
    <w:rsid w:val="00312F3C"/>
    <w:rsid w:val="0031381E"/>
    <w:rsid w:val="00313AA8"/>
    <w:rsid w:val="00313B61"/>
    <w:rsid w:val="00313BC4"/>
    <w:rsid w:val="0031490C"/>
    <w:rsid w:val="00314A66"/>
    <w:rsid w:val="00315089"/>
    <w:rsid w:val="0031531F"/>
    <w:rsid w:val="0031544D"/>
    <w:rsid w:val="00315CDF"/>
    <w:rsid w:val="00315DAF"/>
    <w:rsid w:val="00315F09"/>
    <w:rsid w:val="003161E0"/>
    <w:rsid w:val="00316603"/>
    <w:rsid w:val="00316936"/>
    <w:rsid w:val="00317A82"/>
    <w:rsid w:val="00317BCC"/>
    <w:rsid w:val="00317BE2"/>
    <w:rsid w:val="00317FF4"/>
    <w:rsid w:val="0032001B"/>
    <w:rsid w:val="0032013F"/>
    <w:rsid w:val="00320816"/>
    <w:rsid w:val="00320F0B"/>
    <w:rsid w:val="00321007"/>
    <w:rsid w:val="003212E7"/>
    <w:rsid w:val="00321497"/>
    <w:rsid w:val="00321801"/>
    <w:rsid w:val="00321872"/>
    <w:rsid w:val="003219BD"/>
    <w:rsid w:val="003221DE"/>
    <w:rsid w:val="00322304"/>
    <w:rsid w:val="00322589"/>
    <w:rsid w:val="003226E3"/>
    <w:rsid w:val="003227D8"/>
    <w:rsid w:val="0032293B"/>
    <w:rsid w:val="00322B6C"/>
    <w:rsid w:val="0032303E"/>
    <w:rsid w:val="00323AFA"/>
    <w:rsid w:val="00323D9A"/>
    <w:rsid w:val="00324214"/>
    <w:rsid w:val="00324618"/>
    <w:rsid w:val="0032486D"/>
    <w:rsid w:val="00324C3C"/>
    <w:rsid w:val="00324D08"/>
    <w:rsid w:val="00325360"/>
    <w:rsid w:val="00325BAB"/>
    <w:rsid w:val="00325CD6"/>
    <w:rsid w:val="00325F27"/>
    <w:rsid w:val="00325FCA"/>
    <w:rsid w:val="003263E4"/>
    <w:rsid w:val="0032684E"/>
    <w:rsid w:val="00326BCC"/>
    <w:rsid w:val="003270D2"/>
    <w:rsid w:val="003272E3"/>
    <w:rsid w:val="003274DF"/>
    <w:rsid w:val="00330106"/>
    <w:rsid w:val="00330426"/>
    <w:rsid w:val="00330868"/>
    <w:rsid w:val="00330B13"/>
    <w:rsid w:val="00330BB1"/>
    <w:rsid w:val="0033259C"/>
    <w:rsid w:val="003325EB"/>
    <w:rsid w:val="003329C6"/>
    <w:rsid w:val="00332CD1"/>
    <w:rsid w:val="0033367D"/>
    <w:rsid w:val="003338A3"/>
    <w:rsid w:val="0033395D"/>
    <w:rsid w:val="00333B9D"/>
    <w:rsid w:val="0033428B"/>
    <w:rsid w:val="0033486A"/>
    <w:rsid w:val="00334B3F"/>
    <w:rsid w:val="00334B75"/>
    <w:rsid w:val="00335425"/>
    <w:rsid w:val="0033551A"/>
    <w:rsid w:val="00335768"/>
    <w:rsid w:val="003359DB"/>
    <w:rsid w:val="00335A36"/>
    <w:rsid w:val="003362A4"/>
    <w:rsid w:val="00336430"/>
    <w:rsid w:val="00336623"/>
    <w:rsid w:val="003367E5"/>
    <w:rsid w:val="003368BB"/>
    <w:rsid w:val="00336A8E"/>
    <w:rsid w:val="00336E9F"/>
    <w:rsid w:val="003371AA"/>
    <w:rsid w:val="0033734D"/>
    <w:rsid w:val="00340266"/>
    <w:rsid w:val="003405C4"/>
    <w:rsid w:val="00340A80"/>
    <w:rsid w:val="0034100A"/>
    <w:rsid w:val="003410AF"/>
    <w:rsid w:val="0034151C"/>
    <w:rsid w:val="0034187D"/>
    <w:rsid w:val="00342358"/>
    <w:rsid w:val="00342587"/>
    <w:rsid w:val="003427AE"/>
    <w:rsid w:val="003427CB"/>
    <w:rsid w:val="00342885"/>
    <w:rsid w:val="00343514"/>
    <w:rsid w:val="00343EDF"/>
    <w:rsid w:val="003444D7"/>
    <w:rsid w:val="00344C60"/>
    <w:rsid w:val="00344CDD"/>
    <w:rsid w:val="0034511A"/>
    <w:rsid w:val="003451A4"/>
    <w:rsid w:val="0034580E"/>
    <w:rsid w:val="0034615F"/>
    <w:rsid w:val="003463B0"/>
    <w:rsid w:val="00346619"/>
    <w:rsid w:val="00346983"/>
    <w:rsid w:val="00346A32"/>
    <w:rsid w:val="00346AB8"/>
    <w:rsid w:val="00346E77"/>
    <w:rsid w:val="00346EE3"/>
    <w:rsid w:val="00346F7B"/>
    <w:rsid w:val="00347034"/>
    <w:rsid w:val="00347677"/>
    <w:rsid w:val="00347C25"/>
    <w:rsid w:val="003500D6"/>
    <w:rsid w:val="003504F5"/>
    <w:rsid w:val="00350610"/>
    <w:rsid w:val="00350DCD"/>
    <w:rsid w:val="0035129E"/>
    <w:rsid w:val="003513B4"/>
    <w:rsid w:val="0035140F"/>
    <w:rsid w:val="00351879"/>
    <w:rsid w:val="00351CDE"/>
    <w:rsid w:val="00352258"/>
    <w:rsid w:val="003524A0"/>
    <w:rsid w:val="003524E0"/>
    <w:rsid w:val="003527BB"/>
    <w:rsid w:val="0035293B"/>
    <w:rsid w:val="00352E71"/>
    <w:rsid w:val="003533CC"/>
    <w:rsid w:val="003533D7"/>
    <w:rsid w:val="00353DCF"/>
    <w:rsid w:val="0035428F"/>
    <w:rsid w:val="00354323"/>
    <w:rsid w:val="00354FC6"/>
    <w:rsid w:val="0035561C"/>
    <w:rsid w:val="0035583E"/>
    <w:rsid w:val="0035595A"/>
    <w:rsid w:val="00355BB0"/>
    <w:rsid w:val="00355C2F"/>
    <w:rsid w:val="00355C8C"/>
    <w:rsid w:val="0035649C"/>
    <w:rsid w:val="00356564"/>
    <w:rsid w:val="00356A7B"/>
    <w:rsid w:val="00357ED5"/>
    <w:rsid w:val="0036011C"/>
    <w:rsid w:val="00360431"/>
    <w:rsid w:val="0036073B"/>
    <w:rsid w:val="0036076D"/>
    <w:rsid w:val="0036090C"/>
    <w:rsid w:val="00360DC6"/>
    <w:rsid w:val="0036101E"/>
    <w:rsid w:val="0036114C"/>
    <w:rsid w:val="00361C5F"/>
    <w:rsid w:val="00363273"/>
    <w:rsid w:val="00363429"/>
    <w:rsid w:val="00363431"/>
    <w:rsid w:val="003634AB"/>
    <w:rsid w:val="003634DC"/>
    <w:rsid w:val="00363B6A"/>
    <w:rsid w:val="00363FF4"/>
    <w:rsid w:val="003643F7"/>
    <w:rsid w:val="003648F9"/>
    <w:rsid w:val="00364DAF"/>
    <w:rsid w:val="00365070"/>
    <w:rsid w:val="003652FA"/>
    <w:rsid w:val="00365827"/>
    <w:rsid w:val="00365A0C"/>
    <w:rsid w:val="00365C66"/>
    <w:rsid w:val="00365CA7"/>
    <w:rsid w:val="00366189"/>
    <w:rsid w:val="00366472"/>
    <w:rsid w:val="00366764"/>
    <w:rsid w:val="00366F6B"/>
    <w:rsid w:val="003671E2"/>
    <w:rsid w:val="00367368"/>
    <w:rsid w:val="003678F3"/>
    <w:rsid w:val="00367A59"/>
    <w:rsid w:val="00367DB8"/>
    <w:rsid w:val="00367DBE"/>
    <w:rsid w:val="00367EBA"/>
    <w:rsid w:val="003703FB"/>
    <w:rsid w:val="003708D4"/>
    <w:rsid w:val="00370BF1"/>
    <w:rsid w:val="00370DA2"/>
    <w:rsid w:val="003710DC"/>
    <w:rsid w:val="0037123A"/>
    <w:rsid w:val="003713CD"/>
    <w:rsid w:val="00371417"/>
    <w:rsid w:val="003714AA"/>
    <w:rsid w:val="003719B6"/>
    <w:rsid w:val="00371E2C"/>
    <w:rsid w:val="00372DED"/>
    <w:rsid w:val="003732CD"/>
    <w:rsid w:val="003733B2"/>
    <w:rsid w:val="00373818"/>
    <w:rsid w:val="00373BBA"/>
    <w:rsid w:val="00373C01"/>
    <w:rsid w:val="00373CAC"/>
    <w:rsid w:val="003743AB"/>
    <w:rsid w:val="003744B8"/>
    <w:rsid w:val="00374767"/>
    <w:rsid w:val="00374D1C"/>
    <w:rsid w:val="00374F5E"/>
    <w:rsid w:val="003752B0"/>
    <w:rsid w:val="00376A40"/>
    <w:rsid w:val="00376E7F"/>
    <w:rsid w:val="003771D6"/>
    <w:rsid w:val="0037728C"/>
    <w:rsid w:val="00377382"/>
    <w:rsid w:val="003773EC"/>
    <w:rsid w:val="00377499"/>
    <w:rsid w:val="0037790A"/>
    <w:rsid w:val="003779CE"/>
    <w:rsid w:val="00377B8B"/>
    <w:rsid w:val="003800F9"/>
    <w:rsid w:val="003803B2"/>
    <w:rsid w:val="003803BC"/>
    <w:rsid w:val="003808B9"/>
    <w:rsid w:val="003808E6"/>
    <w:rsid w:val="00380A51"/>
    <w:rsid w:val="00381427"/>
    <w:rsid w:val="00381452"/>
    <w:rsid w:val="00381466"/>
    <w:rsid w:val="00381727"/>
    <w:rsid w:val="0038177F"/>
    <w:rsid w:val="00381C6B"/>
    <w:rsid w:val="00381E2A"/>
    <w:rsid w:val="003821C2"/>
    <w:rsid w:val="00382721"/>
    <w:rsid w:val="003828BF"/>
    <w:rsid w:val="00382E5E"/>
    <w:rsid w:val="00383695"/>
    <w:rsid w:val="003836B1"/>
    <w:rsid w:val="00383D70"/>
    <w:rsid w:val="00383E11"/>
    <w:rsid w:val="00383FC4"/>
    <w:rsid w:val="003846EE"/>
    <w:rsid w:val="00384D85"/>
    <w:rsid w:val="00384E70"/>
    <w:rsid w:val="00384ED6"/>
    <w:rsid w:val="00385687"/>
    <w:rsid w:val="003856BB"/>
    <w:rsid w:val="00386350"/>
    <w:rsid w:val="003866EC"/>
    <w:rsid w:val="00386C94"/>
    <w:rsid w:val="00386CFA"/>
    <w:rsid w:val="00386E9B"/>
    <w:rsid w:val="003870D8"/>
    <w:rsid w:val="0038759A"/>
    <w:rsid w:val="003877A7"/>
    <w:rsid w:val="00387FAA"/>
    <w:rsid w:val="003900C8"/>
    <w:rsid w:val="003904D3"/>
    <w:rsid w:val="00390548"/>
    <w:rsid w:val="0039092C"/>
    <w:rsid w:val="003914BF"/>
    <w:rsid w:val="00391654"/>
    <w:rsid w:val="00391844"/>
    <w:rsid w:val="00391A13"/>
    <w:rsid w:val="00391FEA"/>
    <w:rsid w:val="0039247B"/>
    <w:rsid w:val="00392559"/>
    <w:rsid w:val="00392632"/>
    <w:rsid w:val="00392B75"/>
    <w:rsid w:val="0039352F"/>
    <w:rsid w:val="00393545"/>
    <w:rsid w:val="003935E1"/>
    <w:rsid w:val="00393635"/>
    <w:rsid w:val="0039392E"/>
    <w:rsid w:val="00393B15"/>
    <w:rsid w:val="00394360"/>
    <w:rsid w:val="00394D08"/>
    <w:rsid w:val="00394E3C"/>
    <w:rsid w:val="00395174"/>
    <w:rsid w:val="003952FA"/>
    <w:rsid w:val="00395329"/>
    <w:rsid w:val="00395786"/>
    <w:rsid w:val="003958E0"/>
    <w:rsid w:val="00395993"/>
    <w:rsid w:val="00395AB1"/>
    <w:rsid w:val="00395DCF"/>
    <w:rsid w:val="00395E3A"/>
    <w:rsid w:val="00395E63"/>
    <w:rsid w:val="003965A5"/>
    <w:rsid w:val="00396ABE"/>
    <w:rsid w:val="00397500"/>
    <w:rsid w:val="0039771D"/>
    <w:rsid w:val="00397F08"/>
    <w:rsid w:val="003A0342"/>
    <w:rsid w:val="003A039E"/>
    <w:rsid w:val="003A045A"/>
    <w:rsid w:val="003A0B4C"/>
    <w:rsid w:val="003A0EFA"/>
    <w:rsid w:val="003A1961"/>
    <w:rsid w:val="003A1BDA"/>
    <w:rsid w:val="003A1D96"/>
    <w:rsid w:val="003A1E20"/>
    <w:rsid w:val="003A258B"/>
    <w:rsid w:val="003A2988"/>
    <w:rsid w:val="003A2C1F"/>
    <w:rsid w:val="003A3032"/>
    <w:rsid w:val="003A3404"/>
    <w:rsid w:val="003A3876"/>
    <w:rsid w:val="003A3EB5"/>
    <w:rsid w:val="003A4575"/>
    <w:rsid w:val="003A4936"/>
    <w:rsid w:val="003A536B"/>
    <w:rsid w:val="003A53E3"/>
    <w:rsid w:val="003A5B6E"/>
    <w:rsid w:val="003A5B8D"/>
    <w:rsid w:val="003A5BAB"/>
    <w:rsid w:val="003A5C40"/>
    <w:rsid w:val="003A5E8D"/>
    <w:rsid w:val="003A61EA"/>
    <w:rsid w:val="003A623E"/>
    <w:rsid w:val="003A6451"/>
    <w:rsid w:val="003A65BA"/>
    <w:rsid w:val="003A6CD3"/>
    <w:rsid w:val="003A797B"/>
    <w:rsid w:val="003A7AE9"/>
    <w:rsid w:val="003A7D40"/>
    <w:rsid w:val="003A7DD0"/>
    <w:rsid w:val="003B006F"/>
    <w:rsid w:val="003B03C4"/>
    <w:rsid w:val="003B0788"/>
    <w:rsid w:val="003B0971"/>
    <w:rsid w:val="003B0C74"/>
    <w:rsid w:val="003B0D09"/>
    <w:rsid w:val="003B0D90"/>
    <w:rsid w:val="003B159B"/>
    <w:rsid w:val="003B1A1D"/>
    <w:rsid w:val="003B1C17"/>
    <w:rsid w:val="003B211B"/>
    <w:rsid w:val="003B2432"/>
    <w:rsid w:val="003B2493"/>
    <w:rsid w:val="003B250F"/>
    <w:rsid w:val="003B256B"/>
    <w:rsid w:val="003B261A"/>
    <w:rsid w:val="003B2958"/>
    <w:rsid w:val="003B2C0B"/>
    <w:rsid w:val="003B31BB"/>
    <w:rsid w:val="003B335F"/>
    <w:rsid w:val="003B340F"/>
    <w:rsid w:val="003B353F"/>
    <w:rsid w:val="003B356B"/>
    <w:rsid w:val="003B3C44"/>
    <w:rsid w:val="003B456C"/>
    <w:rsid w:val="003B51DD"/>
    <w:rsid w:val="003B5663"/>
    <w:rsid w:val="003B59B2"/>
    <w:rsid w:val="003B63AA"/>
    <w:rsid w:val="003B66A7"/>
    <w:rsid w:val="003B684B"/>
    <w:rsid w:val="003B6A54"/>
    <w:rsid w:val="003B6D01"/>
    <w:rsid w:val="003B7302"/>
    <w:rsid w:val="003B744C"/>
    <w:rsid w:val="003B74D5"/>
    <w:rsid w:val="003B7587"/>
    <w:rsid w:val="003B7B32"/>
    <w:rsid w:val="003B7BA4"/>
    <w:rsid w:val="003B7DD2"/>
    <w:rsid w:val="003B7E6E"/>
    <w:rsid w:val="003C03AE"/>
    <w:rsid w:val="003C0C07"/>
    <w:rsid w:val="003C192C"/>
    <w:rsid w:val="003C1993"/>
    <w:rsid w:val="003C1DAF"/>
    <w:rsid w:val="003C2040"/>
    <w:rsid w:val="003C21C5"/>
    <w:rsid w:val="003C2C90"/>
    <w:rsid w:val="003C3204"/>
    <w:rsid w:val="003C38B1"/>
    <w:rsid w:val="003C3910"/>
    <w:rsid w:val="003C40FB"/>
    <w:rsid w:val="003C4651"/>
    <w:rsid w:val="003C4664"/>
    <w:rsid w:val="003C4AA5"/>
    <w:rsid w:val="003C4AD8"/>
    <w:rsid w:val="003C53DC"/>
    <w:rsid w:val="003C5463"/>
    <w:rsid w:val="003C56F0"/>
    <w:rsid w:val="003C5735"/>
    <w:rsid w:val="003C5FA7"/>
    <w:rsid w:val="003C65C0"/>
    <w:rsid w:val="003C68D5"/>
    <w:rsid w:val="003C69D4"/>
    <w:rsid w:val="003C7496"/>
    <w:rsid w:val="003C79A5"/>
    <w:rsid w:val="003C7BA9"/>
    <w:rsid w:val="003C7C49"/>
    <w:rsid w:val="003C7EAA"/>
    <w:rsid w:val="003D0098"/>
    <w:rsid w:val="003D02E0"/>
    <w:rsid w:val="003D05A4"/>
    <w:rsid w:val="003D07E4"/>
    <w:rsid w:val="003D0850"/>
    <w:rsid w:val="003D08AE"/>
    <w:rsid w:val="003D09DB"/>
    <w:rsid w:val="003D0CBF"/>
    <w:rsid w:val="003D10CE"/>
    <w:rsid w:val="003D1538"/>
    <w:rsid w:val="003D1A60"/>
    <w:rsid w:val="003D2535"/>
    <w:rsid w:val="003D25BA"/>
    <w:rsid w:val="003D281D"/>
    <w:rsid w:val="003D299A"/>
    <w:rsid w:val="003D2A36"/>
    <w:rsid w:val="003D3017"/>
    <w:rsid w:val="003D334C"/>
    <w:rsid w:val="003D33BA"/>
    <w:rsid w:val="003D39C1"/>
    <w:rsid w:val="003D3E5C"/>
    <w:rsid w:val="003D46D0"/>
    <w:rsid w:val="003D47DC"/>
    <w:rsid w:val="003D4BAC"/>
    <w:rsid w:val="003D580F"/>
    <w:rsid w:val="003D58FD"/>
    <w:rsid w:val="003D635C"/>
    <w:rsid w:val="003D6622"/>
    <w:rsid w:val="003D726D"/>
    <w:rsid w:val="003D735B"/>
    <w:rsid w:val="003D7378"/>
    <w:rsid w:val="003D7381"/>
    <w:rsid w:val="003D769F"/>
    <w:rsid w:val="003D796F"/>
    <w:rsid w:val="003E07D4"/>
    <w:rsid w:val="003E096A"/>
    <w:rsid w:val="003E0984"/>
    <w:rsid w:val="003E0C1B"/>
    <w:rsid w:val="003E11F8"/>
    <w:rsid w:val="003E2259"/>
    <w:rsid w:val="003E2B92"/>
    <w:rsid w:val="003E2E92"/>
    <w:rsid w:val="003E3313"/>
    <w:rsid w:val="003E34C8"/>
    <w:rsid w:val="003E3777"/>
    <w:rsid w:val="003E3A06"/>
    <w:rsid w:val="003E46D0"/>
    <w:rsid w:val="003E49BB"/>
    <w:rsid w:val="003E4A94"/>
    <w:rsid w:val="003E4B98"/>
    <w:rsid w:val="003E4F8B"/>
    <w:rsid w:val="003E5682"/>
    <w:rsid w:val="003E6F4D"/>
    <w:rsid w:val="003E7338"/>
    <w:rsid w:val="003E76AF"/>
    <w:rsid w:val="003E76E7"/>
    <w:rsid w:val="003E77E4"/>
    <w:rsid w:val="003E7862"/>
    <w:rsid w:val="003E7957"/>
    <w:rsid w:val="003E7A9D"/>
    <w:rsid w:val="003F022F"/>
    <w:rsid w:val="003F06DF"/>
    <w:rsid w:val="003F0F7E"/>
    <w:rsid w:val="003F139D"/>
    <w:rsid w:val="003F18BC"/>
    <w:rsid w:val="003F2422"/>
    <w:rsid w:val="003F2A11"/>
    <w:rsid w:val="003F2DD7"/>
    <w:rsid w:val="003F2F13"/>
    <w:rsid w:val="003F30FA"/>
    <w:rsid w:val="003F3214"/>
    <w:rsid w:val="003F3501"/>
    <w:rsid w:val="003F3B54"/>
    <w:rsid w:val="003F4043"/>
    <w:rsid w:val="003F435B"/>
    <w:rsid w:val="003F4829"/>
    <w:rsid w:val="003F48B0"/>
    <w:rsid w:val="003F51D8"/>
    <w:rsid w:val="003F54C3"/>
    <w:rsid w:val="003F573A"/>
    <w:rsid w:val="003F578A"/>
    <w:rsid w:val="003F57EE"/>
    <w:rsid w:val="003F59E0"/>
    <w:rsid w:val="003F7173"/>
    <w:rsid w:val="003F79AA"/>
    <w:rsid w:val="003F7A63"/>
    <w:rsid w:val="003F7C52"/>
    <w:rsid w:val="003F7E40"/>
    <w:rsid w:val="00400006"/>
    <w:rsid w:val="0040005B"/>
    <w:rsid w:val="004000CE"/>
    <w:rsid w:val="0040013A"/>
    <w:rsid w:val="004001B7"/>
    <w:rsid w:val="00400320"/>
    <w:rsid w:val="0040042D"/>
    <w:rsid w:val="0040075C"/>
    <w:rsid w:val="00400C54"/>
    <w:rsid w:val="004018E5"/>
    <w:rsid w:val="00401D9A"/>
    <w:rsid w:val="00401FF5"/>
    <w:rsid w:val="004021B1"/>
    <w:rsid w:val="0040227D"/>
    <w:rsid w:val="00402619"/>
    <w:rsid w:val="00402AF7"/>
    <w:rsid w:val="00402B10"/>
    <w:rsid w:val="00402FD3"/>
    <w:rsid w:val="004032BA"/>
    <w:rsid w:val="004035D0"/>
    <w:rsid w:val="00403967"/>
    <w:rsid w:val="0040460B"/>
    <w:rsid w:val="00404807"/>
    <w:rsid w:val="00404BCB"/>
    <w:rsid w:val="00404CB2"/>
    <w:rsid w:val="00405288"/>
    <w:rsid w:val="004062D8"/>
    <w:rsid w:val="00406759"/>
    <w:rsid w:val="00406BBB"/>
    <w:rsid w:val="00406D44"/>
    <w:rsid w:val="00406D4A"/>
    <w:rsid w:val="00407A9C"/>
    <w:rsid w:val="00407C3A"/>
    <w:rsid w:val="00410239"/>
    <w:rsid w:val="0041037E"/>
    <w:rsid w:val="004103B8"/>
    <w:rsid w:val="0041062B"/>
    <w:rsid w:val="00410716"/>
    <w:rsid w:val="0041074A"/>
    <w:rsid w:val="004107C7"/>
    <w:rsid w:val="004107DD"/>
    <w:rsid w:val="0041085C"/>
    <w:rsid w:val="00410C45"/>
    <w:rsid w:val="00411A37"/>
    <w:rsid w:val="0041283F"/>
    <w:rsid w:val="00412F90"/>
    <w:rsid w:val="00413055"/>
    <w:rsid w:val="00413E7A"/>
    <w:rsid w:val="00414576"/>
    <w:rsid w:val="004149FD"/>
    <w:rsid w:val="00414A8A"/>
    <w:rsid w:val="00414BF6"/>
    <w:rsid w:val="00414D25"/>
    <w:rsid w:val="0041511B"/>
    <w:rsid w:val="0041557D"/>
    <w:rsid w:val="0041596C"/>
    <w:rsid w:val="00415D2D"/>
    <w:rsid w:val="00415F2C"/>
    <w:rsid w:val="00416015"/>
    <w:rsid w:val="00416864"/>
    <w:rsid w:val="00417096"/>
    <w:rsid w:val="0041791C"/>
    <w:rsid w:val="00420297"/>
    <w:rsid w:val="004204E5"/>
    <w:rsid w:val="0042076C"/>
    <w:rsid w:val="00420F1D"/>
    <w:rsid w:val="004211A9"/>
    <w:rsid w:val="004215A3"/>
    <w:rsid w:val="004218DF"/>
    <w:rsid w:val="00421BC6"/>
    <w:rsid w:val="00421D59"/>
    <w:rsid w:val="004222C8"/>
    <w:rsid w:val="004222D5"/>
    <w:rsid w:val="00422A09"/>
    <w:rsid w:val="00422F89"/>
    <w:rsid w:val="004234AB"/>
    <w:rsid w:val="00423D74"/>
    <w:rsid w:val="00423F65"/>
    <w:rsid w:val="004247FB"/>
    <w:rsid w:val="0042480A"/>
    <w:rsid w:val="004248F7"/>
    <w:rsid w:val="00424BA1"/>
    <w:rsid w:val="00424D30"/>
    <w:rsid w:val="004253E2"/>
    <w:rsid w:val="004255AF"/>
    <w:rsid w:val="004257F9"/>
    <w:rsid w:val="004258B7"/>
    <w:rsid w:val="00426498"/>
    <w:rsid w:val="004264F0"/>
    <w:rsid w:val="00426528"/>
    <w:rsid w:val="0042684C"/>
    <w:rsid w:val="00426A23"/>
    <w:rsid w:val="004270F7"/>
    <w:rsid w:val="004274FC"/>
    <w:rsid w:val="00427632"/>
    <w:rsid w:val="00427CD6"/>
    <w:rsid w:val="0043000F"/>
    <w:rsid w:val="0043016E"/>
    <w:rsid w:val="00430A2A"/>
    <w:rsid w:val="00430C4F"/>
    <w:rsid w:val="00430E8A"/>
    <w:rsid w:val="00430FEB"/>
    <w:rsid w:val="0043102E"/>
    <w:rsid w:val="004310D4"/>
    <w:rsid w:val="0043140A"/>
    <w:rsid w:val="0043140D"/>
    <w:rsid w:val="004314AD"/>
    <w:rsid w:val="0043182B"/>
    <w:rsid w:val="00431D3D"/>
    <w:rsid w:val="00431DC2"/>
    <w:rsid w:val="004320C7"/>
    <w:rsid w:val="0043211E"/>
    <w:rsid w:val="00432792"/>
    <w:rsid w:val="004328D3"/>
    <w:rsid w:val="00432A6D"/>
    <w:rsid w:val="00432A75"/>
    <w:rsid w:val="00432F20"/>
    <w:rsid w:val="00433059"/>
    <w:rsid w:val="004338F2"/>
    <w:rsid w:val="00433C54"/>
    <w:rsid w:val="00433C8D"/>
    <w:rsid w:val="00433FB6"/>
    <w:rsid w:val="0043400B"/>
    <w:rsid w:val="00434525"/>
    <w:rsid w:val="00434DA7"/>
    <w:rsid w:val="0043511D"/>
    <w:rsid w:val="00435443"/>
    <w:rsid w:val="00435520"/>
    <w:rsid w:val="00435689"/>
    <w:rsid w:val="00435F31"/>
    <w:rsid w:val="004360CF"/>
    <w:rsid w:val="00436294"/>
    <w:rsid w:val="00436403"/>
    <w:rsid w:val="00436DE6"/>
    <w:rsid w:val="00436DED"/>
    <w:rsid w:val="0043792A"/>
    <w:rsid w:val="004379AE"/>
    <w:rsid w:val="00437D2E"/>
    <w:rsid w:val="00437F9B"/>
    <w:rsid w:val="00440048"/>
    <w:rsid w:val="004404F5"/>
    <w:rsid w:val="00440744"/>
    <w:rsid w:val="00440918"/>
    <w:rsid w:val="00440A02"/>
    <w:rsid w:val="00440C5B"/>
    <w:rsid w:val="00441149"/>
    <w:rsid w:val="0044162C"/>
    <w:rsid w:val="00441870"/>
    <w:rsid w:val="00441A89"/>
    <w:rsid w:val="00441E9C"/>
    <w:rsid w:val="0044247F"/>
    <w:rsid w:val="00442BD5"/>
    <w:rsid w:val="00442E53"/>
    <w:rsid w:val="00442FEF"/>
    <w:rsid w:val="004432DC"/>
    <w:rsid w:val="00443670"/>
    <w:rsid w:val="00443A21"/>
    <w:rsid w:val="00443A54"/>
    <w:rsid w:val="00443A69"/>
    <w:rsid w:val="00443AD3"/>
    <w:rsid w:val="004443A0"/>
    <w:rsid w:val="00444657"/>
    <w:rsid w:val="0044471C"/>
    <w:rsid w:val="00444DAF"/>
    <w:rsid w:val="00444E02"/>
    <w:rsid w:val="00444EC6"/>
    <w:rsid w:val="00445599"/>
    <w:rsid w:val="00445C06"/>
    <w:rsid w:val="004461CF"/>
    <w:rsid w:val="00446270"/>
    <w:rsid w:val="00446919"/>
    <w:rsid w:val="00446BD3"/>
    <w:rsid w:val="00446DB1"/>
    <w:rsid w:val="00447114"/>
    <w:rsid w:val="00447178"/>
    <w:rsid w:val="00447395"/>
    <w:rsid w:val="004477DB"/>
    <w:rsid w:val="00447E0F"/>
    <w:rsid w:val="004503E4"/>
    <w:rsid w:val="004506A8"/>
    <w:rsid w:val="00450C10"/>
    <w:rsid w:val="00450C25"/>
    <w:rsid w:val="00450C88"/>
    <w:rsid w:val="00451065"/>
    <w:rsid w:val="004514A1"/>
    <w:rsid w:val="0045157A"/>
    <w:rsid w:val="00452584"/>
    <w:rsid w:val="00452808"/>
    <w:rsid w:val="00452A52"/>
    <w:rsid w:val="00452B7D"/>
    <w:rsid w:val="00452C4A"/>
    <w:rsid w:val="00452E47"/>
    <w:rsid w:val="00453076"/>
    <w:rsid w:val="00453C5F"/>
    <w:rsid w:val="00453E23"/>
    <w:rsid w:val="0045400B"/>
    <w:rsid w:val="0045415D"/>
    <w:rsid w:val="00454616"/>
    <w:rsid w:val="004547EF"/>
    <w:rsid w:val="00454A27"/>
    <w:rsid w:val="00454DCA"/>
    <w:rsid w:val="00455085"/>
    <w:rsid w:val="00455300"/>
    <w:rsid w:val="004553E6"/>
    <w:rsid w:val="00455C09"/>
    <w:rsid w:val="00456415"/>
    <w:rsid w:val="00456BFF"/>
    <w:rsid w:val="00456CCB"/>
    <w:rsid w:val="004572EA"/>
    <w:rsid w:val="0045777C"/>
    <w:rsid w:val="0046015F"/>
    <w:rsid w:val="0046041F"/>
    <w:rsid w:val="0046051B"/>
    <w:rsid w:val="00460D2C"/>
    <w:rsid w:val="00461743"/>
    <w:rsid w:val="00461B62"/>
    <w:rsid w:val="00461C56"/>
    <w:rsid w:val="00461F08"/>
    <w:rsid w:val="004620D2"/>
    <w:rsid w:val="0046212A"/>
    <w:rsid w:val="004625F8"/>
    <w:rsid w:val="0046272B"/>
    <w:rsid w:val="00462B60"/>
    <w:rsid w:val="004632BF"/>
    <w:rsid w:val="00463374"/>
    <w:rsid w:val="004644DE"/>
    <w:rsid w:val="0046462D"/>
    <w:rsid w:val="00464CA3"/>
    <w:rsid w:val="00464D3A"/>
    <w:rsid w:val="00464D64"/>
    <w:rsid w:val="00464E16"/>
    <w:rsid w:val="00464F59"/>
    <w:rsid w:val="004659F6"/>
    <w:rsid w:val="00465BEF"/>
    <w:rsid w:val="00465DD6"/>
    <w:rsid w:val="00466BC6"/>
    <w:rsid w:val="00467007"/>
    <w:rsid w:val="00467440"/>
    <w:rsid w:val="00467EBF"/>
    <w:rsid w:val="00470494"/>
    <w:rsid w:val="00470701"/>
    <w:rsid w:val="00470855"/>
    <w:rsid w:val="004708C5"/>
    <w:rsid w:val="00470D66"/>
    <w:rsid w:val="00471110"/>
    <w:rsid w:val="0047120A"/>
    <w:rsid w:val="00471280"/>
    <w:rsid w:val="00471306"/>
    <w:rsid w:val="00471BDE"/>
    <w:rsid w:val="00471FFB"/>
    <w:rsid w:val="0047208B"/>
    <w:rsid w:val="00472682"/>
    <w:rsid w:val="0047283F"/>
    <w:rsid w:val="004730A0"/>
    <w:rsid w:val="004735C9"/>
    <w:rsid w:val="00473937"/>
    <w:rsid w:val="00473AE5"/>
    <w:rsid w:val="00473BAF"/>
    <w:rsid w:val="004740DB"/>
    <w:rsid w:val="004740FC"/>
    <w:rsid w:val="004743DC"/>
    <w:rsid w:val="0047463A"/>
    <w:rsid w:val="00475508"/>
    <w:rsid w:val="004757CC"/>
    <w:rsid w:val="0047606E"/>
    <w:rsid w:val="004760AD"/>
    <w:rsid w:val="004761F9"/>
    <w:rsid w:val="004765EE"/>
    <w:rsid w:val="00476BA0"/>
    <w:rsid w:val="00476C60"/>
    <w:rsid w:val="00477123"/>
    <w:rsid w:val="004771EB"/>
    <w:rsid w:val="00477278"/>
    <w:rsid w:val="00477509"/>
    <w:rsid w:val="004778FF"/>
    <w:rsid w:val="004805F1"/>
    <w:rsid w:val="00482091"/>
    <w:rsid w:val="00482400"/>
    <w:rsid w:val="0048254F"/>
    <w:rsid w:val="00482A1F"/>
    <w:rsid w:val="0048319A"/>
    <w:rsid w:val="004838A9"/>
    <w:rsid w:val="004839B1"/>
    <w:rsid w:val="00483BC7"/>
    <w:rsid w:val="00483E52"/>
    <w:rsid w:val="00484180"/>
    <w:rsid w:val="004842BF"/>
    <w:rsid w:val="004842F1"/>
    <w:rsid w:val="00484347"/>
    <w:rsid w:val="004846C1"/>
    <w:rsid w:val="00484768"/>
    <w:rsid w:val="004848CC"/>
    <w:rsid w:val="00484BB0"/>
    <w:rsid w:val="00485008"/>
    <w:rsid w:val="0048513D"/>
    <w:rsid w:val="0048541C"/>
    <w:rsid w:val="00485650"/>
    <w:rsid w:val="004856EF"/>
    <w:rsid w:val="00485927"/>
    <w:rsid w:val="00485AA5"/>
    <w:rsid w:val="004860E5"/>
    <w:rsid w:val="0048614F"/>
    <w:rsid w:val="00486B3D"/>
    <w:rsid w:val="00486CC5"/>
    <w:rsid w:val="004878B6"/>
    <w:rsid w:val="00487905"/>
    <w:rsid w:val="0048797D"/>
    <w:rsid w:val="00487B3F"/>
    <w:rsid w:val="00487EA5"/>
    <w:rsid w:val="0049000A"/>
    <w:rsid w:val="0049038E"/>
    <w:rsid w:val="004904BC"/>
    <w:rsid w:val="004908D5"/>
    <w:rsid w:val="0049090D"/>
    <w:rsid w:val="00490953"/>
    <w:rsid w:val="00490B52"/>
    <w:rsid w:val="00491159"/>
    <w:rsid w:val="004914C7"/>
    <w:rsid w:val="004917A5"/>
    <w:rsid w:val="00491C01"/>
    <w:rsid w:val="00491C4E"/>
    <w:rsid w:val="00492904"/>
    <w:rsid w:val="00492984"/>
    <w:rsid w:val="00492BDF"/>
    <w:rsid w:val="00492C3F"/>
    <w:rsid w:val="00492D85"/>
    <w:rsid w:val="00492E4E"/>
    <w:rsid w:val="00493C06"/>
    <w:rsid w:val="00493E84"/>
    <w:rsid w:val="0049424B"/>
    <w:rsid w:val="0049495E"/>
    <w:rsid w:val="00494CE6"/>
    <w:rsid w:val="00494E48"/>
    <w:rsid w:val="00495D0E"/>
    <w:rsid w:val="00495DD9"/>
    <w:rsid w:val="004970C7"/>
    <w:rsid w:val="00497BD9"/>
    <w:rsid w:val="00497C82"/>
    <w:rsid w:val="00497DBE"/>
    <w:rsid w:val="004A04A5"/>
    <w:rsid w:val="004A05AD"/>
    <w:rsid w:val="004A099C"/>
    <w:rsid w:val="004A0AD4"/>
    <w:rsid w:val="004A0B4E"/>
    <w:rsid w:val="004A12E6"/>
    <w:rsid w:val="004A1311"/>
    <w:rsid w:val="004A1586"/>
    <w:rsid w:val="004A1D11"/>
    <w:rsid w:val="004A1E45"/>
    <w:rsid w:val="004A2336"/>
    <w:rsid w:val="004A3361"/>
    <w:rsid w:val="004A3D9C"/>
    <w:rsid w:val="004A3DB7"/>
    <w:rsid w:val="004A4ACF"/>
    <w:rsid w:val="004A4D71"/>
    <w:rsid w:val="004A5289"/>
    <w:rsid w:val="004A54A7"/>
    <w:rsid w:val="004A560C"/>
    <w:rsid w:val="004A562B"/>
    <w:rsid w:val="004A57C3"/>
    <w:rsid w:val="004A594D"/>
    <w:rsid w:val="004A5F39"/>
    <w:rsid w:val="004A61D3"/>
    <w:rsid w:val="004A6839"/>
    <w:rsid w:val="004A6974"/>
    <w:rsid w:val="004A6E20"/>
    <w:rsid w:val="004A7531"/>
    <w:rsid w:val="004A75BE"/>
    <w:rsid w:val="004A7782"/>
    <w:rsid w:val="004A7CB8"/>
    <w:rsid w:val="004A7EF6"/>
    <w:rsid w:val="004B0C13"/>
    <w:rsid w:val="004B0CB2"/>
    <w:rsid w:val="004B0DFB"/>
    <w:rsid w:val="004B10EE"/>
    <w:rsid w:val="004B12B6"/>
    <w:rsid w:val="004B2065"/>
    <w:rsid w:val="004B2273"/>
    <w:rsid w:val="004B2488"/>
    <w:rsid w:val="004B292A"/>
    <w:rsid w:val="004B32BE"/>
    <w:rsid w:val="004B3608"/>
    <w:rsid w:val="004B37B0"/>
    <w:rsid w:val="004B3817"/>
    <w:rsid w:val="004B3C6F"/>
    <w:rsid w:val="004B3FC2"/>
    <w:rsid w:val="004B4175"/>
    <w:rsid w:val="004B46E7"/>
    <w:rsid w:val="004B49D5"/>
    <w:rsid w:val="004B4B38"/>
    <w:rsid w:val="004B516A"/>
    <w:rsid w:val="004B5494"/>
    <w:rsid w:val="004B571E"/>
    <w:rsid w:val="004B5906"/>
    <w:rsid w:val="004B67E3"/>
    <w:rsid w:val="004B71C8"/>
    <w:rsid w:val="004B7FF9"/>
    <w:rsid w:val="004C00F9"/>
    <w:rsid w:val="004C08B6"/>
    <w:rsid w:val="004C0DD6"/>
    <w:rsid w:val="004C0F2A"/>
    <w:rsid w:val="004C123D"/>
    <w:rsid w:val="004C16F4"/>
    <w:rsid w:val="004C1904"/>
    <w:rsid w:val="004C1C70"/>
    <w:rsid w:val="004C1D88"/>
    <w:rsid w:val="004C1F63"/>
    <w:rsid w:val="004C2013"/>
    <w:rsid w:val="004C2238"/>
    <w:rsid w:val="004C2469"/>
    <w:rsid w:val="004C2494"/>
    <w:rsid w:val="004C2E13"/>
    <w:rsid w:val="004C3719"/>
    <w:rsid w:val="004C3930"/>
    <w:rsid w:val="004C3970"/>
    <w:rsid w:val="004C3EE0"/>
    <w:rsid w:val="004C45A2"/>
    <w:rsid w:val="004C47FE"/>
    <w:rsid w:val="004C538A"/>
    <w:rsid w:val="004C5A4E"/>
    <w:rsid w:val="004C5B46"/>
    <w:rsid w:val="004C5FBB"/>
    <w:rsid w:val="004C682A"/>
    <w:rsid w:val="004C68DD"/>
    <w:rsid w:val="004C7306"/>
    <w:rsid w:val="004C74CB"/>
    <w:rsid w:val="004C7971"/>
    <w:rsid w:val="004C7DC5"/>
    <w:rsid w:val="004D033F"/>
    <w:rsid w:val="004D0755"/>
    <w:rsid w:val="004D0856"/>
    <w:rsid w:val="004D0CAD"/>
    <w:rsid w:val="004D148A"/>
    <w:rsid w:val="004D1734"/>
    <w:rsid w:val="004D1887"/>
    <w:rsid w:val="004D20CD"/>
    <w:rsid w:val="004D21E7"/>
    <w:rsid w:val="004D2964"/>
    <w:rsid w:val="004D2B81"/>
    <w:rsid w:val="004D2FD0"/>
    <w:rsid w:val="004D34B3"/>
    <w:rsid w:val="004D391B"/>
    <w:rsid w:val="004D3F86"/>
    <w:rsid w:val="004D4439"/>
    <w:rsid w:val="004D4A95"/>
    <w:rsid w:val="004D4BA6"/>
    <w:rsid w:val="004D4D9D"/>
    <w:rsid w:val="004D4F5A"/>
    <w:rsid w:val="004D5001"/>
    <w:rsid w:val="004D6539"/>
    <w:rsid w:val="004D680B"/>
    <w:rsid w:val="004D6E48"/>
    <w:rsid w:val="004D6F94"/>
    <w:rsid w:val="004D70A0"/>
    <w:rsid w:val="004D7351"/>
    <w:rsid w:val="004D762E"/>
    <w:rsid w:val="004D79B6"/>
    <w:rsid w:val="004E07A6"/>
    <w:rsid w:val="004E0B3D"/>
    <w:rsid w:val="004E1282"/>
    <w:rsid w:val="004E1A9D"/>
    <w:rsid w:val="004E1BBC"/>
    <w:rsid w:val="004E1F5D"/>
    <w:rsid w:val="004E1FE2"/>
    <w:rsid w:val="004E20F1"/>
    <w:rsid w:val="004E21DF"/>
    <w:rsid w:val="004E262B"/>
    <w:rsid w:val="004E2754"/>
    <w:rsid w:val="004E2BA9"/>
    <w:rsid w:val="004E2D6D"/>
    <w:rsid w:val="004E2D85"/>
    <w:rsid w:val="004E35B2"/>
    <w:rsid w:val="004E3F54"/>
    <w:rsid w:val="004E4743"/>
    <w:rsid w:val="004E4E8C"/>
    <w:rsid w:val="004E53CF"/>
    <w:rsid w:val="004E5916"/>
    <w:rsid w:val="004E6105"/>
    <w:rsid w:val="004E6465"/>
    <w:rsid w:val="004E6779"/>
    <w:rsid w:val="004E6D40"/>
    <w:rsid w:val="004E6F71"/>
    <w:rsid w:val="004E711E"/>
    <w:rsid w:val="004E7337"/>
    <w:rsid w:val="004E7539"/>
    <w:rsid w:val="004E7696"/>
    <w:rsid w:val="004E7D12"/>
    <w:rsid w:val="004E7DBF"/>
    <w:rsid w:val="004E7E67"/>
    <w:rsid w:val="004F1669"/>
    <w:rsid w:val="004F1CD7"/>
    <w:rsid w:val="004F24A2"/>
    <w:rsid w:val="004F35A9"/>
    <w:rsid w:val="004F3B9E"/>
    <w:rsid w:val="004F47E3"/>
    <w:rsid w:val="004F48A6"/>
    <w:rsid w:val="004F48E5"/>
    <w:rsid w:val="004F4FB8"/>
    <w:rsid w:val="004F5102"/>
    <w:rsid w:val="004F59BE"/>
    <w:rsid w:val="004F5E53"/>
    <w:rsid w:val="004F5E73"/>
    <w:rsid w:val="004F6335"/>
    <w:rsid w:val="004F657D"/>
    <w:rsid w:val="004F6C08"/>
    <w:rsid w:val="004F71A4"/>
    <w:rsid w:val="004F748B"/>
    <w:rsid w:val="004F7F02"/>
    <w:rsid w:val="00500B60"/>
    <w:rsid w:val="00501014"/>
    <w:rsid w:val="005020EF"/>
    <w:rsid w:val="00502772"/>
    <w:rsid w:val="005027B1"/>
    <w:rsid w:val="00502D98"/>
    <w:rsid w:val="00503376"/>
    <w:rsid w:val="005034AB"/>
    <w:rsid w:val="005036ED"/>
    <w:rsid w:val="0050372A"/>
    <w:rsid w:val="0050389B"/>
    <w:rsid w:val="00503C28"/>
    <w:rsid w:val="0050437C"/>
    <w:rsid w:val="00504857"/>
    <w:rsid w:val="00504895"/>
    <w:rsid w:val="00504967"/>
    <w:rsid w:val="00504B45"/>
    <w:rsid w:val="005050AD"/>
    <w:rsid w:val="005054A8"/>
    <w:rsid w:val="00505793"/>
    <w:rsid w:val="00505839"/>
    <w:rsid w:val="0050583B"/>
    <w:rsid w:val="00505B97"/>
    <w:rsid w:val="00505CBF"/>
    <w:rsid w:val="00505EC2"/>
    <w:rsid w:val="00507658"/>
    <w:rsid w:val="005079B5"/>
    <w:rsid w:val="00507B45"/>
    <w:rsid w:val="00510544"/>
    <w:rsid w:val="00510677"/>
    <w:rsid w:val="005109E2"/>
    <w:rsid w:val="00510ABD"/>
    <w:rsid w:val="005111AC"/>
    <w:rsid w:val="0051122C"/>
    <w:rsid w:val="005116F4"/>
    <w:rsid w:val="0051192A"/>
    <w:rsid w:val="005121A3"/>
    <w:rsid w:val="0051226E"/>
    <w:rsid w:val="00512498"/>
    <w:rsid w:val="00512B6A"/>
    <w:rsid w:val="00512B7B"/>
    <w:rsid w:val="00512D4D"/>
    <w:rsid w:val="00513230"/>
    <w:rsid w:val="00513584"/>
    <w:rsid w:val="005139C9"/>
    <w:rsid w:val="00513F08"/>
    <w:rsid w:val="00514048"/>
    <w:rsid w:val="00514889"/>
    <w:rsid w:val="005149A2"/>
    <w:rsid w:val="00514FA0"/>
    <w:rsid w:val="005162FF"/>
    <w:rsid w:val="00516324"/>
    <w:rsid w:val="00516DBE"/>
    <w:rsid w:val="0051761F"/>
    <w:rsid w:val="00517AA3"/>
    <w:rsid w:val="0052051D"/>
    <w:rsid w:val="00520DA6"/>
    <w:rsid w:val="0052103A"/>
    <w:rsid w:val="00521334"/>
    <w:rsid w:val="005213F6"/>
    <w:rsid w:val="00521A63"/>
    <w:rsid w:val="00521BAA"/>
    <w:rsid w:val="00521BEF"/>
    <w:rsid w:val="00521C02"/>
    <w:rsid w:val="00522092"/>
    <w:rsid w:val="005224DA"/>
    <w:rsid w:val="00522725"/>
    <w:rsid w:val="00522A1A"/>
    <w:rsid w:val="00523261"/>
    <w:rsid w:val="005233D0"/>
    <w:rsid w:val="00523EF6"/>
    <w:rsid w:val="005244B2"/>
    <w:rsid w:val="005248C5"/>
    <w:rsid w:val="005254AA"/>
    <w:rsid w:val="00525AA9"/>
    <w:rsid w:val="00526494"/>
    <w:rsid w:val="0052685C"/>
    <w:rsid w:val="00526DBB"/>
    <w:rsid w:val="005274CC"/>
    <w:rsid w:val="00527D24"/>
    <w:rsid w:val="00530049"/>
    <w:rsid w:val="0053013E"/>
    <w:rsid w:val="005301E1"/>
    <w:rsid w:val="005307B3"/>
    <w:rsid w:val="00530A17"/>
    <w:rsid w:val="00530DF5"/>
    <w:rsid w:val="00530E03"/>
    <w:rsid w:val="0053111C"/>
    <w:rsid w:val="005316CC"/>
    <w:rsid w:val="00531AF4"/>
    <w:rsid w:val="00532409"/>
    <w:rsid w:val="00532540"/>
    <w:rsid w:val="00532591"/>
    <w:rsid w:val="00532592"/>
    <w:rsid w:val="005326EF"/>
    <w:rsid w:val="005328F7"/>
    <w:rsid w:val="00532B54"/>
    <w:rsid w:val="00532C2C"/>
    <w:rsid w:val="00532CE9"/>
    <w:rsid w:val="00533491"/>
    <w:rsid w:val="005334A6"/>
    <w:rsid w:val="0053350B"/>
    <w:rsid w:val="00533C27"/>
    <w:rsid w:val="005341E0"/>
    <w:rsid w:val="0053469A"/>
    <w:rsid w:val="00534A7D"/>
    <w:rsid w:val="00534C94"/>
    <w:rsid w:val="00534D0D"/>
    <w:rsid w:val="005352D1"/>
    <w:rsid w:val="00535706"/>
    <w:rsid w:val="005358C4"/>
    <w:rsid w:val="00536AB8"/>
    <w:rsid w:val="00537114"/>
    <w:rsid w:val="00537179"/>
    <w:rsid w:val="00537191"/>
    <w:rsid w:val="00537440"/>
    <w:rsid w:val="00537476"/>
    <w:rsid w:val="0053756F"/>
    <w:rsid w:val="005377DB"/>
    <w:rsid w:val="00537C15"/>
    <w:rsid w:val="005400B9"/>
    <w:rsid w:val="005402C2"/>
    <w:rsid w:val="0054094A"/>
    <w:rsid w:val="005414B2"/>
    <w:rsid w:val="005416A1"/>
    <w:rsid w:val="005418AA"/>
    <w:rsid w:val="005419C7"/>
    <w:rsid w:val="00542134"/>
    <w:rsid w:val="00542C55"/>
    <w:rsid w:val="00542E83"/>
    <w:rsid w:val="00543066"/>
    <w:rsid w:val="00543B4F"/>
    <w:rsid w:val="00544BAE"/>
    <w:rsid w:val="0054515B"/>
    <w:rsid w:val="00545268"/>
    <w:rsid w:val="005457EC"/>
    <w:rsid w:val="00545BBC"/>
    <w:rsid w:val="0054602B"/>
    <w:rsid w:val="005461DC"/>
    <w:rsid w:val="005465C7"/>
    <w:rsid w:val="005465D1"/>
    <w:rsid w:val="00546E3D"/>
    <w:rsid w:val="00547797"/>
    <w:rsid w:val="00547863"/>
    <w:rsid w:val="00547986"/>
    <w:rsid w:val="00547997"/>
    <w:rsid w:val="00547CEA"/>
    <w:rsid w:val="00550224"/>
    <w:rsid w:val="005505D9"/>
    <w:rsid w:val="00550616"/>
    <w:rsid w:val="00550FD1"/>
    <w:rsid w:val="00551205"/>
    <w:rsid w:val="005516A0"/>
    <w:rsid w:val="00551735"/>
    <w:rsid w:val="00551B50"/>
    <w:rsid w:val="00551E98"/>
    <w:rsid w:val="005529CF"/>
    <w:rsid w:val="00552E26"/>
    <w:rsid w:val="00553087"/>
    <w:rsid w:val="005534AC"/>
    <w:rsid w:val="00553580"/>
    <w:rsid w:val="00553696"/>
    <w:rsid w:val="00553757"/>
    <w:rsid w:val="00553AA9"/>
    <w:rsid w:val="00553C69"/>
    <w:rsid w:val="00553E6C"/>
    <w:rsid w:val="0055499A"/>
    <w:rsid w:val="00554C2A"/>
    <w:rsid w:val="005550F5"/>
    <w:rsid w:val="005551BB"/>
    <w:rsid w:val="0055585C"/>
    <w:rsid w:val="005558B1"/>
    <w:rsid w:val="00555FEE"/>
    <w:rsid w:val="00556610"/>
    <w:rsid w:val="00556C27"/>
    <w:rsid w:val="00556E1F"/>
    <w:rsid w:val="0055720E"/>
    <w:rsid w:val="00557810"/>
    <w:rsid w:val="0055792C"/>
    <w:rsid w:val="00557D51"/>
    <w:rsid w:val="00560CC2"/>
    <w:rsid w:val="005616CA"/>
    <w:rsid w:val="0056172B"/>
    <w:rsid w:val="00561F93"/>
    <w:rsid w:val="00562968"/>
    <w:rsid w:val="00563AAD"/>
    <w:rsid w:val="00563AF7"/>
    <w:rsid w:val="00563F4A"/>
    <w:rsid w:val="0056410A"/>
    <w:rsid w:val="0056482C"/>
    <w:rsid w:val="00565393"/>
    <w:rsid w:val="005653EF"/>
    <w:rsid w:val="005656EA"/>
    <w:rsid w:val="00565D7C"/>
    <w:rsid w:val="00565F71"/>
    <w:rsid w:val="00567181"/>
    <w:rsid w:val="005671F5"/>
    <w:rsid w:val="00567726"/>
    <w:rsid w:val="00567F23"/>
    <w:rsid w:val="005700F2"/>
    <w:rsid w:val="00570C5F"/>
    <w:rsid w:val="00571269"/>
    <w:rsid w:val="00571802"/>
    <w:rsid w:val="00572023"/>
    <w:rsid w:val="0057231B"/>
    <w:rsid w:val="00572740"/>
    <w:rsid w:val="00572832"/>
    <w:rsid w:val="005728E7"/>
    <w:rsid w:val="00572DD4"/>
    <w:rsid w:val="00572E25"/>
    <w:rsid w:val="00572E4B"/>
    <w:rsid w:val="00573C34"/>
    <w:rsid w:val="00573F80"/>
    <w:rsid w:val="0057416A"/>
    <w:rsid w:val="00574BD4"/>
    <w:rsid w:val="0057537A"/>
    <w:rsid w:val="005753F7"/>
    <w:rsid w:val="0057548A"/>
    <w:rsid w:val="00575943"/>
    <w:rsid w:val="0057636E"/>
    <w:rsid w:val="005764BC"/>
    <w:rsid w:val="00576569"/>
    <w:rsid w:val="00576991"/>
    <w:rsid w:val="005769D4"/>
    <w:rsid w:val="00576A2A"/>
    <w:rsid w:val="00576BED"/>
    <w:rsid w:val="00576D61"/>
    <w:rsid w:val="00576FA2"/>
    <w:rsid w:val="005776D5"/>
    <w:rsid w:val="005777EF"/>
    <w:rsid w:val="00577C9E"/>
    <w:rsid w:val="00577CA5"/>
    <w:rsid w:val="00577F7A"/>
    <w:rsid w:val="0058000D"/>
    <w:rsid w:val="005800AF"/>
    <w:rsid w:val="005800F3"/>
    <w:rsid w:val="005805C8"/>
    <w:rsid w:val="005805E2"/>
    <w:rsid w:val="0058080F"/>
    <w:rsid w:val="005809EF"/>
    <w:rsid w:val="00580F35"/>
    <w:rsid w:val="00581860"/>
    <w:rsid w:val="00582285"/>
    <w:rsid w:val="00582570"/>
    <w:rsid w:val="00582825"/>
    <w:rsid w:val="0058292A"/>
    <w:rsid w:val="00582C2B"/>
    <w:rsid w:val="00582EA7"/>
    <w:rsid w:val="0058372F"/>
    <w:rsid w:val="00583A40"/>
    <w:rsid w:val="00583F4F"/>
    <w:rsid w:val="005840C5"/>
    <w:rsid w:val="00584846"/>
    <w:rsid w:val="00584B02"/>
    <w:rsid w:val="005854AE"/>
    <w:rsid w:val="005859AF"/>
    <w:rsid w:val="00586223"/>
    <w:rsid w:val="00586375"/>
    <w:rsid w:val="005866FB"/>
    <w:rsid w:val="0058672C"/>
    <w:rsid w:val="00586DBD"/>
    <w:rsid w:val="00586E00"/>
    <w:rsid w:val="005872BF"/>
    <w:rsid w:val="00587565"/>
    <w:rsid w:val="0058781D"/>
    <w:rsid w:val="00587B75"/>
    <w:rsid w:val="00587B98"/>
    <w:rsid w:val="00587CD3"/>
    <w:rsid w:val="00587DFD"/>
    <w:rsid w:val="00587E43"/>
    <w:rsid w:val="00590320"/>
    <w:rsid w:val="00590408"/>
    <w:rsid w:val="0059051D"/>
    <w:rsid w:val="005908A5"/>
    <w:rsid w:val="00590BBC"/>
    <w:rsid w:val="00590CCB"/>
    <w:rsid w:val="00590E87"/>
    <w:rsid w:val="0059106B"/>
    <w:rsid w:val="0059136B"/>
    <w:rsid w:val="00591985"/>
    <w:rsid w:val="00591B98"/>
    <w:rsid w:val="00591BE8"/>
    <w:rsid w:val="005924A1"/>
    <w:rsid w:val="005928CE"/>
    <w:rsid w:val="005929E4"/>
    <w:rsid w:val="005930C7"/>
    <w:rsid w:val="0059354F"/>
    <w:rsid w:val="00593725"/>
    <w:rsid w:val="00593E86"/>
    <w:rsid w:val="00594342"/>
    <w:rsid w:val="00594656"/>
    <w:rsid w:val="0059466D"/>
    <w:rsid w:val="00594AA2"/>
    <w:rsid w:val="00594D8B"/>
    <w:rsid w:val="00594F3C"/>
    <w:rsid w:val="00594F73"/>
    <w:rsid w:val="00594FAE"/>
    <w:rsid w:val="00595A58"/>
    <w:rsid w:val="00595E96"/>
    <w:rsid w:val="00596011"/>
    <w:rsid w:val="005965F6"/>
    <w:rsid w:val="005971E7"/>
    <w:rsid w:val="005972BB"/>
    <w:rsid w:val="005974EA"/>
    <w:rsid w:val="005A036C"/>
    <w:rsid w:val="005A078C"/>
    <w:rsid w:val="005A0852"/>
    <w:rsid w:val="005A09FA"/>
    <w:rsid w:val="005A0BC2"/>
    <w:rsid w:val="005A0F33"/>
    <w:rsid w:val="005A12F1"/>
    <w:rsid w:val="005A165D"/>
    <w:rsid w:val="005A256A"/>
    <w:rsid w:val="005A2CDD"/>
    <w:rsid w:val="005A2DFC"/>
    <w:rsid w:val="005A339B"/>
    <w:rsid w:val="005A3899"/>
    <w:rsid w:val="005A3A18"/>
    <w:rsid w:val="005A3E39"/>
    <w:rsid w:val="005A45FF"/>
    <w:rsid w:val="005A48CE"/>
    <w:rsid w:val="005A4FEA"/>
    <w:rsid w:val="005A6231"/>
    <w:rsid w:val="005A6379"/>
    <w:rsid w:val="005A6B44"/>
    <w:rsid w:val="005A6D89"/>
    <w:rsid w:val="005A6DB3"/>
    <w:rsid w:val="005A7566"/>
    <w:rsid w:val="005A7651"/>
    <w:rsid w:val="005A7881"/>
    <w:rsid w:val="005A78C2"/>
    <w:rsid w:val="005A7905"/>
    <w:rsid w:val="005A7C05"/>
    <w:rsid w:val="005A7C15"/>
    <w:rsid w:val="005A7E43"/>
    <w:rsid w:val="005A7E8C"/>
    <w:rsid w:val="005B0677"/>
    <w:rsid w:val="005B07DD"/>
    <w:rsid w:val="005B0DF1"/>
    <w:rsid w:val="005B0F5B"/>
    <w:rsid w:val="005B0F94"/>
    <w:rsid w:val="005B1438"/>
    <w:rsid w:val="005B16FB"/>
    <w:rsid w:val="005B1A5B"/>
    <w:rsid w:val="005B22F1"/>
    <w:rsid w:val="005B252C"/>
    <w:rsid w:val="005B2963"/>
    <w:rsid w:val="005B2C35"/>
    <w:rsid w:val="005B2DB3"/>
    <w:rsid w:val="005B2DD1"/>
    <w:rsid w:val="005B2EFC"/>
    <w:rsid w:val="005B31B2"/>
    <w:rsid w:val="005B3357"/>
    <w:rsid w:val="005B34F3"/>
    <w:rsid w:val="005B3BEF"/>
    <w:rsid w:val="005B3C73"/>
    <w:rsid w:val="005B4132"/>
    <w:rsid w:val="005B4242"/>
    <w:rsid w:val="005B4536"/>
    <w:rsid w:val="005B4632"/>
    <w:rsid w:val="005B5008"/>
    <w:rsid w:val="005B5BA9"/>
    <w:rsid w:val="005B64F0"/>
    <w:rsid w:val="005B6798"/>
    <w:rsid w:val="005B6C41"/>
    <w:rsid w:val="005B7533"/>
    <w:rsid w:val="005B765F"/>
    <w:rsid w:val="005C04FD"/>
    <w:rsid w:val="005C0B6A"/>
    <w:rsid w:val="005C0D1D"/>
    <w:rsid w:val="005C1284"/>
    <w:rsid w:val="005C14F6"/>
    <w:rsid w:val="005C1B73"/>
    <w:rsid w:val="005C27E2"/>
    <w:rsid w:val="005C316A"/>
    <w:rsid w:val="005C32B1"/>
    <w:rsid w:val="005C34EA"/>
    <w:rsid w:val="005C35DF"/>
    <w:rsid w:val="005C3C4C"/>
    <w:rsid w:val="005C4153"/>
    <w:rsid w:val="005C4245"/>
    <w:rsid w:val="005C43BF"/>
    <w:rsid w:val="005C44B1"/>
    <w:rsid w:val="005C4AFF"/>
    <w:rsid w:val="005C4BDD"/>
    <w:rsid w:val="005C50B2"/>
    <w:rsid w:val="005C5324"/>
    <w:rsid w:val="005C5468"/>
    <w:rsid w:val="005C5550"/>
    <w:rsid w:val="005C6226"/>
    <w:rsid w:val="005C675C"/>
    <w:rsid w:val="005C7290"/>
    <w:rsid w:val="005C7489"/>
    <w:rsid w:val="005C764E"/>
    <w:rsid w:val="005C7F35"/>
    <w:rsid w:val="005C7F4A"/>
    <w:rsid w:val="005D05AD"/>
    <w:rsid w:val="005D08D3"/>
    <w:rsid w:val="005D0E9A"/>
    <w:rsid w:val="005D0FFC"/>
    <w:rsid w:val="005D112B"/>
    <w:rsid w:val="005D197A"/>
    <w:rsid w:val="005D19A4"/>
    <w:rsid w:val="005D2484"/>
    <w:rsid w:val="005D2759"/>
    <w:rsid w:val="005D27FF"/>
    <w:rsid w:val="005D2970"/>
    <w:rsid w:val="005D3A19"/>
    <w:rsid w:val="005D3A56"/>
    <w:rsid w:val="005D3BFF"/>
    <w:rsid w:val="005D3C3C"/>
    <w:rsid w:val="005D3D5B"/>
    <w:rsid w:val="005D4201"/>
    <w:rsid w:val="005D479B"/>
    <w:rsid w:val="005D4CD0"/>
    <w:rsid w:val="005D502A"/>
    <w:rsid w:val="005D5626"/>
    <w:rsid w:val="005D5A0E"/>
    <w:rsid w:val="005D5A61"/>
    <w:rsid w:val="005D5B78"/>
    <w:rsid w:val="005D5B7A"/>
    <w:rsid w:val="005D665F"/>
    <w:rsid w:val="005D685C"/>
    <w:rsid w:val="005D68F0"/>
    <w:rsid w:val="005D6F34"/>
    <w:rsid w:val="005D738F"/>
    <w:rsid w:val="005D73C8"/>
    <w:rsid w:val="005E01A8"/>
    <w:rsid w:val="005E052F"/>
    <w:rsid w:val="005E105F"/>
    <w:rsid w:val="005E11CA"/>
    <w:rsid w:val="005E13E6"/>
    <w:rsid w:val="005E15E9"/>
    <w:rsid w:val="005E1896"/>
    <w:rsid w:val="005E1965"/>
    <w:rsid w:val="005E2168"/>
    <w:rsid w:val="005E2E01"/>
    <w:rsid w:val="005E2FD0"/>
    <w:rsid w:val="005E316E"/>
    <w:rsid w:val="005E3906"/>
    <w:rsid w:val="005E3BF5"/>
    <w:rsid w:val="005E3F05"/>
    <w:rsid w:val="005E411F"/>
    <w:rsid w:val="005E42F4"/>
    <w:rsid w:val="005E4B0A"/>
    <w:rsid w:val="005E520E"/>
    <w:rsid w:val="005E54D8"/>
    <w:rsid w:val="005E559D"/>
    <w:rsid w:val="005E5705"/>
    <w:rsid w:val="005E5A6D"/>
    <w:rsid w:val="005E5C5A"/>
    <w:rsid w:val="005E5D06"/>
    <w:rsid w:val="005E5D0F"/>
    <w:rsid w:val="005E5E8C"/>
    <w:rsid w:val="005E6078"/>
    <w:rsid w:val="005E60A7"/>
    <w:rsid w:val="005E6148"/>
    <w:rsid w:val="005E6235"/>
    <w:rsid w:val="005E649A"/>
    <w:rsid w:val="005E696C"/>
    <w:rsid w:val="005E6DE2"/>
    <w:rsid w:val="005E70DA"/>
    <w:rsid w:val="005E711C"/>
    <w:rsid w:val="005E7131"/>
    <w:rsid w:val="005E72E0"/>
    <w:rsid w:val="005E741D"/>
    <w:rsid w:val="005E7422"/>
    <w:rsid w:val="005E77EC"/>
    <w:rsid w:val="005E781A"/>
    <w:rsid w:val="005E7911"/>
    <w:rsid w:val="005E7B20"/>
    <w:rsid w:val="005E7C98"/>
    <w:rsid w:val="005E7CF3"/>
    <w:rsid w:val="005F01C3"/>
    <w:rsid w:val="005F0509"/>
    <w:rsid w:val="005F083F"/>
    <w:rsid w:val="005F0AF5"/>
    <w:rsid w:val="005F0C95"/>
    <w:rsid w:val="005F0EE2"/>
    <w:rsid w:val="005F14D2"/>
    <w:rsid w:val="005F164F"/>
    <w:rsid w:val="005F1D07"/>
    <w:rsid w:val="005F225D"/>
    <w:rsid w:val="005F2362"/>
    <w:rsid w:val="005F2621"/>
    <w:rsid w:val="005F2B9A"/>
    <w:rsid w:val="005F335E"/>
    <w:rsid w:val="005F34A3"/>
    <w:rsid w:val="005F3527"/>
    <w:rsid w:val="005F393F"/>
    <w:rsid w:val="005F3D92"/>
    <w:rsid w:val="005F3F7B"/>
    <w:rsid w:val="005F4050"/>
    <w:rsid w:val="005F4191"/>
    <w:rsid w:val="005F43CF"/>
    <w:rsid w:val="005F4B23"/>
    <w:rsid w:val="005F4F68"/>
    <w:rsid w:val="005F5387"/>
    <w:rsid w:val="005F58EB"/>
    <w:rsid w:val="005F59A7"/>
    <w:rsid w:val="005F5E23"/>
    <w:rsid w:val="005F6324"/>
    <w:rsid w:val="005F6407"/>
    <w:rsid w:val="005F64E1"/>
    <w:rsid w:val="005F6776"/>
    <w:rsid w:val="005F7057"/>
    <w:rsid w:val="005F746B"/>
    <w:rsid w:val="005F7C33"/>
    <w:rsid w:val="005F7CBD"/>
    <w:rsid w:val="0060009B"/>
    <w:rsid w:val="0060026E"/>
    <w:rsid w:val="00600351"/>
    <w:rsid w:val="00600698"/>
    <w:rsid w:val="00601396"/>
    <w:rsid w:val="00601A33"/>
    <w:rsid w:val="00602177"/>
    <w:rsid w:val="0060253F"/>
    <w:rsid w:val="0060334B"/>
    <w:rsid w:val="0060375B"/>
    <w:rsid w:val="00603A9D"/>
    <w:rsid w:val="00603EF0"/>
    <w:rsid w:val="0060407F"/>
    <w:rsid w:val="006046B5"/>
    <w:rsid w:val="006046C0"/>
    <w:rsid w:val="006048FC"/>
    <w:rsid w:val="006049E0"/>
    <w:rsid w:val="00604E93"/>
    <w:rsid w:val="0060543A"/>
    <w:rsid w:val="00605552"/>
    <w:rsid w:val="0060581F"/>
    <w:rsid w:val="00606058"/>
    <w:rsid w:val="00606922"/>
    <w:rsid w:val="00606A2A"/>
    <w:rsid w:val="00607965"/>
    <w:rsid w:val="00607A4E"/>
    <w:rsid w:val="00607B47"/>
    <w:rsid w:val="006103D8"/>
    <w:rsid w:val="00610480"/>
    <w:rsid w:val="006105EF"/>
    <w:rsid w:val="00610861"/>
    <w:rsid w:val="00610B14"/>
    <w:rsid w:val="00610E55"/>
    <w:rsid w:val="00611AA9"/>
    <w:rsid w:val="00612F40"/>
    <w:rsid w:val="00613D8E"/>
    <w:rsid w:val="00613EA3"/>
    <w:rsid w:val="00614E38"/>
    <w:rsid w:val="00614FD8"/>
    <w:rsid w:val="00615538"/>
    <w:rsid w:val="00615567"/>
    <w:rsid w:val="0061557E"/>
    <w:rsid w:val="006155C4"/>
    <w:rsid w:val="006156EF"/>
    <w:rsid w:val="0061590A"/>
    <w:rsid w:val="00615B5B"/>
    <w:rsid w:val="00616516"/>
    <w:rsid w:val="0061656B"/>
    <w:rsid w:val="006165D9"/>
    <w:rsid w:val="006166C6"/>
    <w:rsid w:val="00616E84"/>
    <w:rsid w:val="006172CB"/>
    <w:rsid w:val="00617670"/>
    <w:rsid w:val="00617922"/>
    <w:rsid w:val="00617BA9"/>
    <w:rsid w:val="006212EF"/>
    <w:rsid w:val="0062208F"/>
    <w:rsid w:val="00622BC4"/>
    <w:rsid w:val="0062375F"/>
    <w:rsid w:val="006239CE"/>
    <w:rsid w:val="00623D52"/>
    <w:rsid w:val="006248B2"/>
    <w:rsid w:val="00624945"/>
    <w:rsid w:val="00624C2C"/>
    <w:rsid w:val="00624D5A"/>
    <w:rsid w:val="006254F1"/>
    <w:rsid w:val="00625B65"/>
    <w:rsid w:val="00625D66"/>
    <w:rsid w:val="00626021"/>
    <w:rsid w:val="006260CB"/>
    <w:rsid w:val="006260D6"/>
    <w:rsid w:val="00626214"/>
    <w:rsid w:val="006264A9"/>
    <w:rsid w:val="00626511"/>
    <w:rsid w:val="006266F6"/>
    <w:rsid w:val="006273EF"/>
    <w:rsid w:val="00627776"/>
    <w:rsid w:val="00627872"/>
    <w:rsid w:val="00627955"/>
    <w:rsid w:val="00627A05"/>
    <w:rsid w:val="00627B84"/>
    <w:rsid w:val="00627EEB"/>
    <w:rsid w:val="006308A7"/>
    <w:rsid w:val="00630F7A"/>
    <w:rsid w:val="00631492"/>
    <w:rsid w:val="006314FB"/>
    <w:rsid w:val="00631888"/>
    <w:rsid w:val="00631EA4"/>
    <w:rsid w:val="00632035"/>
    <w:rsid w:val="00632286"/>
    <w:rsid w:val="00632FEA"/>
    <w:rsid w:val="00633930"/>
    <w:rsid w:val="00633972"/>
    <w:rsid w:val="00633EBB"/>
    <w:rsid w:val="006345DE"/>
    <w:rsid w:val="00634A54"/>
    <w:rsid w:val="00634C4E"/>
    <w:rsid w:val="00634CC2"/>
    <w:rsid w:val="00634FFA"/>
    <w:rsid w:val="00635287"/>
    <w:rsid w:val="00635BD0"/>
    <w:rsid w:val="00635EB4"/>
    <w:rsid w:val="0063635C"/>
    <w:rsid w:val="00636915"/>
    <w:rsid w:val="0063691A"/>
    <w:rsid w:val="00636ED6"/>
    <w:rsid w:val="00637061"/>
    <w:rsid w:val="006374EA"/>
    <w:rsid w:val="0063791D"/>
    <w:rsid w:val="0063793D"/>
    <w:rsid w:val="00637A96"/>
    <w:rsid w:val="0064003A"/>
    <w:rsid w:val="00640836"/>
    <w:rsid w:val="00640891"/>
    <w:rsid w:val="00640892"/>
    <w:rsid w:val="0064096B"/>
    <w:rsid w:val="0064142E"/>
    <w:rsid w:val="00641546"/>
    <w:rsid w:val="006415AD"/>
    <w:rsid w:val="0064172A"/>
    <w:rsid w:val="00641937"/>
    <w:rsid w:val="006423F7"/>
    <w:rsid w:val="006427C1"/>
    <w:rsid w:val="006428ED"/>
    <w:rsid w:val="00642942"/>
    <w:rsid w:val="00642F98"/>
    <w:rsid w:val="00643431"/>
    <w:rsid w:val="00643652"/>
    <w:rsid w:val="0064368E"/>
    <w:rsid w:val="00643E6A"/>
    <w:rsid w:val="006447A9"/>
    <w:rsid w:val="006449E4"/>
    <w:rsid w:val="00644E2E"/>
    <w:rsid w:val="006451A1"/>
    <w:rsid w:val="0064546E"/>
    <w:rsid w:val="00645993"/>
    <w:rsid w:val="00645B35"/>
    <w:rsid w:val="00645C15"/>
    <w:rsid w:val="00645FD0"/>
    <w:rsid w:val="00646448"/>
    <w:rsid w:val="0064659A"/>
    <w:rsid w:val="006465A8"/>
    <w:rsid w:val="0064684A"/>
    <w:rsid w:val="0064695C"/>
    <w:rsid w:val="00646D26"/>
    <w:rsid w:val="00646DFC"/>
    <w:rsid w:val="00647503"/>
    <w:rsid w:val="006476C7"/>
    <w:rsid w:val="0064798D"/>
    <w:rsid w:val="00650379"/>
    <w:rsid w:val="00650388"/>
    <w:rsid w:val="006506E1"/>
    <w:rsid w:val="00650FD7"/>
    <w:rsid w:val="0065115B"/>
    <w:rsid w:val="00651328"/>
    <w:rsid w:val="00651448"/>
    <w:rsid w:val="00651AF8"/>
    <w:rsid w:val="00651B5D"/>
    <w:rsid w:val="00651F42"/>
    <w:rsid w:val="00652652"/>
    <w:rsid w:val="006526A8"/>
    <w:rsid w:val="006528F8"/>
    <w:rsid w:val="00652EA7"/>
    <w:rsid w:val="00652F29"/>
    <w:rsid w:val="00653204"/>
    <w:rsid w:val="0065342E"/>
    <w:rsid w:val="006535B1"/>
    <w:rsid w:val="00653648"/>
    <w:rsid w:val="00653C01"/>
    <w:rsid w:val="00653D53"/>
    <w:rsid w:val="00654301"/>
    <w:rsid w:val="006544A2"/>
    <w:rsid w:val="00654627"/>
    <w:rsid w:val="00654799"/>
    <w:rsid w:val="00654825"/>
    <w:rsid w:val="00654E2F"/>
    <w:rsid w:val="006552E3"/>
    <w:rsid w:val="006555BA"/>
    <w:rsid w:val="00655697"/>
    <w:rsid w:val="00655D59"/>
    <w:rsid w:val="00655E09"/>
    <w:rsid w:val="00655E6E"/>
    <w:rsid w:val="006567D4"/>
    <w:rsid w:val="00657119"/>
    <w:rsid w:val="00657885"/>
    <w:rsid w:val="00657BEF"/>
    <w:rsid w:val="006609F2"/>
    <w:rsid w:val="00660D6A"/>
    <w:rsid w:val="00660DF2"/>
    <w:rsid w:val="006611CA"/>
    <w:rsid w:val="006613A0"/>
    <w:rsid w:val="006618A0"/>
    <w:rsid w:val="0066194F"/>
    <w:rsid w:val="00661DD0"/>
    <w:rsid w:val="00661F84"/>
    <w:rsid w:val="0066200C"/>
    <w:rsid w:val="00662096"/>
    <w:rsid w:val="006622B0"/>
    <w:rsid w:val="00662C50"/>
    <w:rsid w:val="00663004"/>
    <w:rsid w:val="006631F9"/>
    <w:rsid w:val="00663532"/>
    <w:rsid w:val="00663557"/>
    <w:rsid w:val="00663568"/>
    <w:rsid w:val="006637C3"/>
    <w:rsid w:val="00663939"/>
    <w:rsid w:val="00663971"/>
    <w:rsid w:val="00663BAF"/>
    <w:rsid w:val="00664196"/>
    <w:rsid w:val="0066447A"/>
    <w:rsid w:val="0066489E"/>
    <w:rsid w:val="00664A4B"/>
    <w:rsid w:val="00664BBA"/>
    <w:rsid w:val="0066508A"/>
    <w:rsid w:val="006653F9"/>
    <w:rsid w:val="00665563"/>
    <w:rsid w:val="0066566F"/>
    <w:rsid w:val="00666175"/>
    <w:rsid w:val="00666745"/>
    <w:rsid w:val="00666EBE"/>
    <w:rsid w:val="00666EEB"/>
    <w:rsid w:val="0066704A"/>
    <w:rsid w:val="00667760"/>
    <w:rsid w:val="0067006F"/>
    <w:rsid w:val="006700CA"/>
    <w:rsid w:val="006703CD"/>
    <w:rsid w:val="0067040A"/>
    <w:rsid w:val="00670D5A"/>
    <w:rsid w:val="00671028"/>
    <w:rsid w:val="00671164"/>
    <w:rsid w:val="00671364"/>
    <w:rsid w:val="00671DB9"/>
    <w:rsid w:val="006724B3"/>
    <w:rsid w:val="006727ED"/>
    <w:rsid w:val="00672FB1"/>
    <w:rsid w:val="00673BFA"/>
    <w:rsid w:val="00673C9B"/>
    <w:rsid w:val="006745D7"/>
    <w:rsid w:val="006746B9"/>
    <w:rsid w:val="00674A14"/>
    <w:rsid w:val="00674B38"/>
    <w:rsid w:val="00674ED3"/>
    <w:rsid w:val="00674F50"/>
    <w:rsid w:val="00675024"/>
    <w:rsid w:val="00675491"/>
    <w:rsid w:val="00675FD8"/>
    <w:rsid w:val="00676257"/>
    <w:rsid w:val="00676728"/>
    <w:rsid w:val="00677B94"/>
    <w:rsid w:val="0068003A"/>
    <w:rsid w:val="00680183"/>
    <w:rsid w:val="0068026C"/>
    <w:rsid w:val="00680AB7"/>
    <w:rsid w:val="00680DB3"/>
    <w:rsid w:val="00680FBF"/>
    <w:rsid w:val="0068262B"/>
    <w:rsid w:val="006829B8"/>
    <w:rsid w:val="00682A35"/>
    <w:rsid w:val="00682E83"/>
    <w:rsid w:val="00682FF6"/>
    <w:rsid w:val="0068320B"/>
    <w:rsid w:val="006838A1"/>
    <w:rsid w:val="006838CA"/>
    <w:rsid w:val="00683966"/>
    <w:rsid w:val="00683A48"/>
    <w:rsid w:val="00683CBB"/>
    <w:rsid w:val="00683D95"/>
    <w:rsid w:val="00683E44"/>
    <w:rsid w:val="00683F26"/>
    <w:rsid w:val="006841D8"/>
    <w:rsid w:val="00684431"/>
    <w:rsid w:val="00684A57"/>
    <w:rsid w:val="00684E4D"/>
    <w:rsid w:val="006851DC"/>
    <w:rsid w:val="006859AD"/>
    <w:rsid w:val="00685EED"/>
    <w:rsid w:val="00685EFE"/>
    <w:rsid w:val="00685F24"/>
    <w:rsid w:val="00686557"/>
    <w:rsid w:val="0068687D"/>
    <w:rsid w:val="0068786A"/>
    <w:rsid w:val="0069006C"/>
    <w:rsid w:val="00690FF8"/>
    <w:rsid w:val="006910A7"/>
    <w:rsid w:val="00691178"/>
    <w:rsid w:val="00691821"/>
    <w:rsid w:val="00691E87"/>
    <w:rsid w:val="00692877"/>
    <w:rsid w:val="006928AF"/>
    <w:rsid w:val="00692A7A"/>
    <w:rsid w:val="00692C19"/>
    <w:rsid w:val="006932BE"/>
    <w:rsid w:val="006936AA"/>
    <w:rsid w:val="00693DE2"/>
    <w:rsid w:val="0069410A"/>
    <w:rsid w:val="0069445A"/>
    <w:rsid w:val="006949BB"/>
    <w:rsid w:val="00694BC3"/>
    <w:rsid w:val="00694BC9"/>
    <w:rsid w:val="00694EB6"/>
    <w:rsid w:val="00695009"/>
    <w:rsid w:val="0069627A"/>
    <w:rsid w:val="00696B36"/>
    <w:rsid w:val="00696F85"/>
    <w:rsid w:val="006976EB"/>
    <w:rsid w:val="006978C8"/>
    <w:rsid w:val="00697C0F"/>
    <w:rsid w:val="00697C3A"/>
    <w:rsid w:val="006A06EB"/>
    <w:rsid w:val="006A0E39"/>
    <w:rsid w:val="006A104B"/>
    <w:rsid w:val="006A10A4"/>
    <w:rsid w:val="006A12AC"/>
    <w:rsid w:val="006A13C6"/>
    <w:rsid w:val="006A17A6"/>
    <w:rsid w:val="006A19D4"/>
    <w:rsid w:val="006A1B5A"/>
    <w:rsid w:val="006A1C9E"/>
    <w:rsid w:val="006A22E2"/>
    <w:rsid w:val="006A2AFA"/>
    <w:rsid w:val="006A2B97"/>
    <w:rsid w:val="006A2F43"/>
    <w:rsid w:val="006A36D4"/>
    <w:rsid w:val="006A3B0C"/>
    <w:rsid w:val="006A4874"/>
    <w:rsid w:val="006A4BD1"/>
    <w:rsid w:val="006A5AB9"/>
    <w:rsid w:val="006A5D72"/>
    <w:rsid w:val="006A610A"/>
    <w:rsid w:val="006A61D1"/>
    <w:rsid w:val="006A6B17"/>
    <w:rsid w:val="006A6B7C"/>
    <w:rsid w:val="006A7391"/>
    <w:rsid w:val="006A75E6"/>
    <w:rsid w:val="006B01D5"/>
    <w:rsid w:val="006B0C33"/>
    <w:rsid w:val="006B12B7"/>
    <w:rsid w:val="006B12CF"/>
    <w:rsid w:val="006B1604"/>
    <w:rsid w:val="006B1696"/>
    <w:rsid w:val="006B181B"/>
    <w:rsid w:val="006B1919"/>
    <w:rsid w:val="006B1F87"/>
    <w:rsid w:val="006B276D"/>
    <w:rsid w:val="006B297B"/>
    <w:rsid w:val="006B3855"/>
    <w:rsid w:val="006B3933"/>
    <w:rsid w:val="006B4BC6"/>
    <w:rsid w:val="006B4ECE"/>
    <w:rsid w:val="006B544C"/>
    <w:rsid w:val="006B5A54"/>
    <w:rsid w:val="006B5CEC"/>
    <w:rsid w:val="006B5DA0"/>
    <w:rsid w:val="006B609D"/>
    <w:rsid w:val="006B6793"/>
    <w:rsid w:val="006B6DB5"/>
    <w:rsid w:val="006B72EF"/>
    <w:rsid w:val="006B7B7A"/>
    <w:rsid w:val="006B7E64"/>
    <w:rsid w:val="006C004B"/>
    <w:rsid w:val="006C01C2"/>
    <w:rsid w:val="006C0306"/>
    <w:rsid w:val="006C0472"/>
    <w:rsid w:val="006C049D"/>
    <w:rsid w:val="006C05E3"/>
    <w:rsid w:val="006C07D1"/>
    <w:rsid w:val="006C08E1"/>
    <w:rsid w:val="006C0A35"/>
    <w:rsid w:val="006C0AF8"/>
    <w:rsid w:val="006C0F29"/>
    <w:rsid w:val="006C1226"/>
    <w:rsid w:val="006C132C"/>
    <w:rsid w:val="006C1945"/>
    <w:rsid w:val="006C1D31"/>
    <w:rsid w:val="006C1EF1"/>
    <w:rsid w:val="006C221E"/>
    <w:rsid w:val="006C2925"/>
    <w:rsid w:val="006C2BDF"/>
    <w:rsid w:val="006C2BEE"/>
    <w:rsid w:val="006C2D6A"/>
    <w:rsid w:val="006C3025"/>
    <w:rsid w:val="006C31C6"/>
    <w:rsid w:val="006C327A"/>
    <w:rsid w:val="006C3379"/>
    <w:rsid w:val="006C3804"/>
    <w:rsid w:val="006C3CA3"/>
    <w:rsid w:val="006C41AC"/>
    <w:rsid w:val="006C464D"/>
    <w:rsid w:val="006C4825"/>
    <w:rsid w:val="006C49BB"/>
    <w:rsid w:val="006C500A"/>
    <w:rsid w:val="006C524A"/>
    <w:rsid w:val="006C52E9"/>
    <w:rsid w:val="006C54AA"/>
    <w:rsid w:val="006C55FC"/>
    <w:rsid w:val="006C66C2"/>
    <w:rsid w:val="006C6C85"/>
    <w:rsid w:val="006C6DB7"/>
    <w:rsid w:val="006C6E1D"/>
    <w:rsid w:val="006C702C"/>
    <w:rsid w:val="006C7090"/>
    <w:rsid w:val="006D0867"/>
    <w:rsid w:val="006D0891"/>
    <w:rsid w:val="006D08EB"/>
    <w:rsid w:val="006D0B2B"/>
    <w:rsid w:val="006D0C46"/>
    <w:rsid w:val="006D0CDE"/>
    <w:rsid w:val="006D1046"/>
    <w:rsid w:val="006D16C8"/>
    <w:rsid w:val="006D1896"/>
    <w:rsid w:val="006D1B09"/>
    <w:rsid w:val="006D2300"/>
    <w:rsid w:val="006D255D"/>
    <w:rsid w:val="006D3430"/>
    <w:rsid w:val="006D3881"/>
    <w:rsid w:val="006D3982"/>
    <w:rsid w:val="006D3DE0"/>
    <w:rsid w:val="006D3E5F"/>
    <w:rsid w:val="006D42D2"/>
    <w:rsid w:val="006D4771"/>
    <w:rsid w:val="006D4941"/>
    <w:rsid w:val="006D4D5E"/>
    <w:rsid w:val="006D5443"/>
    <w:rsid w:val="006D5487"/>
    <w:rsid w:val="006D59E6"/>
    <w:rsid w:val="006D5A71"/>
    <w:rsid w:val="006D5C39"/>
    <w:rsid w:val="006D5F27"/>
    <w:rsid w:val="006D5F38"/>
    <w:rsid w:val="006D69ED"/>
    <w:rsid w:val="006D6A64"/>
    <w:rsid w:val="006D6A8A"/>
    <w:rsid w:val="006D6CCE"/>
    <w:rsid w:val="006D6F5E"/>
    <w:rsid w:val="006D7328"/>
    <w:rsid w:val="006D7625"/>
    <w:rsid w:val="006D7954"/>
    <w:rsid w:val="006D7A4B"/>
    <w:rsid w:val="006D7A60"/>
    <w:rsid w:val="006D7C77"/>
    <w:rsid w:val="006D7DE9"/>
    <w:rsid w:val="006D7FB1"/>
    <w:rsid w:val="006E026D"/>
    <w:rsid w:val="006E0679"/>
    <w:rsid w:val="006E073C"/>
    <w:rsid w:val="006E0971"/>
    <w:rsid w:val="006E0B33"/>
    <w:rsid w:val="006E0DC3"/>
    <w:rsid w:val="006E1113"/>
    <w:rsid w:val="006E12A6"/>
    <w:rsid w:val="006E14D5"/>
    <w:rsid w:val="006E14E7"/>
    <w:rsid w:val="006E1EE1"/>
    <w:rsid w:val="006E31AC"/>
    <w:rsid w:val="006E31E9"/>
    <w:rsid w:val="006E3333"/>
    <w:rsid w:val="006E3951"/>
    <w:rsid w:val="006E3DAB"/>
    <w:rsid w:val="006E54E5"/>
    <w:rsid w:val="006E58E0"/>
    <w:rsid w:val="006E5A57"/>
    <w:rsid w:val="006E5AE8"/>
    <w:rsid w:val="006E5DFF"/>
    <w:rsid w:val="006E68E3"/>
    <w:rsid w:val="006E6A43"/>
    <w:rsid w:val="006E6CC3"/>
    <w:rsid w:val="006E7134"/>
    <w:rsid w:val="006F00F1"/>
    <w:rsid w:val="006F01E0"/>
    <w:rsid w:val="006F061D"/>
    <w:rsid w:val="006F0667"/>
    <w:rsid w:val="006F0760"/>
    <w:rsid w:val="006F0DA1"/>
    <w:rsid w:val="006F0DC7"/>
    <w:rsid w:val="006F1166"/>
    <w:rsid w:val="006F1624"/>
    <w:rsid w:val="006F17BC"/>
    <w:rsid w:val="006F18E9"/>
    <w:rsid w:val="006F190F"/>
    <w:rsid w:val="006F1C7B"/>
    <w:rsid w:val="006F2641"/>
    <w:rsid w:val="006F273B"/>
    <w:rsid w:val="006F296C"/>
    <w:rsid w:val="006F29AB"/>
    <w:rsid w:val="006F3313"/>
    <w:rsid w:val="006F33B8"/>
    <w:rsid w:val="006F3CBA"/>
    <w:rsid w:val="006F41DC"/>
    <w:rsid w:val="006F4676"/>
    <w:rsid w:val="006F4681"/>
    <w:rsid w:val="006F4B79"/>
    <w:rsid w:val="006F4C95"/>
    <w:rsid w:val="006F4D06"/>
    <w:rsid w:val="006F573E"/>
    <w:rsid w:val="006F57D8"/>
    <w:rsid w:val="006F60E0"/>
    <w:rsid w:val="006F682D"/>
    <w:rsid w:val="006F685C"/>
    <w:rsid w:val="006F6BA0"/>
    <w:rsid w:val="006F6F0E"/>
    <w:rsid w:val="006F72E7"/>
    <w:rsid w:val="006F7945"/>
    <w:rsid w:val="006F79A4"/>
    <w:rsid w:val="006F7B64"/>
    <w:rsid w:val="006F7BA9"/>
    <w:rsid w:val="006F7F3A"/>
    <w:rsid w:val="00700533"/>
    <w:rsid w:val="0070073F"/>
    <w:rsid w:val="007007C2"/>
    <w:rsid w:val="007008B1"/>
    <w:rsid w:val="00700D74"/>
    <w:rsid w:val="00701DB3"/>
    <w:rsid w:val="00701E72"/>
    <w:rsid w:val="007023CB"/>
    <w:rsid w:val="00702457"/>
    <w:rsid w:val="00702B20"/>
    <w:rsid w:val="00702E01"/>
    <w:rsid w:val="00702F48"/>
    <w:rsid w:val="0070309E"/>
    <w:rsid w:val="007031A8"/>
    <w:rsid w:val="007031D5"/>
    <w:rsid w:val="00703300"/>
    <w:rsid w:val="007034C6"/>
    <w:rsid w:val="007038A8"/>
    <w:rsid w:val="00703AA8"/>
    <w:rsid w:val="00703B53"/>
    <w:rsid w:val="00703BAD"/>
    <w:rsid w:val="00704404"/>
    <w:rsid w:val="00704621"/>
    <w:rsid w:val="0070489D"/>
    <w:rsid w:val="0070495A"/>
    <w:rsid w:val="00704F2F"/>
    <w:rsid w:val="0070520E"/>
    <w:rsid w:val="00705438"/>
    <w:rsid w:val="00705516"/>
    <w:rsid w:val="00706633"/>
    <w:rsid w:val="0070682B"/>
    <w:rsid w:val="00706B1B"/>
    <w:rsid w:val="00706E4D"/>
    <w:rsid w:val="00706F24"/>
    <w:rsid w:val="007074AF"/>
    <w:rsid w:val="007077FB"/>
    <w:rsid w:val="0070792E"/>
    <w:rsid w:val="00707B80"/>
    <w:rsid w:val="00707B82"/>
    <w:rsid w:val="007108F1"/>
    <w:rsid w:val="00710A09"/>
    <w:rsid w:val="007113E7"/>
    <w:rsid w:val="007115AD"/>
    <w:rsid w:val="007116E4"/>
    <w:rsid w:val="00711A28"/>
    <w:rsid w:val="00711FDF"/>
    <w:rsid w:val="00712016"/>
    <w:rsid w:val="007121ED"/>
    <w:rsid w:val="00712B4B"/>
    <w:rsid w:val="00712EA7"/>
    <w:rsid w:val="00712EAD"/>
    <w:rsid w:val="00713BF0"/>
    <w:rsid w:val="007141C4"/>
    <w:rsid w:val="0071470F"/>
    <w:rsid w:val="00714924"/>
    <w:rsid w:val="00714C67"/>
    <w:rsid w:val="00714CE7"/>
    <w:rsid w:val="00714DAE"/>
    <w:rsid w:val="00714F6F"/>
    <w:rsid w:val="007158D1"/>
    <w:rsid w:val="00715B97"/>
    <w:rsid w:val="0071657F"/>
    <w:rsid w:val="00716809"/>
    <w:rsid w:val="007168C7"/>
    <w:rsid w:val="00716940"/>
    <w:rsid w:val="00716F58"/>
    <w:rsid w:val="0071787F"/>
    <w:rsid w:val="00717998"/>
    <w:rsid w:val="00717F4D"/>
    <w:rsid w:val="00720586"/>
    <w:rsid w:val="00720644"/>
    <w:rsid w:val="007206B6"/>
    <w:rsid w:val="0072073E"/>
    <w:rsid w:val="007209C5"/>
    <w:rsid w:val="00720A42"/>
    <w:rsid w:val="00720FA3"/>
    <w:rsid w:val="007216C6"/>
    <w:rsid w:val="0072223D"/>
    <w:rsid w:val="00722383"/>
    <w:rsid w:val="007224E1"/>
    <w:rsid w:val="00722723"/>
    <w:rsid w:val="00722808"/>
    <w:rsid w:val="00722BEA"/>
    <w:rsid w:val="00724A90"/>
    <w:rsid w:val="00724F32"/>
    <w:rsid w:val="00725003"/>
    <w:rsid w:val="00725062"/>
    <w:rsid w:val="0072512D"/>
    <w:rsid w:val="0072526C"/>
    <w:rsid w:val="0072526D"/>
    <w:rsid w:val="0072527C"/>
    <w:rsid w:val="007256FA"/>
    <w:rsid w:val="00725AF2"/>
    <w:rsid w:val="00725C40"/>
    <w:rsid w:val="00726073"/>
    <w:rsid w:val="00726667"/>
    <w:rsid w:val="00726E65"/>
    <w:rsid w:val="00726FBB"/>
    <w:rsid w:val="00727012"/>
    <w:rsid w:val="007271D4"/>
    <w:rsid w:val="00727853"/>
    <w:rsid w:val="007279B9"/>
    <w:rsid w:val="00727CBA"/>
    <w:rsid w:val="007305A5"/>
    <w:rsid w:val="007308E8"/>
    <w:rsid w:val="00731093"/>
    <w:rsid w:val="007312F6"/>
    <w:rsid w:val="007319E7"/>
    <w:rsid w:val="00732289"/>
    <w:rsid w:val="00732951"/>
    <w:rsid w:val="00733453"/>
    <w:rsid w:val="00733AFF"/>
    <w:rsid w:val="00734354"/>
    <w:rsid w:val="007347CA"/>
    <w:rsid w:val="0073544B"/>
    <w:rsid w:val="0073551F"/>
    <w:rsid w:val="00735892"/>
    <w:rsid w:val="00735DF9"/>
    <w:rsid w:val="0073608E"/>
    <w:rsid w:val="007362C1"/>
    <w:rsid w:val="007364C5"/>
    <w:rsid w:val="007366F0"/>
    <w:rsid w:val="00736A9F"/>
    <w:rsid w:val="00736C31"/>
    <w:rsid w:val="00737CE5"/>
    <w:rsid w:val="0074058E"/>
    <w:rsid w:val="0074079F"/>
    <w:rsid w:val="00740D71"/>
    <w:rsid w:val="00741A7A"/>
    <w:rsid w:val="00741B43"/>
    <w:rsid w:val="00741DC0"/>
    <w:rsid w:val="00741EF7"/>
    <w:rsid w:val="00742AC9"/>
    <w:rsid w:val="00742B9D"/>
    <w:rsid w:val="00742CA6"/>
    <w:rsid w:val="00742EC9"/>
    <w:rsid w:val="0074338A"/>
    <w:rsid w:val="00743B21"/>
    <w:rsid w:val="00743D5F"/>
    <w:rsid w:val="00744184"/>
    <w:rsid w:val="0074449F"/>
    <w:rsid w:val="00744E11"/>
    <w:rsid w:val="0074500C"/>
    <w:rsid w:val="00745439"/>
    <w:rsid w:val="00745508"/>
    <w:rsid w:val="007458A6"/>
    <w:rsid w:val="0074684A"/>
    <w:rsid w:val="00746907"/>
    <w:rsid w:val="00746AC1"/>
    <w:rsid w:val="0074755B"/>
    <w:rsid w:val="007477CD"/>
    <w:rsid w:val="00747911"/>
    <w:rsid w:val="00747AF4"/>
    <w:rsid w:val="00750021"/>
    <w:rsid w:val="007500F7"/>
    <w:rsid w:val="00750398"/>
    <w:rsid w:val="00750583"/>
    <w:rsid w:val="00750589"/>
    <w:rsid w:val="00750904"/>
    <w:rsid w:val="007513FB"/>
    <w:rsid w:val="0075160B"/>
    <w:rsid w:val="0075173E"/>
    <w:rsid w:val="00751B37"/>
    <w:rsid w:val="00751C6D"/>
    <w:rsid w:val="00751E78"/>
    <w:rsid w:val="00752154"/>
    <w:rsid w:val="00753105"/>
    <w:rsid w:val="007538D3"/>
    <w:rsid w:val="00753A3B"/>
    <w:rsid w:val="00753BD8"/>
    <w:rsid w:val="007544F1"/>
    <w:rsid w:val="00754884"/>
    <w:rsid w:val="00755325"/>
    <w:rsid w:val="00755687"/>
    <w:rsid w:val="0075572E"/>
    <w:rsid w:val="00755919"/>
    <w:rsid w:val="00755AA8"/>
    <w:rsid w:val="00755CD9"/>
    <w:rsid w:val="00756E82"/>
    <w:rsid w:val="007573CC"/>
    <w:rsid w:val="00757BE5"/>
    <w:rsid w:val="00757BE9"/>
    <w:rsid w:val="00757C09"/>
    <w:rsid w:val="00757D65"/>
    <w:rsid w:val="00760197"/>
    <w:rsid w:val="007601A0"/>
    <w:rsid w:val="00760245"/>
    <w:rsid w:val="007605F2"/>
    <w:rsid w:val="0076074E"/>
    <w:rsid w:val="007608BA"/>
    <w:rsid w:val="00760F70"/>
    <w:rsid w:val="007613EF"/>
    <w:rsid w:val="007614CD"/>
    <w:rsid w:val="007618F1"/>
    <w:rsid w:val="0076197C"/>
    <w:rsid w:val="00761BD2"/>
    <w:rsid w:val="00762061"/>
    <w:rsid w:val="00762117"/>
    <w:rsid w:val="00763F6B"/>
    <w:rsid w:val="007641B2"/>
    <w:rsid w:val="00764624"/>
    <w:rsid w:val="00764702"/>
    <w:rsid w:val="00764CE7"/>
    <w:rsid w:val="00764D59"/>
    <w:rsid w:val="00765134"/>
    <w:rsid w:val="0076522B"/>
    <w:rsid w:val="00765249"/>
    <w:rsid w:val="0076563A"/>
    <w:rsid w:val="00765733"/>
    <w:rsid w:val="00765759"/>
    <w:rsid w:val="00766340"/>
    <w:rsid w:val="00766C55"/>
    <w:rsid w:val="007676CE"/>
    <w:rsid w:val="00767A7C"/>
    <w:rsid w:val="00767D1C"/>
    <w:rsid w:val="0077026E"/>
    <w:rsid w:val="007703E1"/>
    <w:rsid w:val="00770E18"/>
    <w:rsid w:val="00770FAC"/>
    <w:rsid w:val="00771227"/>
    <w:rsid w:val="0077154B"/>
    <w:rsid w:val="007715C1"/>
    <w:rsid w:val="00771B26"/>
    <w:rsid w:val="007722A8"/>
    <w:rsid w:val="00772738"/>
    <w:rsid w:val="00772799"/>
    <w:rsid w:val="00772C0A"/>
    <w:rsid w:val="00772C5B"/>
    <w:rsid w:val="0077314A"/>
    <w:rsid w:val="007732E7"/>
    <w:rsid w:val="00773965"/>
    <w:rsid w:val="00773B39"/>
    <w:rsid w:val="0077409E"/>
    <w:rsid w:val="007741C5"/>
    <w:rsid w:val="0077432C"/>
    <w:rsid w:val="007743DE"/>
    <w:rsid w:val="007744B3"/>
    <w:rsid w:val="00774963"/>
    <w:rsid w:val="00774C15"/>
    <w:rsid w:val="00774EF3"/>
    <w:rsid w:val="00774FAD"/>
    <w:rsid w:val="007758FB"/>
    <w:rsid w:val="007759DB"/>
    <w:rsid w:val="00775A1B"/>
    <w:rsid w:val="00775B1C"/>
    <w:rsid w:val="00776058"/>
    <w:rsid w:val="00776E57"/>
    <w:rsid w:val="00776F39"/>
    <w:rsid w:val="00777C71"/>
    <w:rsid w:val="00780329"/>
    <w:rsid w:val="0078035D"/>
    <w:rsid w:val="00780E6E"/>
    <w:rsid w:val="00780F06"/>
    <w:rsid w:val="00780F3C"/>
    <w:rsid w:val="00781731"/>
    <w:rsid w:val="00781AFF"/>
    <w:rsid w:val="00781BC2"/>
    <w:rsid w:val="00781D8F"/>
    <w:rsid w:val="007824A2"/>
    <w:rsid w:val="00782BC6"/>
    <w:rsid w:val="00782BD8"/>
    <w:rsid w:val="0078300B"/>
    <w:rsid w:val="007835EF"/>
    <w:rsid w:val="00783744"/>
    <w:rsid w:val="00783A04"/>
    <w:rsid w:val="0078420F"/>
    <w:rsid w:val="0078428A"/>
    <w:rsid w:val="00784368"/>
    <w:rsid w:val="007843C7"/>
    <w:rsid w:val="0078478D"/>
    <w:rsid w:val="00784877"/>
    <w:rsid w:val="00784C04"/>
    <w:rsid w:val="00785302"/>
    <w:rsid w:val="007854AD"/>
    <w:rsid w:val="007857B3"/>
    <w:rsid w:val="00785C45"/>
    <w:rsid w:val="00785D61"/>
    <w:rsid w:val="00785EC0"/>
    <w:rsid w:val="0078661E"/>
    <w:rsid w:val="0078667C"/>
    <w:rsid w:val="00786925"/>
    <w:rsid w:val="00786CCE"/>
    <w:rsid w:val="00787310"/>
    <w:rsid w:val="00787628"/>
    <w:rsid w:val="00787994"/>
    <w:rsid w:val="00787DBD"/>
    <w:rsid w:val="00790413"/>
    <w:rsid w:val="00790763"/>
    <w:rsid w:val="00790889"/>
    <w:rsid w:val="00790A1F"/>
    <w:rsid w:val="00790FDD"/>
    <w:rsid w:val="007913DA"/>
    <w:rsid w:val="00791525"/>
    <w:rsid w:val="00791B9E"/>
    <w:rsid w:val="00792957"/>
    <w:rsid w:val="007935E1"/>
    <w:rsid w:val="007939DF"/>
    <w:rsid w:val="00793CA9"/>
    <w:rsid w:val="00794567"/>
    <w:rsid w:val="00794D36"/>
    <w:rsid w:val="007953AE"/>
    <w:rsid w:val="007954BD"/>
    <w:rsid w:val="00795507"/>
    <w:rsid w:val="007957C4"/>
    <w:rsid w:val="00795BB0"/>
    <w:rsid w:val="00796142"/>
    <w:rsid w:val="0079691A"/>
    <w:rsid w:val="007971D9"/>
    <w:rsid w:val="007977D0"/>
    <w:rsid w:val="00797A20"/>
    <w:rsid w:val="007A0031"/>
    <w:rsid w:val="007A00EA"/>
    <w:rsid w:val="007A01B0"/>
    <w:rsid w:val="007A06AD"/>
    <w:rsid w:val="007A0A25"/>
    <w:rsid w:val="007A0A38"/>
    <w:rsid w:val="007A0B7E"/>
    <w:rsid w:val="007A0BC6"/>
    <w:rsid w:val="007A0DAB"/>
    <w:rsid w:val="007A0EE1"/>
    <w:rsid w:val="007A1139"/>
    <w:rsid w:val="007A144F"/>
    <w:rsid w:val="007A18EF"/>
    <w:rsid w:val="007A1912"/>
    <w:rsid w:val="007A1CB5"/>
    <w:rsid w:val="007A1FEE"/>
    <w:rsid w:val="007A238F"/>
    <w:rsid w:val="007A2B8D"/>
    <w:rsid w:val="007A3221"/>
    <w:rsid w:val="007A373A"/>
    <w:rsid w:val="007A444A"/>
    <w:rsid w:val="007A455B"/>
    <w:rsid w:val="007A4959"/>
    <w:rsid w:val="007A4AD5"/>
    <w:rsid w:val="007A4B6C"/>
    <w:rsid w:val="007A4C23"/>
    <w:rsid w:val="007A5ED6"/>
    <w:rsid w:val="007A5F9A"/>
    <w:rsid w:val="007A60C7"/>
    <w:rsid w:val="007A6F56"/>
    <w:rsid w:val="007A7168"/>
    <w:rsid w:val="007A788A"/>
    <w:rsid w:val="007A78A3"/>
    <w:rsid w:val="007A78AF"/>
    <w:rsid w:val="007A7CE3"/>
    <w:rsid w:val="007B021D"/>
    <w:rsid w:val="007B03D2"/>
    <w:rsid w:val="007B05AA"/>
    <w:rsid w:val="007B066C"/>
    <w:rsid w:val="007B068A"/>
    <w:rsid w:val="007B0899"/>
    <w:rsid w:val="007B096F"/>
    <w:rsid w:val="007B0C11"/>
    <w:rsid w:val="007B0C45"/>
    <w:rsid w:val="007B164C"/>
    <w:rsid w:val="007B188C"/>
    <w:rsid w:val="007B1989"/>
    <w:rsid w:val="007B19DC"/>
    <w:rsid w:val="007B1AA7"/>
    <w:rsid w:val="007B1AD1"/>
    <w:rsid w:val="007B1D42"/>
    <w:rsid w:val="007B1E24"/>
    <w:rsid w:val="007B1E2D"/>
    <w:rsid w:val="007B2030"/>
    <w:rsid w:val="007B21F8"/>
    <w:rsid w:val="007B2A43"/>
    <w:rsid w:val="007B32AC"/>
    <w:rsid w:val="007B335A"/>
    <w:rsid w:val="007B33C7"/>
    <w:rsid w:val="007B354C"/>
    <w:rsid w:val="007B3D3B"/>
    <w:rsid w:val="007B4449"/>
    <w:rsid w:val="007B4783"/>
    <w:rsid w:val="007B4B24"/>
    <w:rsid w:val="007B4CCC"/>
    <w:rsid w:val="007B5208"/>
    <w:rsid w:val="007B5941"/>
    <w:rsid w:val="007B59A6"/>
    <w:rsid w:val="007B5C73"/>
    <w:rsid w:val="007B60D5"/>
    <w:rsid w:val="007B6405"/>
    <w:rsid w:val="007B661D"/>
    <w:rsid w:val="007B66F9"/>
    <w:rsid w:val="007B6920"/>
    <w:rsid w:val="007B6955"/>
    <w:rsid w:val="007B6BB3"/>
    <w:rsid w:val="007B6F50"/>
    <w:rsid w:val="007B7584"/>
    <w:rsid w:val="007B7AB2"/>
    <w:rsid w:val="007B7B02"/>
    <w:rsid w:val="007C16B2"/>
    <w:rsid w:val="007C1A91"/>
    <w:rsid w:val="007C1E7A"/>
    <w:rsid w:val="007C2B83"/>
    <w:rsid w:val="007C38BA"/>
    <w:rsid w:val="007C3CA0"/>
    <w:rsid w:val="007C3D59"/>
    <w:rsid w:val="007C4C75"/>
    <w:rsid w:val="007C547C"/>
    <w:rsid w:val="007C54D1"/>
    <w:rsid w:val="007C5532"/>
    <w:rsid w:val="007C6208"/>
    <w:rsid w:val="007C66B6"/>
    <w:rsid w:val="007C701F"/>
    <w:rsid w:val="007C764A"/>
    <w:rsid w:val="007C7869"/>
    <w:rsid w:val="007C78E0"/>
    <w:rsid w:val="007C7AAA"/>
    <w:rsid w:val="007C7C1B"/>
    <w:rsid w:val="007C7FF3"/>
    <w:rsid w:val="007D0426"/>
    <w:rsid w:val="007D0A20"/>
    <w:rsid w:val="007D0A6B"/>
    <w:rsid w:val="007D0C86"/>
    <w:rsid w:val="007D1020"/>
    <w:rsid w:val="007D1168"/>
    <w:rsid w:val="007D1182"/>
    <w:rsid w:val="007D1C58"/>
    <w:rsid w:val="007D1EDF"/>
    <w:rsid w:val="007D27FE"/>
    <w:rsid w:val="007D2A9C"/>
    <w:rsid w:val="007D30A9"/>
    <w:rsid w:val="007D30FC"/>
    <w:rsid w:val="007D36C5"/>
    <w:rsid w:val="007D3D5E"/>
    <w:rsid w:val="007D405B"/>
    <w:rsid w:val="007D418D"/>
    <w:rsid w:val="007D41EA"/>
    <w:rsid w:val="007D4213"/>
    <w:rsid w:val="007D435A"/>
    <w:rsid w:val="007D43D8"/>
    <w:rsid w:val="007D459D"/>
    <w:rsid w:val="007D4BE7"/>
    <w:rsid w:val="007D50E3"/>
    <w:rsid w:val="007D52B8"/>
    <w:rsid w:val="007D52D1"/>
    <w:rsid w:val="007D5599"/>
    <w:rsid w:val="007D6646"/>
    <w:rsid w:val="007D6B9F"/>
    <w:rsid w:val="007D7570"/>
    <w:rsid w:val="007D78EB"/>
    <w:rsid w:val="007D7D59"/>
    <w:rsid w:val="007D7DAF"/>
    <w:rsid w:val="007D7E52"/>
    <w:rsid w:val="007E02D9"/>
    <w:rsid w:val="007E04B8"/>
    <w:rsid w:val="007E0AB9"/>
    <w:rsid w:val="007E0E76"/>
    <w:rsid w:val="007E0F02"/>
    <w:rsid w:val="007E112F"/>
    <w:rsid w:val="007E1600"/>
    <w:rsid w:val="007E16C9"/>
    <w:rsid w:val="007E1F91"/>
    <w:rsid w:val="007E2696"/>
    <w:rsid w:val="007E28FC"/>
    <w:rsid w:val="007E29C6"/>
    <w:rsid w:val="007E2CB2"/>
    <w:rsid w:val="007E36A7"/>
    <w:rsid w:val="007E3EBB"/>
    <w:rsid w:val="007E3EDF"/>
    <w:rsid w:val="007E4126"/>
    <w:rsid w:val="007E43C5"/>
    <w:rsid w:val="007E50AD"/>
    <w:rsid w:val="007E511F"/>
    <w:rsid w:val="007E56CE"/>
    <w:rsid w:val="007E5743"/>
    <w:rsid w:val="007E5F0A"/>
    <w:rsid w:val="007E5FEC"/>
    <w:rsid w:val="007E6173"/>
    <w:rsid w:val="007E6404"/>
    <w:rsid w:val="007E6F16"/>
    <w:rsid w:val="007E77B2"/>
    <w:rsid w:val="007E7A58"/>
    <w:rsid w:val="007E7B0A"/>
    <w:rsid w:val="007E7CE4"/>
    <w:rsid w:val="007F0797"/>
    <w:rsid w:val="007F0990"/>
    <w:rsid w:val="007F1416"/>
    <w:rsid w:val="007F178D"/>
    <w:rsid w:val="007F19FA"/>
    <w:rsid w:val="007F1BD8"/>
    <w:rsid w:val="007F2258"/>
    <w:rsid w:val="007F22F2"/>
    <w:rsid w:val="007F26D4"/>
    <w:rsid w:val="007F29DF"/>
    <w:rsid w:val="007F2C07"/>
    <w:rsid w:val="007F2FB2"/>
    <w:rsid w:val="007F339D"/>
    <w:rsid w:val="007F33E4"/>
    <w:rsid w:val="007F3934"/>
    <w:rsid w:val="007F39EF"/>
    <w:rsid w:val="007F3F50"/>
    <w:rsid w:val="007F4AF5"/>
    <w:rsid w:val="007F4DB3"/>
    <w:rsid w:val="007F5100"/>
    <w:rsid w:val="007F5136"/>
    <w:rsid w:val="007F5CBD"/>
    <w:rsid w:val="007F5DAF"/>
    <w:rsid w:val="007F607D"/>
    <w:rsid w:val="007F677E"/>
    <w:rsid w:val="007F68D6"/>
    <w:rsid w:val="007F7387"/>
    <w:rsid w:val="007F7645"/>
    <w:rsid w:val="007F7754"/>
    <w:rsid w:val="007F7A1B"/>
    <w:rsid w:val="007F7D1F"/>
    <w:rsid w:val="008002B4"/>
    <w:rsid w:val="008006D2"/>
    <w:rsid w:val="008006F4"/>
    <w:rsid w:val="00800A1D"/>
    <w:rsid w:val="00800A9D"/>
    <w:rsid w:val="00801626"/>
    <w:rsid w:val="00801721"/>
    <w:rsid w:val="008018ED"/>
    <w:rsid w:val="00801DE1"/>
    <w:rsid w:val="00802784"/>
    <w:rsid w:val="00802B5E"/>
    <w:rsid w:val="00802D71"/>
    <w:rsid w:val="00802F5D"/>
    <w:rsid w:val="00802FDC"/>
    <w:rsid w:val="008034FF"/>
    <w:rsid w:val="008037A2"/>
    <w:rsid w:val="00804C84"/>
    <w:rsid w:val="00804DA6"/>
    <w:rsid w:val="00804DBC"/>
    <w:rsid w:val="008052E5"/>
    <w:rsid w:val="00805446"/>
    <w:rsid w:val="008059BC"/>
    <w:rsid w:val="00805AE8"/>
    <w:rsid w:val="00805EFB"/>
    <w:rsid w:val="00805EFF"/>
    <w:rsid w:val="008063A0"/>
    <w:rsid w:val="008068F4"/>
    <w:rsid w:val="008069BE"/>
    <w:rsid w:val="00806BE7"/>
    <w:rsid w:val="00806CC6"/>
    <w:rsid w:val="00806E7F"/>
    <w:rsid w:val="00807270"/>
    <w:rsid w:val="0080776B"/>
    <w:rsid w:val="00807A44"/>
    <w:rsid w:val="00807C73"/>
    <w:rsid w:val="00807E89"/>
    <w:rsid w:val="0081038E"/>
    <w:rsid w:val="008108A4"/>
    <w:rsid w:val="00810AF1"/>
    <w:rsid w:val="00810CFD"/>
    <w:rsid w:val="00810DAD"/>
    <w:rsid w:val="00810E32"/>
    <w:rsid w:val="008114EA"/>
    <w:rsid w:val="00811DFB"/>
    <w:rsid w:val="00811F79"/>
    <w:rsid w:val="00812378"/>
    <w:rsid w:val="008124A0"/>
    <w:rsid w:val="008124AC"/>
    <w:rsid w:val="00812BB7"/>
    <w:rsid w:val="00812F9E"/>
    <w:rsid w:val="0081330A"/>
    <w:rsid w:val="00813F00"/>
    <w:rsid w:val="008140C1"/>
    <w:rsid w:val="00814435"/>
    <w:rsid w:val="00814906"/>
    <w:rsid w:val="00814E60"/>
    <w:rsid w:val="008153D1"/>
    <w:rsid w:val="00815B1C"/>
    <w:rsid w:val="008163A4"/>
    <w:rsid w:val="00816448"/>
    <w:rsid w:val="008166C8"/>
    <w:rsid w:val="008169CB"/>
    <w:rsid w:val="00816D80"/>
    <w:rsid w:val="00817358"/>
    <w:rsid w:val="0081735F"/>
    <w:rsid w:val="00817CA5"/>
    <w:rsid w:val="00817DE8"/>
    <w:rsid w:val="00817E88"/>
    <w:rsid w:val="00817EB0"/>
    <w:rsid w:val="00820200"/>
    <w:rsid w:val="008203BF"/>
    <w:rsid w:val="00820A53"/>
    <w:rsid w:val="0082111E"/>
    <w:rsid w:val="00821359"/>
    <w:rsid w:val="008213AC"/>
    <w:rsid w:val="00821429"/>
    <w:rsid w:val="0082169E"/>
    <w:rsid w:val="00821D05"/>
    <w:rsid w:val="0082212F"/>
    <w:rsid w:val="00822834"/>
    <w:rsid w:val="00822D48"/>
    <w:rsid w:val="00823200"/>
    <w:rsid w:val="008232C1"/>
    <w:rsid w:val="008236D4"/>
    <w:rsid w:val="00823C80"/>
    <w:rsid w:val="008246E4"/>
    <w:rsid w:val="0082537B"/>
    <w:rsid w:val="008255F7"/>
    <w:rsid w:val="00826048"/>
    <w:rsid w:val="008260BF"/>
    <w:rsid w:val="008263D2"/>
    <w:rsid w:val="00826626"/>
    <w:rsid w:val="00826961"/>
    <w:rsid w:val="008269D9"/>
    <w:rsid w:val="008301B2"/>
    <w:rsid w:val="0083063F"/>
    <w:rsid w:val="00830AAC"/>
    <w:rsid w:val="00830F30"/>
    <w:rsid w:val="00831079"/>
    <w:rsid w:val="008317EF"/>
    <w:rsid w:val="008319AD"/>
    <w:rsid w:val="00831C67"/>
    <w:rsid w:val="00832060"/>
    <w:rsid w:val="00832181"/>
    <w:rsid w:val="00832423"/>
    <w:rsid w:val="008324C4"/>
    <w:rsid w:val="0083254B"/>
    <w:rsid w:val="00832930"/>
    <w:rsid w:val="00832E76"/>
    <w:rsid w:val="00833237"/>
    <w:rsid w:val="00833BB1"/>
    <w:rsid w:val="00833CC6"/>
    <w:rsid w:val="00833D2E"/>
    <w:rsid w:val="00834513"/>
    <w:rsid w:val="00834829"/>
    <w:rsid w:val="00834F40"/>
    <w:rsid w:val="008364A9"/>
    <w:rsid w:val="00836911"/>
    <w:rsid w:val="00836BAA"/>
    <w:rsid w:val="00836C82"/>
    <w:rsid w:val="00836F2B"/>
    <w:rsid w:val="00837060"/>
    <w:rsid w:val="008376C9"/>
    <w:rsid w:val="00837ABB"/>
    <w:rsid w:val="00837E35"/>
    <w:rsid w:val="00840012"/>
    <w:rsid w:val="008404C9"/>
    <w:rsid w:val="00840D9F"/>
    <w:rsid w:val="0084175F"/>
    <w:rsid w:val="00841BA4"/>
    <w:rsid w:val="00841BC5"/>
    <w:rsid w:val="00841CFD"/>
    <w:rsid w:val="00841F4E"/>
    <w:rsid w:val="008423A4"/>
    <w:rsid w:val="00842416"/>
    <w:rsid w:val="008427EE"/>
    <w:rsid w:val="00842DC5"/>
    <w:rsid w:val="00843425"/>
    <w:rsid w:val="00843501"/>
    <w:rsid w:val="00843589"/>
    <w:rsid w:val="00843825"/>
    <w:rsid w:val="00843E30"/>
    <w:rsid w:val="00843FAF"/>
    <w:rsid w:val="0084443F"/>
    <w:rsid w:val="008444C4"/>
    <w:rsid w:val="00844865"/>
    <w:rsid w:val="008448F7"/>
    <w:rsid w:val="00844906"/>
    <w:rsid w:val="00844C0B"/>
    <w:rsid w:val="00844EE9"/>
    <w:rsid w:val="00845E44"/>
    <w:rsid w:val="00846659"/>
    <w:rsid w:val="008469F3"/>
    <w:rsid w:val="00846C27"/>
    <w:rsid w:val="0084761E"/>
    <w:rsid w:val="008478BE"/>
    <w:rsid w:val="00847A98"/>
    <w:rsid w:val="00847D53"/>
    <w:rsid w:val="00847E89"/>
    <w:rsid w:val="0085113B"/>
    <w:rsid w:val="008511AC"/>
    <w:rsid w:val="0085142B"/>
    <w:rsid w:val="00851523"/>
    <w:rsid w:val="00851AB2"/>
    <w:rsid w:val="00851C7B"/>
    <w:rsid w:val="00851EE6"/>
    <w:rsid w:val="00852196"/>
    <w:rsid w:val="00852380"/>
    <w:rsid w:val="00852E58"/>
    <w:rsid w:val="00852FDE"/>
    <w:rsid w:val="00853690"/>
    <w:rsid w:val="008536C7"/>
    <w:rsid w:val="00853F0E"/>
    <w:rsid w:val="00853F2E"/>
    <w:rsid w:val="00854B98"/>
    <w:rsid w:val="008550DA"/>
    <w:rsid w:val="00855250"/>
    <w:rsid w:val="008554DD"/>
    <w:rsid w:val="00855511"/>
    <w:rsid w:val="00856242"/>
    <w:rsid w:val="00856A09"/>
    <w:rsid w:val="00856A19"/>
    <w:rsid w:val="00856C78"/>
    <w:rsid w:val="00856CB7"/>
    <w:rsid w:val="00856D8E"/>
    <w:rsid w:val="00857124"/>
    <w:rsid w:val="008571ED"/>
    <w:rsid w:val="0085734E"/>
    <w:rsid w:val="008576D1"/>
    <w:rsid w:val="008576DC"/>
    <w:rsid w:val="00857847"/>
    <w:rsid w:val="00857B0C"/>
    <w:rsid w:val="00860064"/>
    <w:rsid w:val="00860459"/>
    <w:rsid w:val="00861098"/>
    <w:rsid w:val="00861B48"/>
    <w:rsid w:val="00861EAC"/>
    <w:rsid w:val="00862049"/>
    <w:rsid w:val="00862468"/>
    <w:rsid w:val="00862D62"/>
    <w:rsid w:val="00862D8E"/>
    <w:rsid w:val="00863332"/>
    <w:rsid w:val="00863665"/>
    <w:rsid w:val="00863C10"/>
    <w:rsid w:val="00864BFC"/>
    <w:rsid w:val="00864C28"/>
    <w:rsid w:val="00864DA3"/>
    <w:rsid w:val="0086505E"/>
    <w:rsid w:val="00865DB5"/>
    <w:rsid w:val="00865F18"/>
    <w:rsid w:val="00866164"/>
    <w:rsid w:val="0086698C"/>
    <w:rsid w:val="00866D76"/>
    <w:rsid w:val="008670EC"/>
    <w:rsid w:val="00867E76"/>
    <w:rsid w:val="00867EA4"/>
    <w:rsid w:val="00870145"/>
    <w:rsid w:val="00870497"/>
    <w:rsid w:val="008708AC"/>
    <w:rsid w:val="00870AEC"/>
    <w:rsid w:val="00870BD2"/>
    <w:rsid w:val="00870FE8"/>
    <w:rsid w:val="00871226"/>
    <w:rsid w:val="00871643"/>
    <w:rsid w:val="00871723"/>
    <w:rsid w:val="008718F6"/>
    <w:rsid w:val="00871B31"/>
    <w:rsid w:val="00872735"/>
    <w:rsid w:val="008728A7"/>
    <w:rsid w:val="0087296B"/>
    <w:rsid w:val="00872B1C"/>
    <w:rsid w:val="008730A6"/>
    <w:rsid w:val="0087329E"/>
    <w:rsid w:val="0087376E"/>
    <w:rsid w:val="00873921"/>
    <w:rsid w:val="008739D5"/>
    <w:rsid w:val="00873B34"/>
    <w:rsid w:val="0087428A"/>
    <w:rsid w:val="00874814"/>
    <w:rsid w:val="00874F64"/>
    <w:rsid w:val="008753CD"/>
    <w:rsid w:val="008758FE"/>
    <w:rsid w:val="00875E14"/>
    <w:rsid w:val="00875E93"/>
    <w:rsid w:val="00875FF5"/>
    <w:rsid w:val="0087642E"/>
    <w:rsid w:val="00876749"/>
    <w:rsid w:val="00876790"/>
    <w:rsid w:val="00876CCE"/>
    <w:rsid w:val="00876E62"/>
    <w:rsid w:val="00880AE0"/>
    <w:rsid w:val="00880CCA"/>
    <w:rsid w:val="00880CDB"/>
    <w:rsid w:val="00880EC7"/>
    <w:rsid w:val="008819B2"/>
    <w:rsid w:val="00881F73"/>
    <w:rsid w:val="00882649"/>
    <w:rsid w:val="00882740"/>
    <w:rsid w:val="00882846"/>
    <w:rsid w:val="00882FB6"/>
    <w:rsid w:val="008833DF"/>
    <w:rsid w:val="0088359C"/>
    <w:rsid w:val="0088368B"/>
    <w:rsid w:val="00884232"/>
    <w:rsid w:val="008846C8"/>
    <w:rsid w:val="00885083"/>
    <w:rsid w:val="00885423"/>
    <w:rsid w:val="00885B66"/>
    <w:rsid w:val="00885CAA"/>
    <w:rsid w:val="0088641D"/>
    <w:rsid w:val="00886E39"/>
    <w:rsid w:val="0088732C"/>
    <w:rsid w:val="008874A9"/>
    <w:rsid w:val="00887A5F"/>
    <w:rsid w:val="00887BCB"/>
    <w:rsid w:val="00887F49"/>
    <w:rsid w:val="00890CD0"/>
    <w:rsid w:val="00891998"/>
    <w:rsid w:val="008920D7"/>
    <w:rsid w:val="008925EF"/>
    <w:rsid w:val="00892AB0"/>
    <w:rsid w:val="00892CF2"/>
    <w:rsid w:val="00892FC7"/>
    <w:rsid w:val="00893078"/>
    <w:rsid w:val="00894A6B"/>
    <w:rsid w:val="00894A9A"/>
    <w:rsid w:val="00894AE9"/>
    <w:rsid w:val="00894BCD"/>
    <w:rsid w:val="00894DDF"/>
    <w:rsid w:val="008956CE"/>
    <w:rsid w:val="00895884"/>
    <w:rsid w:val="00895F94"/>
    <w:rsid w:val="008963C9"/>
    <w:rsid w:val="00896A8A"/>
    <w:rsid w:val="00896B44"/>
    <w:rsid w:val="00897CB8"/>
    <w:rsid w:val="00897EE4"/>
    <w:rsid w:val="008A010B"/>
    <w:rsid w:val="008A055F"/>
    <w:rsid w:val="008A063D"/>
    <w:rsid w:val="008A06C5"/>
    <w:rsid w:val="008A0799"/>
    <w:rsid w:val="008A098C"/>
    <w:rsid w:val="008A0BD5"/>
    <w:rsid w:val="008A11E4"/>
    <w:rsid w:val="008A12E4"/>
    <w:rsid w:val="008A16AC"/>
    <w:rsid w:val="008A17F2"/>
    <w:rsid w:val="008A1BA6"/>
    <w:rsid w:val="008A1E36"/>
    <w:rsid w:val="008A28B4"/>
    <w:rsid w:val="008A2A05"/>
    <w:rsid w:val="008A2C64"/>
    <w:rsid w:val="008A30AE"/>
    <w:rsid w:val="008A3643"/>
    <w:rsid w:val="008A3678"/>
    <w:rsid w:val="008A36A2"/>
    <w:rsid w:val="008A372C"/>
    <w:rsid w:val="008A3831"/>
    <w:rsid w:val="008A3B1C"/>
    <w:rsid w:val="008A3CEB"/>
    <w:rsid w:val="008A4010"/>
    <w:rsid w:val="008A4311"/>
    <w:rsid w:val="008A496F"/>
    <w:rsid w:val="008A4A90"/>
    <w:rsid w:val="008A4CBC"/>
    <w:rsid w:val="008A5417"/>
    <w:rsid w:val="008A6193"/>
    <w:rsid w:val="008A660C"/>
    <w:rsid w:val="008A663E"/>
    <w:rsid w:val="008A6BD8"/>
    <w:rsid w:val="008A6E0D"/>
    <w:rsid w:val="008A7E90"/>
    <w:rsid w:val="008B05E6"/>
    <w:rsid w:val="008B0685"/>
    <w:rsid w:val="008B0867"/>
    <w:rsid w:val="008B1334"/>
    <w:rsid w:val="008B159D"/>
    <w:rsid w:val="008B15F7"/>
    <w:rsid w:val="008B1BCB"/>
    <w:rsid w:val="008B1EBF"/>
    <w:rsid w:val="008B23A7"/>
    <w:rsid w:val="008B2BA3"/>
    <w:rsid w:val="008B2D04"/>
    <w:rsid w:val="008B2DB4"/>
    <w:rsid w:val="008B2E5D"/>
    <w:rsid w:val="008B2F06"/>
    <w:rsid w:val="008B3482"/>
    <w:rsid w:val="008B3899"/>
    <w:rsid w:val="008B3B46"/>
    <w:rsid w:val="008B4107"/>
    <w:rsid w:val="008B41A6"/>
    <w:rsid w:val="008B44BB"/>
    <w:rsid w:val="008B4596"/>
    <w:rsid w:val="008B4C7A"/>
    <w:rsid w:val="008B4E2C"/>
    <w:rsid w:val="008B52F6"/>
    <w:rsid w:val="008B54C5"/>
    <w:rsid w:val="008B5523"/>
    <w:rsid w:val="008B5BA2"/>
    <w:rsid w:val="008B5DC6"/>
    <w:rsid w:val="008B60C3"/>
    <w:rsid w:val="008B61C9"/>
    <w:rsid w:val="008B629B"/>
    <w:rsid w:val="008B6789"/>
    <w:rsid w:val="008B6A37"/>
    <w:rsid w:val="008B7524"/>
    <w:rsid w:val="008C013B"/>
    <w:rsid w:val="008C0694"/>
    <w:rsid w:val="008C079F"/>
    <w:rsid w:val="008C0C93"/>
    <w:rsid w:val="008C115C"/>
    <w:rsid w:val="008C11EC"/>
    <w:rsid w:val="008C12B9"/>
    <w:rsid w:val="008C1478"/>
    <w:rsid w:val="008C1816"/>
    <w:rsid w:val="008C1A34"/>
    <w:rsid w:val="008C1B5B"/>
    <w:rsid w:val="008C2318"/>
    <w:rsid w:val="008C23CE"/>
    <w:rsid w:val="008C2690"/>
    <w:rsid w:val="008C35A5"/>
    <w:rsid w:val="008C3677"/>
    <w:rsid w:val="008C3B36"/>
    <w:rsid w:val="008C3CFC"/>
    <w:rsid w:val="008C4D8C"/>
    <w:rsid w:val="008C4DC6"/>
    <w:rsid w:val="008C5399"/>
    <w:rsid w:val="008C53FC"/>
    <w:rsid w:val="008C578B"/>
    <w:rsid w:val="008C5CDD"/>
    <w:rsid w:val="008C6032"/>
    <w:rsid w:val="008C606E"/>
    <w:rsid w:val="008C60AE"/>
    <w:rsid w:val="008C6FF1"/>
    <w:rsid w:val="008C7068"/>
    <w:rsid w:val="008C72E6"/>
    <w:rsid w:val="008C7349"/>
    <w:rsid w:val="008C7D57"/>
    <w:rsid w:val="008C7E27"/>
    <w:rsid w:val="008D08A1"/>
    <w:rsid w:val="008D1138"/>
    <w:rsid w:val="008D147A"/>
    <w:rsid w:val="008D1C93"/>
    <w:rsid w:val="008D1C9A"/>
    <w:rsid w:val="008D1E50"/>
    <w:rsid w:val="008D2219"/>
    <w:rsid w:val="008D2705"/>
    <w:rsid w:val="008D3545"/>
    <w:rsid w:val="008D366E"/>
    <w:rsid w:val="008D3C9B"/>
    <w:rsid w:val="008D3DAC"/>
    <w:rsid w:val="008D4001"/>
    <w:rsid w:val="008D434B"/>
    <w:rsid w:val="008D44BB"/>
    <w:rsid w:val="008D477D"/>
    <w:rsid w:val="008D4BA7"/>
    <w:rsid w:val="008D55BA"/>
    <w:rsid w:val="008D56DC"/>
    <w:rsid w:val="008D5765"/>
    <w:rsid w:val="008D5ACE"/>
    <w:rsid w:val="008D6015"/>
    <w:rsid w:val="008D61EA"/>
    <w:rsid w:val="008D61EF"/>
    <w:rsid w:val="008D65B7"/>
    <w:rsid w:val="008D68BA"/>
    <w:rsid w:val="008D6ABC"/>
    <w:rsid w:val="008D6B2E"/>
    <w:rsid w:val="008D76E8"/>
    <w:rsid w:val="008D790D"/>
    <w:rsid w:val="008D7CC6"/>
    <w:rsid w:val="008D7FA2"/>
    <w:rsid w:val="008E0120"/>
    <w:rsid w:val="008E01EA"/>
    <w:rsid w:val="008E0312"/>
    <w:rsid w:val="008E0AED"/>
    <w:rsid w:val="008E1274"/>
    <w:rsid w:val="008E133E"/>
    <w:rsid w:val="008E1491"/>
    <w:rsid w:val="008E1D4E"/>
    <w:rsid w:val="008E1D52"/>
    <w:rsid w:val="008E2C45"/>
    <w:rsid w:val="008E2CC3"/>
    <w:rsid w:val="008E337E"/>
    <w:rsid w:val="008E35BB"/>
    <w:rsid w:val="008E372F"/>
    <w:rsid w:val="008E3D6F"/>
    <w:rsid w:val="008E4663"/>
    <w:rsid w:val="008E4920"/>
    <w:rsid w:val="008E4A2D"/>
    <w:rsid w:val="008E4CFA"/>
    <w:rsid w:val="008E4D6E"/>
    <w:rsid w:val="008E4F19"/>
    <w:rsid w:val="008E5090"/>
    <w:rsid w:val="008E5810"/>
    <w:rsid w:val="008E5B91"/>
    <w:rsid w:val="008E5E32"/>
    <w:rsid w:val="008E5F04"/>
    <w:rsid w:val="008E61CD"/>
    <w:rsid w:val="008E6740"/>
    <w:rsid w:val="008E6AAA"/>
    <w:rsid w:val="008E6DC5"/>
    <w:rsid w:val="008E6E3A"/>
    <w:rsid w:val="008E7357"/>
    <w:rsid w:val="008E76DD"/>
    <w:rsid w:val="008E7B48"/>
    <w:rsid w:val="008F00AF"/>
    <w:rsid w:val="008F0A11"/>
    <w:rsid w:val="008F0B9C"/>
    <w:rsid w:val="008F115B"/>
    <w:rsid w:val="008F1260"/>
    <w:rsid w:val="008F1F26"/>
    <w:rsid w:val="008F228F"/>
    <w:rsid w:val="008F2372"/>
    <w:rsid w:val="008F2542"/>
    <w:rsid w:val="008F257F"/>
    <w:rsid w:val="008F2EE6"/>
    <w:rsid w:val="008F39D5"/>
    <w:rsid w:val="008F39F7"/>
    <w:rsid w:val="008F3E3D"/>
    <w:rsid w:val="008F496C"/>
    <w:rsid w:val="008F4B66"/>
    <w:rsid w:val="008F4C48"/>
    <w:rsid w:val="008F4EF4"/>
    <w:rsid w:val="008F5067"/>
    <w:rsid w:val="008F5366"/>
    <w:rsid w:val="008F570C"/>
    <w:rsid w:val="008F5DE6"/>
    <w:rsid w:val="008F5E91"/>
    <w:rsid w:val="008F6152"/>
    <w:rsid w:val="008F68B1"/>
    <w:rsid w:val="008F7078"/>
    <w:rsid w:val="008F77C1"/>
    <w:rsid w:val="008F78C8"/>
    <w:rsid w:val="008F7AA6"/>
    <w:rsid w:val="008F7D55"/>
    <w:rsid w:val="009010A5"/>
    <w:rsid w:val="00901703"/>
    <w:rsid w:val="00901C89"/>
    <w:rsid w:val="00901D09"/>
    <w:rsid w:val="0090206F"/>
    <w:rsid w:val="00902283"/>
    <w:rsid w:val="00902384"/>
    <w:rsid w:val="009025F0"/>
    <w:rsid w:val="00902753"/>
    <w:rsid w:val="00902FE1"/>
    <w:rsid w:val="0090303C"/>
    <w:rsid w:val="009035DF"/>
    <w:rsid w:val="00903883"/>
    <w:rsid w:val="00903C84"/>
    <w:rsid w:val="0090451F"/>
    <w:rsid w:val="00905029"/>
    <w:rsid w:val="009052B0"/>
    <w:rsid w:val="0090555C"/>
    <w:rsid w:val="00905E43"/>
    <w:rsid w:val="00906063"/>
    <w:rsid w:val="0090606C"/>
    <w:rsid w:val="009069C6"/>
    <w:rsid w:val="009069D2"/>
    <w:rsid w:val="00906B37"/>
    <w:rsid w:val="00906B3E"/>
    <w:rsid w:val="00906BA9"/>
    <w:rsid w:val="00906C05"/>
    <w:rsid w:val="009075AF"/>
    <w:rsid w:val="0090763B"/>
    <w:rsid w:val="00907C44"/>
    <w:rsid w:val="00911917"/>
    <w:rsid w:val="009119E9"/>
    <w:rsid w:val="00911CBF"/>
    <w:rsid w:val="00911F18"/>
    <w:rsid w:val="00912543"/>
    <w:rsid w:val="00912617"/>
    <w:rsid w:val="009129BA"/>
    <w:rsid w:val="00912D62"/>
    <w:rsid w:val="00912DAF"/>
    <w:rsid w:val="00912FCD"/>
    <w:rsid w:val="00913122"/>
    <w:rsid w:val="00913193"/>
    <w:rsid w:val="009134C0"/>
    <w:rsid w:val="00913600"/>
    <w:rsid w:val="0091377B"/>
    <w:rsid w:val="00913E95"/>
    <w:rsid w:val="009152B7"/>
    <w:rsid w:val="00915515"/>
    <w:rsid w:val="00915BC3"/>
    <w:rsid w:val="00915C03"/>
    <w:rsid w:val="00915EFD"/>
    <w:rsid w:val="009162E6"/>
    <w:rsid w:val="009162FC"/>
    <w:rsid w:val="00916DD9"/>
    <w:rsid w:val="00916DDA"/>
    <w:rsid w:val="009170D7"/>
    <w:rsid w:val="009178AD"/>
    <w:rsid w:val="00917DA2"/>
    <w:rsid w:val="009202E3"/>
    <w:rsid w:val="00920469"/>
    <w:rsid w:val="00920501"/>
    <w:rsid w:val="00920B0C"/>
    <w:rsid w:val="00921147"/>
    <w:rsid w:val="009211D9"/>
    <w:rsid w:val="009211DB"/>
    <w:rsid w:val="009212B6"/>
    <w:rsid w:val="00921509"/>
    <w:rsid w:val="009219BD"/>
    <w:rsid w:val="0092217D"/>
    <w:rsid w:val="00923A6A"/>
    <w:rsid w:val="00923BAE"/>
    <w:rsid w:val="00923E8F"/>
    <w:rsid w:val="0092445A"/>
    <w:rsid w:val="00924490"/>
    <w:rsid w:val="009244D9"/>
    <w:rsid w:val="009245DF"/>
    <w:rsid w:val="00924745"/>
    <w:rsid w:val="00924B67"/>
    <w:rsid w:val="00925149"/>
    <w:rsid w:val="009252A1"/>
    <w:rsid w:val="0092564E"/>
    <w:rsid w:val="00925D94"/>
    <w:rsid w:val="00925DEF"/>
    <w:rsid w:val="00926B10"/>
    <w:rsid w:val="0092702A"/>
    <w:rsid w:val="00927ABC"/>
    <w:rsid w:val="00930957"/>
    <w:rsid w:val="00930A34"/>
    <w:rsid w:val="00931006"/>
    <w:rsid w:val="009313D8"/>
    <w:rsid w:val="009314E3"/>
    <w:rsid w:val="00931C5C"/>
    <w:rsid w:val="009323B3"/>
    <w:rsid w:val="00932640"/>
    <w:rsid w:val="009326E9"/>
    <w:rsid w:val="00932C40"/>
    <w:rsid w:val="00932E02"/>
    <w:rsid w:val="00932F71"/>
    <w:rsid w:val="0093367D"/>
    <w:rsid w:val="009336C5"/>
    <w:rsid w:val="00933AB1"/>
    <w:rsid w:val="009351D8"/>
    <w:rsid w:val="0093539D"/>
    <w:rsid w:val="0093544E"/>
    <w:rsid w:val="00935858"/>
    <w:rsid w:val="009359B0"/>
    <w:rsid w:val="00935DF9"/>
    <w:rsid w:val="009362C6"/>
    <w:rsid w:val="00936546"/>
    <w:rsid w:val="0093668E"/>
    <w:rsid w:val="00936F37"/>
    <w:rsid w:val="009372BC"/>
    <w:rsid w:val="00937AB1"/>
    <w:rsid w:val="00937BB4"/>
    <w:rsid w:val="00937BD3"/>
    <w:rsid w:val="00937DA5"/>
    <w:rsid w:val="00940B56"/>
    <w:rsid w:val="00940E5E"/>
    <w:rsid w:val="00940F1D"/>
    <w:rsid w:val="00940FA8"/>
    <w:rsid w:val="00942579"/>
    <w:rsid w:val="0094308F"/>
    <w:rsid w:val="0094316D"/>
    <w:rsid w:val="009433B4"/>
    <w:rsid w:val="009436F0"/>
    <w:rsid w:val="009437A6"/>
    <w:rsid w:val="00943C1D"/>
    <w:rsid w:val="00943E67"/>
    <w:rsid w:val="00943F71"/>
    <w:rsid w:val="009440EE"/>
    <w:rsid w:val="009445F7"/>
    <w:rsid w:val="009446F7"/>
    <w:rsid w:val="00944889"/>
    <w:rsid w:val="00944DF0"/>
    <w:rsid w:val="00945113"/>
    <w:rsid w:val="00945193"/>
    <w:rsid w:val="009453DA"/>
    <w:rsid w:val="009453F4"/>
    <w:rsid w:val="00945D30"/>
    <w:rsid w:val="00945FB3"/>
    <w:rsid w:val="00946B1B"/>
    <w:rsid w:val="009475A2"/>
    <w:rsid w:val="00947E38"/>
    <w:rsid w:val="00950373"/>
    <w:rsid w:val="00950B8A"/>
    <w:rsid w:val="00950B90"/>
    <w:rsid w:val="00950CD7"/>
    <w:rsid w:val="00950D1E"/>
    <w:rsid w:val="00951456"/>
    <w:rsid w:val="009514D9"/>
    <w:rsid w:val="0095208A"/>
    <w:rsid w:val="00952626"/>
    <w:rsid w:val="009526D0"/>
    <w:rsid w:val="00952701"/>
    <w:rsid w:val="0095290D"/>
    <w:rsid w:val="00952A1B"/>
    <w:rsid w:val="0095310E"/>
    <w:rsid w:val="009532B8"/>
    <w:rsid w:val="00953412"/>
    <w:rsid w:val="00953620"/>
    <w:rsid w:val="009542DF"/>
    <w:rsid w:val="009543C3"/>
    <w:rsid w:val="0095499A"/>
    <w:rsid w:val="00955240"/>
    <w:rsid w:val="00955391"/>
    <w:rsid w:val="00955E17"/>
    <w:rsid w:val="00956588"/>
    <w:rsid w:val="009565D5"/>
    <w:rsid w:val="00956F28"/>
    <w:rsid w:val="00957269"/>
    <w:rsid w:val="009575F0"/>
    <w:rsid w:val="00957B03"/>
    <w:rsid w:val="00957E5C"/>
    <w:rsid w:val="00960028"/>
    <w:rsid w:val="00960200"/>
    <w:rsid w:val="009602AB"/>
    <w:rsid w:val="0096043A"/>
    <w:rsid w:val="009604AA"/>
    <w:rsid w:val="00960534"/>
    <w:rsid w:val="0096059A"/>
    <w:rsid w:val="00960AAF"/>
    <w:rsid w:val="00960B97"/>
    <w:rsid w:val="00960BCE"/>
    <w:rsid w:val="009610F4"/>
    <w:rsid w:val="0096113F"/>
    <w:rsid w:val="00961698"/>
    <w:rsid w:val="0096196F"/>
    <w:rsid w:val="00962A51"/>
    <w:rsid w:val="00963008"/>
    <w:rsid w:val="00963084"/>
    <w:rsid w:val="00963774"/>
    <w:rsid w:val="00963E27"/>
    <w:rsid w:val="009642DC"/>
    <w:rsid w:val="00964605"/>
    <w:rsid w:val="00964861"/>
    <w:rsid w:val="00964E98"/>
    <w:rsid w:val="0096562B"/>
    <w:rsid w:val="009656D4"/>
    <w:rsid w:val="009657E7"/>
    <w:rsid w:val="00965C3A"/>
    <w:rsid w:val="00965CE9"/>
    <w:rsid w:val="0096619B"/>
    <w:rsid w:val="0096647A"/>
    <w:rsid w:val="00966490"/>
    <w:rsid w:val="00966568"/>
    <w:rsid w:val="0096662F"/>
    <w:rsid w:val="00966996"/>
    <w:rsid w:val="00966C50"/>
    <w:rsid w:val="00966E9D"/>
    <w:rsid w:val="0096763B"/>
    <w:rsid w:val="00967C5C"/>
    <w:rsid w:val="00970036"/>
    <w:rsid w:val="0097028A"/>
    <w:rsid w:val="0097034A"/>
    <w:rsid w:val="0097157E"/>
    <w:rsid w:val="00971D32"/>
    <w:rsid w:val="009723F8"/>
    <w:rsid w:val="00972489"/>
    <w:rsid w:val="0097282F"/>
    <w:rsid w:val="00973087"/>
    <w:rsid w:val="00973131"/>
    <w:rsid w:val="00973270"/>
    <w:rsid w:val="00973297"/>
    <w:rsid w:val="00973BE7"/>
    <w:rsid w:val="00973FD8"/>
    <w:rsid w:val="00974601"/>
    <w:rsid w:val="009747FA"/>
    <w:rsid w:val="00974FA0"/>
    <w:rsid w:val="00975643"/>
    <w:rsid w:val="009757C1"/>
    <w:rsid w:val="009759D7"/>
    <w:rsid w:val="00976287"/>
    <w:rsid w:val="00976333"/>
    <w:rsid w:val="009766E2"/>
    <w:rsid w:val="009767B7"/>
    <w:rsid w:val="009767D8"/>
    <w:rsid w:val="00976EA2"/>
    <w:rsid w:val="00977030"/>
    <w:rsid w:val="009770B3"/>
    <w:rsid w:val="0097725D"/>
    <w:rsid w:val="00977795"/>
    <w:rsid w:val="009777A7"/>
    <w:rsid w:val="00977A1B"/>
    <w:rsid w:val="00977FAC"/>
    <w:rsid w:val="00980013"/>
    <w:rsid w:val="0098036F"/>
    <w:rsid w:val="00981319"/>
    <w:rsid w:val="0098181B"/>
    <w:rsid w:val="009818C2"/>
    <w:rsid w:val="00981A04"/>
    <w:rsid w:val="00981ECD"/>
    <w:rsid w:val="00982536"/>
    <w:rsid w:val="00982C97"/>
    <w:rsid w:val="0098303A"/>
    <w:rsid w:val="00983145"/>
    <w:rsid w:val="0098359B"/>
    <w:rsid w:val="00983731"/>
    <w:rsid w:val="00983B32"/>
    <w:rsid w:val="00983EAD"/>
    <w:rsid w:val="009841CB"/>
    <w:rsid w:val="009844B6"/>
    <w:rsid w:val="00984BA1"/>
    <w:rsid w:val="009850DF"/>
    <w:rsid w:val="00985A54"/>
    <w:rsid w:val="00986526"/>
    <w:rsid w:val="009865E3"/>
    <w:rsid w:val="0098664B"/>
    <w:rsid w:val="00986AB0"/>
    <w:rsid w:val="00986AF8"/>
    <w:rsid w:val="00986C91"/>
    <w:rsid w:val="00986F20"/>
    <w:rsid w:val="0098703B"/>
    <w:rsid w:val="009872B7"/>
    <w:rsid w:val="00987762"/>
    <w:rsid w:val="00987B32"/>
    <w:rsid w:val="00987E60"/>
    <w:rsid w:val="009900C9"/>
    <w:rsid w:val="00990315"/>
    <w:rsid w:val="00990439"/>
    <w:rsid w:val="009905C4"/>
    <w:rsid w:val="009907B7"/>
    <w:rsid w:val="00990838"/>
    <w:rsid w:val="00990897"/>
    <w:rsid w:val="00990D05"/>
    <w:rsid w:val="00991816"/>
    <w:rsid w:val="00991A34"/>
    <w:rsid w:val="00991F44"/>
    <w:rsid w:val="00991F7E"/>
    <w:rsid w:val="009920D3"/>
    <w:rsid w:val="00992341"/>
    <w:rsid w:val="00992B54"/>
    <w:rsid w:val="0099316A"/>
    <w:rsid w:val="009937DB"/>
    <w:rsid w:val="00993965"/>
    <w:rsid w:val="00993BB6"/>
    <w:rsid w:val="009942AC"/>
    <w:rsid w:val="00994606"/>
    <w:rsid w:val="009946B7"/>
    <w:rsid w:val="00994B35"/>
    <w:rsid w:val="009953DF"/>
    <w:rsid w:val="009958F2"/>
    <w:rsid w:val="009959D1"/>
    <w:rsid w:val="00995C61"/>
    <w:rsid w:val="00995CA3"/>
    <w:rsid w:val="009960AD"/>
    <w:rsid w:val="00996681"/>
    <w:rsid w:val="00997306"/>
    <w:rsid w:val="00997313"/>
    <w:rsid w:val="009976CE"/>
    <w:rsid w:val="009976FA"/>
    <w:rsid w:val="0099792B"/>
    <w:rsid w:val="00997A55"/>
    <w:rsid w:val="00997DFF"/>
    <w:rsid w:val="00997E8D"/>
    <w:rsid w:val="009A004E"/>
    <w:rsid w:val="009A050B"/>
    <w:rsid w:val="009A06AC"/>
    <w:rsid w:val="009A0A55"/>
    <w:rsid w:val="009A0A8C"/>
    <w:rsid w:val="009A0B2C"/>
    <w:rsid w:val="009A11A7"/>
    <w:rsid w:val="009A1332"/>
    <w:rsid w:val="009A16FD"/>
    <w:rsid w:val="009A1A9D"/>
    <w:rsid w:val="009A21C7"/>
    <w:rsid w:val="009A2631"/>
    <w:rsid w:val="009A2C28"/>
    <w:rsid w:val="009A340A"/>
    <w:rsid w:val="009A355B"/>
    <w:rsid w:val="009A3C5F"/>
    <w:rsid w:val="009A3CA7"/>
    <w:rsid w:val="009A3CE7"/>
    <w:rsid w:val="009A3D1A"/>
    <w:rsid w:val="009A42B4"/>
    <w:rsid w:val="009A4BC2"/>
    <w:rsid w:val="009A5077"/>
    <w:rsid w:val="009A527F"/>
    <w:rsid w:val="009A5E16"/>
    <w:rsid w:val="009A60F1"/>
    <w:rsid w:val="009A6254"/>
    <w:rsid w:val="009A6437"/>
    <w:rsid w:val="009A6F0D"/>
    <w:rsid w:val="009A7253"/>
    <w:rsid w:val="009A7834"/>
    <w:rsid w:val="009A7C29"/>
    <w:rsid w:val="009B03B3"/>
    <w:rsid w:val="009B070C"/>
    <w:rsid w:val="009B0921"/>
    <w:rsid w:val="009B0A89"/>
    <w:rsid w:val="009B1090"/>
    <w:rsid w:val="009B10C2"/>
    <w:rsid w:val="009B115E"/>
    <w:rsid w:val="009B16E4"/>
    <w:rsid w:val="009B16ED"/>
    <w:rsid w:val="009B212F"/>
    <w:rsid w:val="009B23BA"/>
    <w:rsid w:val="009B284D"/>
    <w:rsid w:val="009B2A8A"/>
    <w:rsid w:val="009B2C9A"/>
    <w:rsid w:val="009B308C"/>
    <w:rsid w:val="009B341D"/>
    <w:rsid w:val="009B34D5"/>
    <w:rsid w:val="009B3A17"/>
    <w:rsid w:val="009B51C0"/>
    <w:rsid w:val="009B5A94"/>
    <w:rsid w:val="009B5B25"/>
    <w:rsid w:val="009B5B4D"/>
    <w:rsid w:val="009B5D7E"/>
    <w:rsid w:val="009B5DB6"/>
    <w:rsid w:val="009B65AB"/>
    <w:rsid w:val="009B68C1"/>
    <w:rsid w:val="009B6A58"/>
    <w:rsid w:val="009B794B"/>
    <w:rsid w:val="009B7E8C"/>
    <w:rsid w:val="009C01D3"/>
    <w:rsid w:val="009C0426"/>
    <w:rsid w:val="009C057F"/>
    <w:rsid w:val="009C09DE"/>
    <w:rsid w:val="009C0AB3"/>
    <w:rsid w:val="009C1027"/>
    <w:rsid w:val="009C17AC"/>
    <w:rsid w:val="009C1BD9"/>
    <w:rsid w:val="009C1FDC"/>
    <w:rsid w:val="009C2468"/>
    <w:rsid w:val="009C25EC"/>
    <w:rsid w:val="009C2EB2"/>
    <w:rsid w:val="009C2EE1"/>
    <w:rsid w:val="009C3921"/>
    <w:rsid w:val="009C48F1"/>
    <w:rsid w:val="009C4DF2"/>
    <w:rsid w:val="009C5046"/>
    <w:rsid w:val="009C571E"/>
    <w:rsid w:val="009C5908"/>
    <w:rsid w:val="009C6211"/>
    <w:rsid w:val="009C6A3F"/>
    <w:rsid w:val="009C6A74"/>
    <w:rsid w:val="009C7016"/>
    <w:rsid w:val="009C759B"/>
    <w:rsid w:val="009C7759"/>
    <w:rsid w:val="009C7788"/>
    <w:rsid w:val="009C7C0A"/>
    <w:rsid w:val="009C7DC5"/>
    <w:rsid w:val="009D0122"/>
    <w:rsid w:val="009D016A"/>
    <w:rsid w:val="009D089B"/>
    <w:rsid w:val="009D120F"/>
    <w:rsid w:val="009D1BDC"/>
    <w:rsid w:val="009D1F6F"/>
    <w:rsid w:val="009D204F"/>
    <w:rsid w:val="009D232E"/>
    <w:rsid w:val="009D2B72"/>
    <w:rsid w:val="009D2B8E"/>
    <w:rsid w:val="009D2F0E"/>
    <w:rsid w:val="009D3754"/>
    <w:rsid w:val="009D3B6B"/>
    <w:rsid w:val="009D3B88"/>
    <w:rsid w:val="009D40C1"/>
    <w:rsid w:val="009D41EA"/>
    <w:rsid w:val="009D4D9A"/>
    <w:rsid w:val="009D532C"/>
    <w:rsid w:val="009D575A"/>
    <w:rsid w:val="009D5D42"/>
    <w:rsid w:val="009D6523"/>
    <w:rsid w:val="009D686A"/>
    <w:rsid w:val="009D74CB"/>
    <w:rsid w:val="009D7800"/>
    <w:rsid w:val="009D79B5"/>
    <w:rsid w:val="009D7DBD"/>
    <w:rsid w:val="009E02ED"/>
    <w:rsid w:val="009E0363"/>
    <w:rsid w:val="009E059C"/>
    <w:rsid w:val="009E068B"/>
    <w:rsid w:val="009E0F04"/>
    <w:rsid w:val="009E1724"/>
    <w:rsid w:val="009E1D0A"/>
    <w:rsid w:val="009E1E46"/>
    <w:rsid w:val="009E2152"/>
    <w:rsid w:val="009E231E"/>
    <w:rsid w:val="009E2BD6"/>
    <w:rsid w:val="009E2DA5"/>
    <w:rsid w:val="009E313B"/>
    <w:rsid w:val="009E3617"/>
    <w:rsid w:val="009E37A1"/>
    <w:rsid w:val="009E38C1"/>
    <w:rsid w:val="009E4066"/>
    <w:rsid w:val="009E423A"/>
    <w:rsid w:val="009E4495"/>
    <w:rsid w:val="009E474A"/>
    <w:rsid w:val="009E48D5"/>
    <w:rsid w:val="009E4FAB"/>
    <w:rsid w:val="009E5920"/>
    <w:rsid w:val="009E59A5"/>
    <w:rsid w:val="009E5F88"/>
    <w:rsid w:val="009E6241"/>
    <w:rsid w:val="009E64D6"/>
    <w:rsid w:val="009E66ED"/>
    <w:rsid w:val="009E6710"/>
    <w:rsid w:val="009E6B2A"/>
    <w:rsid w:val="009E6F42"/>
    <w:rsid w:val="009E7066"/>
    <w:rsid w:val="009E7473"/>
    <w:rsid w:val="009F04B8"/>
    <w:rsid w:val="009F092F"/>
    <w:rsid w:val="009F1033"/>
    <w:rsid w:val="009F1E89"/>
    <w:rsid w:val="009F330C"/>
    <w:rsid w:val="009F35F7"/>
    <w:rsid w:val="009F38B0"/>
    <w:rsid w:val="009F3E5C"/>
    <w:rsid w:val="009F427D"/>
    <w:rsid w:val="009F4353"/>
    <w:rsid w:val="009F4DAA"/>
    <w:rsid w:val="009F4FC6"/>
    <w:rsid w:val="009F4FEB"/>
    <w:rsid w:val="009F5C02"/>
    <w:rsid w:val="009F6008"/>
    <w:rsid w:val="009F63C0"/>
    <w:rsid w:val="009F69FD"/>
    <w:rsid w:val="009F6A68"/>
    <w:rsid w:val="009F6CE1"/>
    <w:rsid w:val="009F6D83"/>
    <w:rsid w:val="009F72AB"/>
    <w:rsid w:val="009F72FC"/>
    <w:rsid w:val="009F7AEB"/>
    <w:rsid w:val="009F7D4E"/>
    <w:rsid w:val="009F7DF5"/>
    <w:rsid w:val="00A00114"/>
    <w:rsid w:val="00A00280"/>
    <w:rsid w:val="00A006BE"/>
    <w:rsid w:val="00A00825"/>
    <w:rsid w:val="00A0097A"/>
    <w:rsid w:val="00A00A88"/>
    <w:rsid w:val="00A00BB4"/>
    <w:rsid w:val="00A00C40"/>
    <w:rsid w:val="00A0150A"/>
    <w:rsid w:val="00A017C4"/>
    <w:rsid w:val="00A0197B"/>
    <w:rsid w:val="00A01B90"/>
    <w:rsid w:val="00A01F44"/>
    <w:rsid w:val="00A02597"/>
    <w:rsid w:val="00A02AD1"/>
    <w:rsid w:val="00A02B36"/>
    <w:rsid w:val="00A03084"/>
    <w:rsid w:val="00A0315C"/>
    <w:rsid w:val="00A0330C"/>
    <w:rsid w:val="00A03635"/>
    <w:rsid w:val="00A03B40"/>
    <w:rsid w:val="00A0446A"/>
    <w:rsid w:val="00A04646"/>
    <w:rsid w:val="00A0466F"/>
    <w:rsid w:val="00A04885"/>
    <w:rsid w:val="00A0493D"/>
    <w:rsid w:val="00A04A46"/>
    <w:rsid w:val="00A04BFC"/>
    <w:rsid w:val="00A0587B"/>
    <w:rsid w:val="00A05ABC"/>
    <w:rsid w:val="00A05B90"/>
    <w:rsid w:val="00A05E6C"/>
    <w:rsid w:val="00A0652F"/>
    <w:rsid w:val="00A06852"/>
    <w:rsid w:val="00A069E8"/>
    <w:rsid w:val="00A06DFB"/>
    <w:rsid w:val="00A070B9"/>
    <w:rsid w:val="00A07136"/>
    <w:rsid w:val="00A071F6"/>
    <w:rsid w:val="00A07479"/>
    <w:rsid w:val="00A0749F"/>
    <w:rsid w:val="00A0778A"/>
    <w:rsid w:val="00A077C9"/>
    <w:rsid w:val="00A078AD"/>
    <w:rsid w:val="00A07D0F"/>
    <w:rsid w:val="00A07F2A"/>
    <w:rsid w:val="00A10377"/>
    <w:rsid w:val="00A10C41"/>
    <w:rsid w:val="00A11D81"/>
    <w:rsid w:val="00A11DDC"/>
    <w:rsid w:val="00A120C1"/>
    <w:rsid w:val="00A12540"/>
    <w:rsid w:val="00A126F1"/>
    <w:rsid w:val="00A1299C"/>
    <w:rsid w:val="00A12A62"/>
    <w:rsid w:val="00A12E79"/>
    <w:rsid w:val="00A133DA"/>
    <w:rsid w:val="00A13615"/>
    <w:rsid w:val="00A1380A"/>
    <w:rsid w:val="00A13966"/>
    <w:rsid w:val="00A140C9"/>
    <w:rsid w:val="00A14378"/>
    <w:rsid w:val="00A143CA"/>
    <w:rsid w:val="00A148F5"/>
    <w:rsid w:val="00A14D0A"/>
    <w:rsid w:val="00A15801"/>
    <w:rsid w:val="00A15BF1"/>
    <w:rsid w:val="00A169D3"/>
    <w:rsid w:val="00A1752D"/>
    <w:rsid w:val="00A176D4"/>
    <w:rsid w:val="00A17783"/>
    <w:rsid w:val="00A17A6A"/>
    <w:rsid w:val="00A17ADB"/>
    <w:rsid w:val="00A17E90"/>
    <w:rsid w:val="00A207C5"/>
    <w:rsid w:val="00A20A04"/>
    <w:rsid w:val="00A211A1"/>
    <w:rsid w:val="00A21978"/>
    <w:rsid w:val="00A21B27"/>
    <w:rsid w:val="00A21FCE"/>
    <w:rsid w:val="00A221EB"/>
    <w:rsid w:val="00A22A42"/>
    <w:rsid w:val="00A22C92"/>
    <w:rsid w:val="00A233C4"/>
    <w:rsid w:val="00A2378A"/>
    <w:rsid w:val="00A24624"/>
    <w:rsid w:val="00A255B6"/>
    <w:rsid w:val="00A25FA8"/>
    <w:rsid w:val="00A26034"/>
    <w:rsid w:val="00A26374"/>
    <w:rsid w:val="00A2668C"/>
    <w:rsid w:val="00A26DFF"/>
    <w:rsid w:val="00A2702C"/>
    <w:rsid w:val="00A2741D"/>
    <w:rsid w:val="00A279EA"/>
    <w:rsid w:val="00A27D20"/>
    <w:rsid w:val="00A302FE"/>
    <w:rsid w:val="00A3080F"/>
    <w:rsid w:val="00A30F08"/>
    <w:rsid w:val="00A3106A"/>
    <w:rsid w:val="00A31231"/>
    <w:rsid w:val="00A313BD"/>
    <w:rsid w:val="00A315FB"/>
    <w:rsid w:val="00A3199A"/>
    <w:rsid w:val="00A31C8C"/>
    <w:rsid w:val="00A31EE0"/>
    <w:rsid w:val="00A320C4"/>
    <w:rsid w:val="00A32733"/>
    <w:rsid w:val="00A32982"/>
    <w:rsid w:val="00A32C7C"/>
    <w:rsid w:val="00A331BC"/>
    <w:rsid w:val="00A3351E"/>
    <w:rsid w:val="00A336AA"/>
    <w:rsid w:val="00A33A08"/>
    <w:rsid w:val="00A33E30"/>
    <w:rsid w:val="00A345B8"/>
    <w:rsid w:val="00A3462D"/>
    <w:rsid w:val="00A34E18"/>
    <w:rsid w:val="00A34F9A"/>
    <w:rsid w:val="00A35AC4"/>
    <w:rsid w:val="00A35FA0"/>
    <w:rsid w:val="00A36D65"/>
    <w:rsid w:val="00A36FE6"/>
    <w:rsid w:val="00A377DC"/>
    <w:rsid w:val="00A37900"/>
    <w:rsid w:val="00A37979"/>
    <w:rsid w:val="00A37E21"/>
    <w:rsid w:val="00A40530"/>
    <w:rsid w:val="00A40A67"/>
    <w:rsid w:val="00A414CC"/>
    <w:rsid w:val="00A414FE"/>
    <w:rsid w:val="00A415B7"/>
    <w:rsid w:val="00A41FB0"/>
    <w:rsid w:val="00A42028"/>
    <w:rsid w:val="00A4290B"/>
    <w:rsid w:val="00A42EFE"/>
    <w:rsid w:val="00A42FD5"/>
    <w:rsid w:val="00A4319D"/>
    <w:rsid w:val="00A4363A"/>
    <w:rsid w:val="00A4386C"/>
    <w:rsid w:val="00A43A8E"/>
    <w:rsid w:val="00A43C17"/>
    <w:rsid w:val="00A44005"/>
    <w:rsid w:val="00A443DA"/>
    <w:rsid w:val="00A4456C"/>
    <w:rsid w:val="00A44BC7"/>
    <w:rsid w:val="00A44CC0"/>
    <w:rsid w:val="00A4523F"/>
    <w:rsid w:val="00A454AE"/>
    <w:rsid w:val="00A45B14"/>
    <w:rsid w:val="00A45E2E"/>
    <w:rsid w:val="00A45EFC"/>
    <w:rsid w:val="00A46300"/>
    <w:rsid w:val="00A46524"/>
    <w:rsid w:val="00A4696E"/>
    <w:rsid w:val="00A46CF4"/>
    <w:rsid w:val="00A47271"/>
    <w:rsid w:val="00A47676"/>
    <w:rsid w:val="00A47C5A"/>
    <w:rsid w:val="00A502BE"/>
    <w:rsid w:val="00A50433"/>
    <w:rsid w:val="00A50C1C"/>
    <w:rsid w:val="00A50D95"/>
    <w:rsid w:val="00A50D9C"/>
    <w:rsid w:val="00A51867"/>
    <w:rsid w:val="00A5192C"/>
    <w:rsid w:val="00A51D8A"/>
    <w:rsid w:val="00A52433"/>
    <w:rsid w:val="00A526C4"/>
    <w:rsid w:val="00A52BAE"/>
    <w:rsid w:val="00A531EB"/>
    <w:rsid w:val="00A532C3"/>
    <w:rsid w:val="00A53A7B"/>
    <w:rsid w:val="00A53A93"/>
    <w:rsid w:val="00A5409F"/>
    <w:rsid w:val="00A549D8"/>
    <w:rsid w:val="00A54BA1"/>
    <w:rsid w:val="00A55DC6"/>
    <w:rsid w:val="00A55FEE"/>
    <w:rsid w:val="00A56615"/>
    <w:rsid w:val="00A56652"/>
    <w:rsid w:val="00A56A1E"/>
    <w:rsid w:val="00A57D63"/>
    <w:rsid w:val="00A600E0"/>
    <w:rsid w:val="00A60168"/>
    <w:rsid w:val="00A60230"/>
    <w:rsid w:val="00A60339"/>
    <w:rsid w:val="00A612C0"/>
    <w:rsid w:val="00A61397"/>
    <w:rsid w:val="00A61443"/>
    <w:rsid w:val="00A6154A"/>
    <w:rsid w:val="00A61879"/>
    <w:rsid w:val="00A61908"/>
    <w:rsid w:val="00A61BA3"/>
    <w:rsid w:val="00A628D5"/>
    <w:rsid w:val="00A62DFF"/>
    <w:rsid w:val="00A630CD"/>
    <w:rsid w:val="00A6384A"/>
    <w:rsid w:val="00A63969"/>
    <w:rsid w:val="00A63D3E"/>
    <w:rsid w:val="00A64163"/>
    <w:rsid w:val="00A6425D"/>
    <w:rsid w:val="00A6428E"/>
    <w:rsid w:val="00A644D7"/>
    <w:rsid w:val="00A64763"/>
    <w:rsid w:val="00A648B8"/>
    <w:rsid w:val="00A64CDE"/>
    <w:rsid w:val="00A652D5"/>
    <w:rsid w:val="00A655C1"/>
    <w:rsid w:val="00A65645"/>
    <w:rsid w:val="00A65944"/>
    <w:rsid w:val="00A65989"/>
    <w:rsid w:val="00A65E6F"/>
    <w:rsid w:val="00A6649F"/>
    <w:rsid w:val="00A67BA8"/>
    <w:rsid w:val="00A67EE4"/>
    <w:rsid w:val="00A70C37"/>
    <w:rsid w:val="00A7193F"/>
    <w:rsid w:val="00A728EE"/>
    <w:rsid w:val="00A72D97"/>
    <w:rsid w:val="00A732E1"/>
    <w:rsid w:val="00A73D8E"/>
    <w:rsid w:val="00A74934"/>
    <w:rsid w:val="00A7496A"/>
    <w:rsid w:val="00A74A5F"/>
    <w:rsid w:val="00A75012"/>
    <w:rsid w:val="00A750F2"/>
    <w:rsid w:val="00A75149"/>
    <w:rsid w:val="00A75221"/>
    <w:rsid w:val="00A7644B"/>
    <w:rsid w:val="00A772F3"/>
    <w:rsid w:val="00A7738A"/>
    <w:rsid w:val="00A77623"/>
    <w:rsid w:val="00A77649"/>
    <w:rsid w:val="00A77E49"/>
    <w:rsid w:val="00A77F3C"/>
    <w:rsid w:val="00A77F9B"/>
    <w:rsid w:val="00A8001F"/>
    <w:rsid w:val="00A80332"/>
    <w:rsid w:val="00A8050E"/>
    <w:rsid w:val="00A80F3E"/>
    <w:rsid w:val="00A81960"/>
    <w:rsid w:val="00A81A4A"/>
    <w:rsid w:val="00A820A5"/>
    <w:rsid w:val="00A826F8"/>
    <w:rsid w:val="00A82C46"/>
    <w:rsid w:val="00A84140"/>
    <w:rsid w:val="00A841AF"/>
    <w:rsid w:val="00A84261"/>
    <w:rsid w:val="00A84331"/>
    <w:rsid w:val="00A849D0"/>
    <w:rsid w:val="00A85AA3"/>
    <w:rsid w:val="00A85B76"/>
    <w:rsid w:val="00A85B9A"/>
    <w:rsid w:val="00A85C23"/>
    <w:rsid w:val="00A86D1E"/>
    <w:rsid w:val="00A87140"/>
    <w:rsid w:val="00A871DB"/>
    <w:rsid w:val="00A874CD"/>
    <w:rsid w:val="00A8750D"/>
    <w:rsid w:val="00A87726"/>
    <w:rsid w:val="00A879C6"/>
    <w:rsid w:val="00A90661"/>
    <w:rsid w:val="00A909FF"/>
    <w:rsid w:val="00A90B9B"/>
    <w:rsid w:val="00A90D22"/>
    <w:rsid w:val="00A9232A"/>
    <w:rsid w:val="00A92AA9"/>
    <w:rsid w:val="00A92BA9"/>
    <w:rsid w:val="00A93CE0"/>
    <w:rsid w:val="00A93EE2"/>
    <w:rsid w:val="00A940B4"/>
    <w:rsid w:val="00A9468F"/>
    <w:rsid w:val="00A94808"/>
    <w:rsid w:val="00A949FF"/>
    <w:rsid w:val="00A94ADC"/>
    <w:rsid w:val="00A95041"/>
    <w:rsid w:val="00A95A0B"/>
    <w:rsid w:val="00A95D62"/>
    <w:rsid w:val="00A95FC2"/>
    <w:rsid w:val="00A96580"/>
    <w:rsid w:val="00A96E26"/>
    <w:rsid w:val="00A9707C"/>
    <w:rsid w:val="00A9710D"/>
    <w:rsid w:val="00A97352"/>
    <w:rsid w:val="00A97997"/>
    <w:rsid w:val="00A97B3D"/>
    <w:rsid w:val="00A97D33"/>
    <w:rsid w:val="00AA0858"/>
    <w:rsid w:val="00AA0896"/>
    <w:rsid w:val="00AA10BC"/>
    <w:rsid w:val="00AA154B"/>
    <w:rsid w:val="00AA19F6"/>
    <w:rsid w:val="00AA1D30"/>
    <w:rsid w:val="00AA1F64"/>
    <w:rsid w:val="00AA2172"/>
    <w:rsid w:val="00AA2434"/>
    <w:rsid w:val="00AA2803"/>
    <w:rsid w:val="00AA2DBE"/>
    <w:rsid w:val="00AA2E8D"/>
    <w:rsid w:val="00AA307C"/>
    <w:rsid w:val="00AA339E"/>
    <w:rsid w:val="00AA361E"/>
    <w:rsid w:val="00AA373F"/>
    <w:rsid w:val="00AA38C7"/>
    <w:rsid w:val="00AA39CB"/>
    <w:rsid w:val="00AA3D10"/>
    <w:rsid w:val="00AA3D52"/>
    <w:rsid w:val="00AA41A5"/>
    <w:rsid w:val="00AA41C7"/>
    <w:rsid w:val="00AA42AE"/>
    <w:rsid w:val="00AA45C9"/>
    <w:rsid w:val="00AA45F3"/>
    <w:rsid w:val="00AA46AD"/>
    <w:rsid w:val="00AA5012"/>
    <w:rsid w:val="00AA52C3"/>
    <w:rsid w:val="00AA6519"/>
    <w:rsid w:val="00AA6530"/>
    <w:rsid w:val="00AA6607"/>
    <w:rsid w:val="00AA7480"/>
    <w:rsid w:val="00AA74E8"/>
    <w:rsid w:val="00AA7787"/>
    <w:rsid w:val="00AB010B"/>
    <w:rsid w:val="00AB0366"/>
    <w:rsid w:val="00AB08CA"/>
    <w:rsid w:val="00AB0984"/>
    <w:rsid w:val="00AB0B68"/>
    <w:rsid w:val="00AB0C22"/>
    <w:rsid w:val="00AB0C70"/>
    <w:rsid w:val="00AB0CC9"/>
    <w:rsid w:val="00AB17F5"/>
    <w:rsid w:val="00AB1979"/>
    <w:rsid w:val="00AB1AE1"/>
    <w:rsid w:val="00AB20FB"/>
    <w:rsid w:val="00AB2601"/>
    <w:rsid w:val="00AB2642"/>
    <w:rsid w:val="00AB284A"/>
    <w:rsid w:val="00AB2A1C"/>
    <w:rsid w:val="00AB2BDE"/>
    <w:rsid w:val="00AB2D68"/>
    <w:rsid w:val="00AB327E"/>
    <w:rsid w:val="00AB3729"/>
    <w:rsid w:val="00AB3B08"/>
    <w:rsid w:val="00AB3BDC"/>
    <w:rsid w:val="00AB4070"/>
    <w:rsid w:val="00AB4658"/>
    <w:rsid w:val="00AB4BED"/>
    <w:rsid w:val="00AB4EBC"/>
    <w:rsid w:val="00AB54DE"/>
    <w:rsid w:val="00AB5578"/>
    <w:rsid w:val="00AB5F84"/>
    <w:rsid w:val="00AB62DC"/>
    <w:rsid w:val="00AB6548"/>
    <w:rsid w:val="00AB6B7E"/>
    <w:rsid w:val="00AB6C2D"/>
    <w:rsid w:val="00AB6FE4"/>
    <w:rsid w:val="00AB72DD"/>
    <w:rsid w:val="00AB741D"/>
    <w:rsid w:val="00AB7768"/>
    <w:rsid w:val="00AB7C78"/>
    <w:rsid w:val="00AC08FC"/>
    <w:rsid w:val="00AC13CE"/>
    <w:rsid w:val="00AC149C"/>
    <w:rsid w:val="00AC17B4"/>
    <w:rsid w:val="00AC1BD8"/>
    <w:rsid w:val="00AC234C"/>
    <w:rsid w:val="00AC23CF"/>
    <w:rsid w:val="00AC2845"/>
    <w:rsid w:val="00AC286F"/>
    <w:rsid w:val="00AC3729"/>
    <w:rsid w:val="00AC3844"/>
    <w:rsid w:val="00AC3A89"/>
    <w:rsid w:val="00AC3CEC"/>
    <w:rsid w:val="00AC41E8"/>
    <w:rsid w:val="00AC4575"/>
    <w:rsid w:val="00AC4CCF"/>
    <w:rsid w:val="00AC4E87"/>
    <w:rsid w:val="00AC55B2"/>
    <w:rsid w:val="00AC55D1"/>
    <w:rsid w:val="00AC5A06"/>
    <w:rsid w:val="00AC5BD4"/>
    <w:rsid w:val="00AC6062"/>
    <w:rsid w:val="00AC6775"/>
    <w:rsid w:val="00AC68AB"/>
    <w:rsid w:val="00AC6FD8"/>
    <w:rsid w:val="00AC6FE3"/>
    <w:rsid w:val="00AC71FB"/>
    <w:rsid w:val="00AC7645"/>
    <w:rsid w:val="00AC7701"/>
    <w:rsid w:val="00AC7768"/>
    <w:rsid w:val="00AC79C6"/>
    <w:rsid w:val="00AC7D43"/>
    <w:rsid w:val="00AD05CB"/>
    <w:rsid w:val="00AD0FB6"/>
    <w:rsid w:val="00AD106C"/>
    <w:rsid w:val="00AD12D5"/>
    <w:rsid w:val="00AD1480"/>
    <w:rsid w:val="00AD160F"/>
    <w:rsid w:val="00AD16D0"/>
    <w:rsid w:val="00AD1FE2"/>
    <w:rsid w:val="00AD246B"/>
    <w:rsid w:val="00AD30D9"/>
    <w:rsid w:val="00AD31B3"/>
    <w:rsid w:val="00AD322B"/>
    <w:rsid w:val="00AD3656"/>
    <w:rsid w:val="00AD387A"/>
    <w:rsid w:val="00AD39EB"/>
    <w:rsid w:val="00AD4291"/>
    <w:rsid w:val="00AD4534"/>
    <w:rsid w:val="00AD4C79"/>
    <w:rsid w:val="00AD4ED8"/>
    <w:rsid w:val="00AD5800"/>
    <w:rsid w:val="00AD59AD"/>
    <w:rsid w:val="00AD5D3F"/>
    <w:rsid w:val="00AD6006"/>
    <w:rsid w:val="00AD6549"/>
    <w:rsid w:val="00AD68D4"/>
    <w:rsid w:val="00AD6BD4"/>
    <w:rsid w:val="00AD6E07"/>
    <w:rsid w:val="00AD7120"/>
    <w:rsid w:val="00AD7294"/>
    <w:rsid w:val="00AD75A0"/>
    <w:rsid w:val="00AD76A2"/>
    <w:rsid w:val="00AD7DE8"/>
    <w:rsid w:val="00AE030C"/>
    <w:rsid w:val="00AE0361"/>
    <w:rsid w:val="00AE0B5A"/>
    <w:rsid w:val="00AE0C53"/>
    <w:rsid w:val="00AE0DDE"/>
    <w:rsid w:val="00AE0EF1"/>
    <w:rsid w:val="00AE123D"/>
    <w:rsid w:val="00AE1CCA"/>
    <w:rsid w:val="00AE1D9E"/>
    <w:rsid w:val="00AE1F65"/>
    <w:rsid w:val="00AE246C"/>
    <w:rsid w:val="00AE24D7"/>
    <w:rsid w:val="00AE2BC3"/>
    <w:rsid w:val="00AE32B7"/>
    <w:rsid w:val="00AE3743"/>
    <w:rsid w:val="00AE3A2E"/>
    <w:rsid w:val="00AE3AC5"/>
    <w:rsid w:val="00AE3CD0"/>
    <w:rsid w:val="00AE3FFA"/>
    <w:rsid w:val="00AE41C1"/>
    <w:rsid w:val="00AE41D1"/>
    <w:rsid w:val="00AE428F"/>
    <w:rsid w:val="00AE445E"/>
    <w:rsid w:val="00AE4494"/>
    <w:rsid w:val="00AE44BF"/>
    <w:rsid w:val="00AE4995"/>
    <w:rsid w:val="00AE4E40"/>
    <w:rsid w:val="00AE5078"/>
    <w:rsid w:val="00AE5275"/>
    <w:rsid w:val="00AE5640"/>
    <w:rsid w:val="00AE5C7F"/>
    <w:rsid w:val="00AE6271"/>
    <w:rsid w:val="00AE6A7E"/>
    <w:rsid w:val="00AE6BDD"/>
    <w:rsid w:val="00AE6DBC"/>
    <w:rsid w:val="00AF01CF"/>
    <w:rsid w:val="00AF0265"/>
    <w:rsid w:val="00AF1063"/>
    <w:rsid w:val="00AF1F2A"/>
    <w:rsid w:val="00AF2007"/>
    <w:rsid w:val="00AF2100"/>
    <w:rsid w:val="00AF23F7"/>
    <w:rsid w:val="00AF2B84"/>
    <w:rsid w:val="00AF2CE7"/>
    <w:rsid w:val="00AF3681"/>
    <w:rsid w:val="00AF3771"/>
    <w:rsid w:val="00AF384F"/>
    <w:rsid w:val="00AF3979"/>
    <w:rsid w:val="00AF3C9B"/>
    <w:rsid w:val="00AF3E8A"/>
    <w:rsid w:val="00AF3EBA"/>
    <w:rsid w:val="00AF4679"/>
    <w:rsid w:val="00AF4C51"/>
    <w:rsid w:val="00AF50B7"/>
    <w:rsid w:val="00AF50EC"/>
    <w:rsid w:val="00AF535C"/>
    <w:rsid w:val="00AF5505"/>
    <w:rsid w:val="00AF5706"/>
    <w:rsid w:val="00AF5750"/>
    <w:rsid w:val="00AF60DE"/>
    <w:rsid w:val="00AF60E0"/>
    <w:rsid w:val="00AF63D4"/>
    <w:rsid w:val="00AF63D8"/>
    <w:rsid w:val="00AF64E6"/>
    <w:rsid w:val="00AF69C1"/>
    <w:rsid w:val="00AF6A37"/>
    <w:rsid w:val="00AF6C03"/>
    <w:rsid w:val="00AF7218"/>
    <w:rsid w:val="00AF7341"/>
    <w:rsid w:val="00AF7FDA"/>
    <w:rsid w:val="00B00100"/>
    <w:rsid w:val="00B004A4"/>
    <w:rsid w:val="00B0067A"/>
    <w:rsid w:val="00B00D8A"/>
    <w:rsid w:val="00B00DB6"/>
    <w:rsid w:val="00B01158"/>
    <w:rsid w:val="00B01606"/>
    <w:rsid w:val="00B01CAA"/>
    <w:rsid w:val="00B01CF3"/>
    <w:rsid w:val="00B02381"/>
    <w:rsid w:val="00B02B9E"/>
    <w:rsid w:val="00B03275"/>
    <w:rsid w:val="00B0347D"/>
    <w:rsid w:val="00B03517"/>
    <w:rsid w:val="00B03575"/>
    <w:rsid w:val="00B0375F"/>
    <w:rsid w:val="00B03B6C"/>
    <w:rsid w:val="00B03D29"/>
    <w:rsid w:val="00B04013"/>
    <w:rsid w:val="00B04662"/>
    <w:rsid w:val="00B046D6"/>
    <w:rsid w:val="00B04864"/>
    <w:rsid w:val="00B05061"/>
    <w:rsid w:val="00B0528D"/>
    <w:rsid w:val="00B05886"/>
    <w:rsid w:val="00B06195"/>
    <w:rsid w:val="00B06254"/>
    <w:rsid w:val="00B0628B"/>
    <w:rsid w:val="00B06588"/>
    <w:rsid w:val="00B06779"/>
    <w:rsid w:val="00B06C60"/>
    <w:rsid w:val="00B06D95"/>
    <w:rsid w:val="00B06DFF"/>
    <w:rsid w:val="00B070A0"/>
    <w:rsid w:val="00B079FF"/>
    <w:rsid w:val="00B07EF2"/>
    <w:rsid w:val="00B104CA"/>
    <w:rsid w:val="00B10A70"/>
    <w:rsid w:val="00B11819"/>
    <w:rsid w:val="00B11C40"/>
    <w:rsid w:val="00B1247F"/>
    <w:rsid w:val="00B12761"/>
    <w:rsid w:val="00B12886"/>
    <w:rsid w:val="00B131CA"/>
    <w:rsid w:val="00B13464"/>
    <w:rsid w:val="00B1371A"/>
    <w:rsid w:val="00B13CD4"/>
    <w:rsid w:val="00B142B2"/>
    <w:rsid w:val="00B147F2"/>
    <w:rsid w:val="00B1491C"/>
    <w:rsid w:val="00B14E46"/>
    <w:rsid w:val="00B14E7B"/>
    <w:rsid w:val="00B14F55"/>
    <w:rsid w:val="00B1500D"/>
    <w:rsid w:val="00B151BB"/>
    <w:rsid w:val="00B15809"/>
    <w:rsid w:val="00B161F1"/>
    <w:rsid w:val="00B16DFA"/>
    <w:rsid w:val="00B172AC"/>
    <w:rsid w:val="00B17758"/>
    <w:rsid w:val="00B17AB1"/>
    <w:rsid w:val="00B17C65"/>
    <w:rsid w:val="00B205FF"/>
    <w:rsid w:val="00B2121F"/>
    <w:rsid w:val="00B21826"/>
    <w:rsid w:val="00B21C7B"/>
    <w:rsid w:val="00B22243"/>
    <w:rsid w:val="00B229E4"/>
    <w:rsid w:val="00B22BC0"/>
    <w:rsid w:val="00B22EB8"/>
    <w:rsid w:val="00B23840"/>
    <w:rsid w:val="00B23D5A"/>
    <w:rsid w:val="00B24058"/>
    <w:rsid w:val="00B241E9"/>
    <w:rsid w:val="00B246FA"/>
    <w:rsid w:val="00B25674"/>
    <w:rsid w:val="00B25C83"/>
    <w:rsid w:val="00B264BF"/>
    <w:rsid w:val="00B26B58"/>
    <w:rsid w:val="00B26C78"/>
    <w:rsid w:val="00B26D8E"/>
    <w:rsid w:val="00B27390"/>
    <w:rsid w:val="00B27728"/>
    <w:rsid w:val="00B277CC"/>
    <w:rsid w:val="00B27860"/>
    <w:rsid w:val="00B27F9B"/>
    <w:rsid w:val="00B31122"/>
    <w:rsid w:val="00B311D6"/>
    <w:rsid w:val="00B31468"/>
    <w:rsid w:val="00B31825"/>
    <w:rsid w:val="00B331E8"/>
    <w:rsid w:val="00B333B5"/>
    <w:rsid w:val="00B33902"/>
    <w:rsid w:val="00B339CF"/>
    <w:rsid w:val="00B33D14"/>
    <w:rsid w:val="00B349C3"/>
    <w:rsid w:val="00B34B10"/>
    <w:rsid w:val="00B353D8"/>
    <w:rsid w:val="00B356F3"/>
    <w:rsid w:val="00B35A73"/>
    <w:rsid w:val="00B35B29"/>
    <w:rsid w:val="00B35B37"/>
    <w:rsid w:val="00B361E7"/>
    <w:rsid w:val="00B36295"/>
    <w:rsid w:val="00B36510"/>
    <w:rsid w:val="00B36673"/>
    <w:rsid w:val="00B36B6B"/>
    <w:rsid w:val="00B36C3C"/>
    <w:rsid w:val="00B36DD2"/>
    <w:rsid w:val="00B36F3B"/>
    <w:rsid w:val="00B36FBC"/>
    <w:rsid w:val="00B37ABD"/>
    <w:rsid w:val="00B37AC1"/>
    <w:rsid w:val="00B40089"/>
    <w:rsid w:val="00B40179"/>
    <w:rsid w:val="00B401DD"/>
    <w:rsid w:val="00B407A5"/>
    <w:rsid w:val="00B40AC5"/>
    <w:rsid w:val="00B412D1"/>
    <w:rsid w:val="00B41643"/>
    <w:rsid w:val="00B418B1"/>
    <w:rsid w:val="00B4223B"/>
    <w:rsid w:val="00B43070"/>
    <w:rsid w:val="00B431E9"/>
    <w:rsid w:val="00B43442"/>
    <w:rsid w:val="00B436FF"/>
    <w:rsid w:val="00B43C2D"/>
    <w:rsid w:val="00B44261"/>
    <w:rsid w:val="00B450CA"/>
    <w:rsid w:val="00B459EB"/>
    <w:rsid w:val="00B45A4A"/>
    <w:rsid w:val="00B4625D"/>
    <w:rsid w:val="00B466CC"/>
    <w:rsid w:val="00B46DE2"/>
    <w:rsid w:val="00B46FF3"/>
    <w:rsid w:val="00B4742A"/>
    <w:rsid w:val="00B475D1"/>
    <w:rsid w:val="00B5017B"/>
    <w:rsid w:val="00B5028F"/>
    <w:rsid w:val="00B50869"/>
    <w:rsid w:val="00B50AB7"/>
    <w:rsid w:val="00B50B11"/>
    <w:rsid w:val="00B51082"/>
    <w:rsid w:val="00B512C9"/>
    <w:rsid w:val="00B51414"/>
    <w:rsid w:val="00B516E8"/>
    <w:rsid w:val="00B5175B"/>
    <w:rsid w:val="00B5188B"/>
    <w:rsid w:val="00B51DA8"/>
    <w:rsid w:val="00B525F1"/>
    <w:rsid w:val="00B52F94"/>
    <w:rsid w:val="00B5368E"/>
    <w:rsid w:val="00B539D4"/>
    <w:rsid w:val="00B53CF4"/>
    <w:rsid w:val="00B53EF1"/>
    <w:rsid w:val="00B5403A"/>
    <w:rsid w:val="00B540E6"/>
    <w:rsid w:val="00B5435C"/>
    <w:rsid w:val="00B545CF"/>
    <w:rsid w:val="00B54782"/>
    <w:rsid w:val="00B54A1E"/>
    <w:rsid w:val="00B54B84"/>
    <w:rsid w:val="00B551DE"/>
    <w:rsid w:val="00B55A3C"/>
    <w:rsid w:val="00B55E06"/>
    <w:rsid w:val="00B564CC"/>
    <w:rsid w:val="00B566D1"/>
    <w:rsid w:val="00B5680A"/>
    <w:rsid w:val="00B56FB2"/>
    <w:rsid w:val="00B571A2"/>
    <w:rsid w:val="00B574A4"/>
    <w:rsid w:val="00B57C43"/>
    <w:rsid w:val="00B57E86"/>
    <w:rsid w:val="00B60081"/>
    <w:rsid w:val="00B6037B"/>
    <w:rsid w:val="00B6041F"/>
    <w:rsid w:val="00B60640"/>
    <w:rsid w:val="00B60E00"/>
    <w:rsid w:val="00B60EF8"/>
    <w:rsid w:val="00B61535"/>
    <w:rsid w:val="00B61CF9"/>
    <w:rsid w:val="00B61FAA"/>
    <w:rsid w:val="00B62372"/>
    <w:rsid w:val="00B627CC"/>
    <w:rsid w:val="00B627EE"/>
    <w:rsid w:val="00B62D69"/>
    <w:rsid w:val="00B62E40"/>
    <w:rsid w:val="00B62F5C"/>
    <w:rsid w:val="00B63C53"/>
    <w:rsid w:val="00B6458D"/>
    <w:rsid w:val="00B645EB"/>
    <w:rsid w:val="00B64863"/>
    <w:rsid w:val="00B64A69"/>
    <w:rsid w:val="00B64AD6"/>
    <w:rsid w:val="00B64D2E"/>
    <w:rsid w:val="00B65172"/>
    <w:rsid w:val="00B6520E"/>
    <w:rsid w:val="00B655E1"/>
    <w:rsid w:val="00B6579C"/>
    <w:rsid w:val="00B65BCE"/>
    <w:rsid w:val="00B66108"/>
    <w:rsid w:val="00B66487"/>
    <w:rsid w:val="00B669DE"/>
    <w:rsid w:val="00B67F37"/>
    <w:rsid w:val="00B706C8"/>
    <w:rsid w:val="00B70B1E"/>
    <w:rsid w:val="00B710F6"/>
    <w:rsid w:val="00B7211C"/>
    <w:rsid w:val="00B721B9"/>
    <w:rsid w:val="00B72313"/>
    <w:rsid w:val="00B724FA"/>
    <w:rsid w:val="00B726DB"/>
    <w:rsid w:val="00B728E3"/>
    <w:rsid w:val="00B72CF9"/>
    <w:rsid w:val="00B730B2"/>
    <w:rsid w:val="00B73774"/>
    <w:rsid w:val="00B73965"/>
    <w:rsid w:val="00B7429A"/>
    <w:rsid w:val="00B744BA"/>
    <w:rsid w:val="00B74597"/>
    <w:rsid w:val="00B74598"/>
    <w:rsid w:val="00B746DE"/>
    <w:rsid w:val="00B74C0B"/>
    <w:rsid w:val="00B74D71"/>
    <w:rsid w:val="00B75061"/>
    <w:rsid w:val="00B75375"/>
    <w:rsid w:val="00B75640"/>
    <w:rsid w:val="00B75950"/>
    <w:rsid w:val="00B75B15"/>
    <w:rsid w:val="00B75B3C"/>
    <w:rsid w:val="00B75C85"/>
    <w:rsid w:val="00B75E0C"/>
    <w:rsid w:val="00B76268"/>
    <w:rsid w:val="00B7726B"/>
    <w:rsid w:val="00B775BD"/>
    <w:rsid w:val="00B77D39"/>
    <w:rsid w:val="00B8050A"/>
    <w:rsid w:val="00B80E16"/>
    <w:rsid w:val="00B81152"/>
    <w:rsid w:val="00B81262"/>
    <w:rsid w:val="00B81D65"/>
    <w:rsid w:val="00B81DE9"/>
    <w:rsid w:val="00B81EE1"/>
    <w:rsid w:val="00B8213B"/>
    <w:rsid w:val="00B82F31"/>
    <w:rsid w:val="00B831A5"/>
    <w:rsid w:val="00B832AA"/>
    <w:rsid w:val="00B8385C"/>
    <w:rsid w:val="00B83874"/>
    <w:rsid w:val="00B84066"/>
    <w:rsid w:val="00B844A9"/>
    <w:rsid w:val="00B84532"/>
    <w:rsid w:val="00B84646"/>
    <w:rsid w:val="00B85460"/>
    <w:rsid w:val="00B85758"/>
    <w:rsid w:val="00B857C1"/>
    <w:rsid w:val="00B85CB0"/>
    <w:rsid w:val="00B85F10"/>
    <w:rsid w:val="00B86053"/>
    <w:rsid w:val="00B86DA0"/>
    <w:rsid w:val="00B87026"/>
    <w:rsid w:val="00B876B5"/>
    <w:rsid w:val="00B87986"/>
    <w:rsid w:val="00B87AB5"/>
    <w:rsid w:val="00B87CDF"/>
    <w:rsid w:val="00B87E53"/>
    <w:rsid w:val="00B90028"/>
    <w:rsid w:val="00B90625"/>
    <w:rsid w:val="00B909D3"/>
    <w:rsid w:val="00B91F35"/>
    <w:rsid w:val="00B920FC"/>
    <w:rsid w:val="00B93186"/>
    <w:rsid w:val="00B9368A"/>
    <w:rsid w:val="00B93CF2"/>
    <w:rsid w:val="00B940DD"/>
    <w:rsid w:val="00B94CAA"/>
    <w:rsid w:val="00B94CFB"/>
    <w:rsid w:val="00B94D23"/>
    <w:rsid w:val="00B952E8"/>
    <w:rsid w:val="00B95A49"/>
    <w:rsid w:val="00B962A0"/>
    <w:rsid w:val="00B96F5F"/>
    <w:rsid w:val="00B97796"/>
    <w:rsid w:val="00B97F11"/>
    <w:rsid w:val="00BA0413"/>
    <w:rsid w:val="00BA09B9"/>
    <w:rsid w:val="00BA09CB"/>
    <w:rsid w:val="00BA1C54"/>
    <w:rsid w:val="00BA1CB0"/>
    <w:rsid w:val="00BA1CD7"/>
    <w:rsid w:val="00BA253C"/>
    <w:rsid w:val="00BA25D4"/>
    <w:rsid w:val="00BA31FB"/>
    <w:rsid w:val="00BA3D66"/>
    <w:rsid w:val="00BA3FEB"/>
    <w:rsid w:val="00BA41BC"/>
    <w:rsid w:val="00BA4A85"/>
    <w:rsid w:val="00BA4F62"/>
    <w:rsid w:val="00BA4F94"/>
    <w:rsid w:val="00BA56B1"/>
    <w:rsid w:val="00BA58F2"/>
    <w:rsid w:val="00BA5BCB"/>
    <w:rsid w:val="00BA617F"/>
    <w:rsid w:val="00BA6545"/>
    <w:rsid w:val="00BA6BD5"/>
    <w:rsid w:val="00BA6EB6"/>
    <w:rsid w:val="00BA6F08"/>
    <w:rsid w:val="00BA6FA0"/>
    <w:rsid w:val="00BA7749"/>
    <w:rsid w:val="00BA7ADD"/>
    <w:rsid w:val="00BA7B41"/>
    <w:rsid w:val="00BA7E9F"/>
    <w:rsid w:val="00BB0076"/>
    <w:rsid w:val="00BB0603"/>
    <w:rsid w:val="00BB0C28"/>
    <w:rsid w:val="00BB10A5"/>
    <w:rsid w:val="00BB15FB"/>
    <w:rsid w:val="00BB1842"/>
    <w:rsid w:val="00BB18BE"/>
    <w:rsid w:val="00BB18F8"/>
    <w:rsid w:val="00BB207E"/>
    <w:rsid w:val="00BB22F6"/>
    <w:rsid w:val="00BB24A9"/>
    <w:rsid w:val="00BB298C"/>
    <w:rsid w:val="00BB30C5"/>
    <w:rsid w:val="00BB3267"/>
    <w:rsid w:val="00BB382B"/>
    <w:rsid w:val="00BB3A45"/>
    <w:rsid w:val="00BB43B8"/>
    <w:rsid w:val="00BB4E6F"/>
    <w:rsid w:val="00BB50A0"/>
    <w:rsid w:val="00BB58E3"/>
    <w:rsid w:val="00BB5966"/>
    <w:rsid w:val="00BB6FC8"/>
    <w:rsid w:val="00BB78BB"/>
    <w:rsid w:val="00BB7FAE"/>
    <w:rsid w:val="00BB7FB8"/>
    <w:rsid w:val="00BC071B"/>
    <w:rsid w:val="00BC0811"/>
    <w:rsid w:val="00BC0958"/>
    <w:rsid w:val="00BC0FA6"/>
    <w:rsid w:val="00BC15FC"/>
    <w:rsid w:val="00BC171D"/>
    <w:rsid w:val="00BC1812"/>
    <w:rsid w:val="00BC1B18"/>
    <w:rsid w:val="00BC28FA"/>
    <w:rsid w:val="00BC3AE0"/>
    <w:rsid w:val="00BC3C25"/>
    <w:rsid w:val="00BC3C79"/>
    <w:rsid w:val="00BC3D2C"/>
    <w:rsid w:val="00BC4BDA"/>
    <w:rsid w:val="00BC4D69"/>
    <w:rsid w:val="00BC4EA0"/>
    <w:rsid w:val="00BC54C8"/>
    <w:rsid w:val="00BC5518"/>
    <w:rsid w:val="00BC57F4"/>
    <w:rsid w:val="00BC59AB"/>
    <w:rsid w:val="00BC6069"/>
    <w:rsid w:val="00BC60B7"/>
    <w:rsid w:val="00BC61D5"/>
    <w:rsid w:val="00BC6296"/>
    <w:rsid w:val="00BC69B7"/>
    <w:rsid w:val="00BC6A6E"/>
    <w:rsid w:val="00BC7124"/>
    <w:rsid w:val="00BC721C"/>
    <w:rsid w:val="00BC7300"/>
    <w:rsid w:val="00BD0C04"/>
    <w:rsid w:val="00BD0F35"/>
    <w:rsid w:val="00BD165F"/>
    <w:rsid w:val="00BD1665"/>
    <w:rsid w:val="00BD1A34"/>
    <w:rsid w:val="00BD1D89"/>
    <w:rsid w:val="00BD1E39"/>
    <w:rsid w:val="00BD2A29"/>
    <w:rsid w:val="00BD2F0B"/>
    <w:rsid w:val="00BD2FAC"/>
    <w:rsid w:val="00BD325F"/>
    <w:rsid w:val="00BD3CD3"/>
    <w:rsid w:val="00BD3E2F"/>
    <w:rsid w:val="00BD4288"/>
    <w:rsid w:val="00BD4548"/>
    <w:rsid w:val="00BD469D"/>
    <w:rsid w:val="00BD4D5C"/>
    <w:rsid w:val="00BD4E3C"/>
    <w:rsid w:val="00BD4F32"/>
    <w:rsid w:val="00BD5315"/>
    <w:rsid w:val="00BD58AC"/>
    <w:rsid w:val="00BD5961"/>
    <w:rsid w:val="00BD5A2A"/>
    <w:rsid w:val="00BD76DF"/>
    <w:rsid w:val="00BD77AF"/>
    <w:rsid w:val="00BD785C"/>
    <w:rsid w:val="00BD7B70"/>
    <w:rsid w:val="00BD7C7F"/>
    <w:rsid w:val="00BE13BD"/>
    <w:rsid w:val="00BE167E"/>
    <w:rsid w:val="00BE17E2"/>
    <w:rsid w:val="00BE19E9"/>
    <w:rsid w:val="00BE20E8"/>
    <w:rsid w:val="00BE2169"/>
    <w:rsid w:val="00BE22AA"/>
    <w:rsid w:val="00BE23E6"/>
    <w:rsid w:val="00BE2770"/>
    <w:rsid w:val="00BE28A2"/>
    <w:rsid w:val="00BE30EF"/>
    <w:rsid w:val="00BE36A1"/>
    <w:rsid w:val="00BE3817"/>
    <w:rsid w:val="00BE38A7"/>
    <w:rsid w:val="00BE3A64"/>
    <w:rsid w:val="00BE3EB3"/>
    <w:rsid w:val="00BE4109"/>
    <w:rsid w:val="00BE4A16"/>
    <w:rsid w:val="00BE4BB5"/>
    <w:rsid w:val="00BE4D68"/>
    <w:rsid w:val="00BE4ED1"/>
    <w:rsid w:val="00BE5094"/>
    <w:rsid w:val="00BE57C4"/>
    <w:rsid w:val="00BE5950"/>
    <w:rsid w:val="00BE5987"/>
    <w:rsid w:val="00BE5ED5"/>
    <w:rsid w:val="00BE6180"/>
    <w:rsid w:val="00BE639B"/>
    <w:rsid w:val="00BE657D"/>
    <w:rsid w:val="00BE6D10"/>
    <w:rsid w:val="00BE6DB9"/>
    <w:rsid w:val="00BE6EBD"/>
    <w:rsid w:val="00BE6FBA"/>
    <w:rsid w:val="00BE73EA"/>
    <w:rsid w:val="00BE76F9"/>
    <w:rsid w:val="00BE7B16"/>
    <w:rsid w:val="00BE7BC6"/>
    <w:rsid w:val="00BF0050"/>
    <w:rsid w:val="00BF03D4"/>
    <w:rsid w:val="00BF08F8"/>
    <w:rsid w:val="00BF0B0E"/>
    <w:rsid w:val="00BF1851"/>
    <w:rsid w:val="00BF1E86"/>
    <w:rsid w:val="00BF2678"/>
    <w:rsid w:val="00BF28EE"/>
    <w:rsid w:val="00BF2BA5"/>
    <w:rsid w:val="00BF2BEA"/>
    <w:rsid w:val="00BF2E1E"/>
    <w:rsid w:val="00BF31C1"/>
    <w:rsid w:val="00BF3212"/>
    <w:rsid w:val="00BF36B1"/>
    <w:rsid w:val="00BF377E"/>
    <w:rsid w:val="00BF3E3F"/>
    <w:rsid w:val="00BF41F7"/>
    <w:rsid w:val="00BF48B1"/>
    <w:rsid w:val="00BF4BD3"/>
    <w:rsid w:val="00BF4C37"/>
    <w:rsid w:val="00BF51ED"/>
    <w:rsid w:val="00BF553B"/>
    <w:rsid w:val="00BF558F"/>
    <w:rsid w:val="00BF5702"/>
    <w:rsid w:val="00BF587B"/>
    <w:rsid w:val="00BF6C9C"/>
    <w:rsid w:val="00BF6CEA"/>
    <w:rsid w:val="00BF6E0D"/>
    <w:rsid w:val="00BF714C"/>
    <w:rsid w:val="00BF72CB"/>
    <w:rsid w:val="00BF777F"/>
    <w:rsid w:val="00BF7AAB"/>
    <w:rsid w:val="00C001EC"/>
    <w:rsid w:val="00C00205"/>
    <w:rsid w:val="00C00505"/>
    <w:rsid w:val="00C00551"/>
    <w:rsid w:val="00C018DC"/>
    <w:rsid w:val="00C01D4B"/>
    <w:rsid w:val="00C028FC"/>
    <w:rsid w:val="00C03726"/>
    <w:rsid w:val="00C03C67"/>
    <w:rsid w:val="00C03FDE"/>
    <w:rsid w:val="00C043B5"/>
    <w:rsid w:val="00C049B4"/>
    <w:rsid w:val="00C04BC8"/>
    <w:rsid w:val="00C04CCA"/>
    <w:rsid w:val="00C04FDD"/>
    <w:rsid w:val="00C06D2A"/>
    <w:rsid w:val="00C070CA"/>
    <w:rsid w:val="00C07244"/>
    <w:rsid w:val="00C075EB"/>
    <w:rsid w:val="00C07979"/>
    <w:rsid w:val="00C07D49"/>
    <w:rsid w:val="00C07D53"/>
    <w:rsid w:val="00C10334"/>
    <w:rsid w:val="00C106BA"/>
    <w:rsid w:val="00C10716"/>
    <w:rsid w:val="00C1099B"/>
    <w:rsid w:val="00C109B4"/>
    <w:rsid w:val="00C10DA3"/>
    <w:rsid w:val="00C111CB"/>
    <w:rsid w:val="00C11301"/>
    <w:rsid w:val="00C11343"/>
    <w:rsid w:val="00C11577"/>
    <w:rsid w:val="00C11704"/>
    <w:rsid w:val="00C11CEB"/>
    <w:rsid w:val="00C11F11"/>
    <w:rsid w:val="00C127A9"/>
    <w:rsid w:val="00C127EE"/>
    <w:rsid w:val="00C12A38"/>
    <w:rsid w:val="00C12C77"/>
    <w:rsid w:val="00C12EEB"/>
    <w:rsid w:val="00C1342E"/>
    <w:rsid w:val="00C1377D"/>
    <w:rsid w:val="00C137DC"/>
    <w:rsid w:val="00C14067"/>
    <w:rsid w:val="00C14152"/>
    <w:rsid w:val="00C14DA4"/>
    <w:rsid w:val="00C156F4"/>
    <w:rsid w:val="00C1590F"/>
    <w:rsid w:val="00C15D49"/>
    <w:rsid w:val="00C15E6D"/>
    <w:rsid w:val="00C1667C"/>
    <w:rsid w:val="00C166A5"/>
    <w:rsid w:val="00C172D4"/>
    <w:rsid w:val="00C17472"/>
    <w:rsid w:val="00C17BAD"/>
    <w:rsid w:val="00C17CAD"/>
    <w:rsid w:val="00C17FA2"/>
    <w:rsid w:val="00C202F7"/>
    <w:rsid w:val="00C20780"/>
    <w:rsid w:val="00C20940"/>
    <w:rsid w:val="00C20AFE"/>
    <w:rsid w:val="00C20C30"/>
    <w:rsid w:val="00C20E8F"/>
    <w:rsid w:val="00C21119"/>
    <w:rsid w:val="00C217E9"/>
    <w:rsid w:val="00C2187F"/>
    <w:rsid w:val="00C21B24"/>
    <w:rsid w:val="00C21C9D"/>
    <w:rsid w:val="00C2208C"/>
    <w:rsid w:val="00C220A3"/>
    <w:rsid w:val="00C22D7B"/>
    <w:rsid w:val="00C22DE3"/>
    <w:rsid w:val="00C22E86"/>
    <w:rsid w:val="00C23601"/>
    <w:rsid w:val="00C23FD6"/>
    <w:rsid w:val="00C2403C"/>
    <w:rsid w:val="00C241E1"/>
    <w:rsid w:val="00C242C0"/>
    <w:rsid w:val="00C2445D"/>
    <w:rsid w:val="00C2445E"/>
    <w:rsid w:val="00C25134"/>
    <w:rsid w:val="00C25725"/>
    <w:rsid w:val="00C2574F"/>
    <w:rsid w:val="00C25900"/>
    <w:rsid w:val="00C25987"/>
    <w:rsid w:val="00C25C59"/>
    <w:rsid w:val="00C26187"/>
    <w:rsid w:val="00C26F6B"/>
    <w:rsid w:val="00C2743A"/>
    <w:rsid w:val="00C27751"/>
    <w:rsid w:val="00C277EF"/>
    <w:rsid w:val="00C27C94"/>
    <w:rsid w:val="00C30021"/>
    <w:rsid w:val="00C307F7"/>
    <w:rsid w:val="00C30C6E"/>
    <w:rsid w:val="00C30D1C"/>
    <w:rsid w:val="00C30DBD"/>
    <w:rsid w:val="00C30DF9"/>
    <w:rsid w:val="00C31024"/>
    <w:rsid w:val="00C310C3"/>
    <w:rsid w:val="00C313F2"/>
    <w:rsid w:val="00C3151F"/>
    <w:rsid w:val="00C31747"/>
    <w:rsid w:val="00C318BF"/>
    <w:rsid w:val="00C31F9A"/>
    <w:rsid w:val="00C32D6A"/>
    <w:rsid w:val="00C33325"/>
    <w:rsid w:val="00C334E8"/>
    <w:rsid w:val="00C34336"/>
    <w:rsid w:val="00C34990"/>
    <w:rsid w:val="00C34F8A"/>
    <w:rsid w:val="00C35371"/>
    <w:rsid w:val="00C3613C"/>
    <w:rsid w:val="00C36BCC"/>
    <w:rsid w:val="00C36EEE"/>
    <w:rsid w:val="00C37206"/>
    <w:rsid w:val="00C3741E"/>
    <w:rsid w:val="00C37A6C"/>
    <w:rsid w:val="00C37DEE"/>
    <w:rsid w:val="00C40117"/>
    <w:rsid w:val="00C402D4"/>
    <w:rsid w:val="00C40361"/>
    <w:rsid w:val="00C40867"/>
    <w:rsid w:val="00C408F8"/>
    <w:rsid w:val="00C40B3F"/>
    <w:rsid w:val="00C40CE6"/>
    <w:rsid w:val="00C40EFD"/>
    <w:rsid w:val="00C41A89"/>
    <w:rsid w:val="00C41C0D"/>
    <w:rsid w:val="00C41EAB"/>
    <w:rsid w:val="00C42A3F"/>
    <w:rsid w:val="00C43351"/>
    <w:rsid w:val="00C43879"/>
    <w:rsid w:val="00C43C23"/>
    <w:rsid w:val="00C43C7F"/>
    <w:rsid w:val="00C43E06"/>
    <w:rsid w:val="00C43E7E"/>
    <w:rsid w:val="00C43FBE"/>
    <w:rsid w:val="00C44182"/>
    <w:rsid w:val="00C44CA7"/>
    <w:rsid w:val="00C45285"/>
    <w:rsid w:val="00C45E5B"/>
    <w:rsid w:val="00C45EEA"/>
    <w:rsid w:val="00C45FED"/>
    <w:rsid w:val="00C4623C"/>
    <w:rsid w:val="00C4667B"/>
    <w:rsid w:val="00C466BA"/>
    <w:rsid w:val="00C46B7D"/>
    <w:rsid w:val="00C46FF6"/>
    <w:rsid w:val="00C470D2"/>
    <w:rsid w:val="00C474D6"/>
    <w:rsid w:val="00C477A4"/>
    <w:rsid w:val="00C50A50"/>
    <w:rsid w:val="00C50BC4"/>
    <w:rsid w:val="00C5103D"/>
    <w:rsid w:val="00C5141E"/>
    <w:rsid w:val="00C5150F"/>
    <w:rsid w:val="00C515FC"/>
    <w:rsid w:val="00C51BAE"/>
    <w:rsid w:val="00C51C29"/>
    <w:rsid w:val="00C51DDC"/>
    <w:rsid w:val="00C51F8D"/>
    <w:rsid w:val="00C52545"/>
    <w:rsid w:val="00C52B1A"/>
    <w:rsid w:val="00C5335A"/>
    <w:rsid w:val="00C533F3"/>
    <w:rsid w:val="00C535B4"/>
    <w:rsid w:val="00C535C2"/>
    <w:rsid w:val="00C53BBA"/>
    <w:rsid w:val="00C53D1E"/>
    <w:rsid w:val="00C540D2"/>
    <w:rsid w:val="00C54943"/>
    <w:rsid w:val="00C54960"/>
    <w:rsid w:val="00C54AD0"/>
    <w:rsid w:val="00C54B10"/>
    <w:rsid w:val="00C54B61"/>
    <w:rsid w:val="00C54C60"/>
    <w:rsid w:val="00C54D91"/>
    <w:rsid w:val="00C554A4"/>
    <w:rsid w:val="00C554F4"/>
    <w:rsid w:val="00C555E4"/>
    <w:rsid w:val="00C557DB"/>
    <w:rsid w:val="00C55AB4"/>
    <w:rsid w:val="00C55DDD"/>
    <w:rsid w:val="00C56317"/>
    <w:rsid w:val="00C56B72"/>
    <w:rsid w:val="00C56BC5"/>
    <w:rsid w:val="00C56D23"/>
    <w:rsid w:val="00C5700D"/>
    <w:rsid w:val="00C576C5"/>
    <w:rsid w:val="00C57A5F"/>
    <w:rsid w:val="00C57FA6"/>
    <w:rsid w:val="00C60BC1"/>
    <w:rsid w:val="00C611D8"/>
    <w:rsid w:val="00C61354"/>
    <w:rsid w:val="00C6182D"/>
    <w:rsid w:val="00C622A7"/>
    <w:rsid w:val="00C625A5"/>
    <w:rsid w:val="00C62957"/>
    <w:rsid w:val="00C62982"/>
    <w:rsid w:val="00C633D9"/>
    <w:rsid w:val="00C635F6"/>
    <w:rsid w:val="00C65557"/>
    <w:rsid w:val="00C65A22"/>
    <w:rsid w:val="00C66116"/>
    <w:rsid w:val="00C66417"/>
    <w:rsid w:val="00C70341"/>
    <w:rsid w:val="00C7057E"/>
    <w:rsid w:val="00C70CFD"/>
    <w:rsid w:val="00C70D61"/>
    <w:rsid w:val="00C71159"/>
    <w:rsid w:val="00C71403"/>
    <w:rsid w:val="00C71587"/>
    <w:rsid w:val="00C71AD9"/>
    <w:rsid w:val="00C71CE9"/>
    <w:rsid w:val="00C71D71"/>
    <w:rsid w:val="00C7209F"/>
    <w:rsid w:val="00C7321A"/>
    <w:rsid w:val="00C73222"/>
    <w:rsid w:val="00C739F7"/>
    <w:rsid w:val="00C7411B"/>
    <w:rsid w:val="00C74158"/>
    <w:rsid w:val="00C741F9"/>
    <w:rsid w:val="00C7494B"/>
    <w:rsid w:val="00C74AAE"/>
    <w:rsid w:val="00C74CB3"/>
    <w:rsid w:val="00C74F76"/>
    <w:rsid w:val="00C76166"/>
    <w:rsid w:val="00C76C16"/>
    <w:rsid w:val="00C77584"/>
    <w:rsid w:val="00C77E94"/>
    <w:rsid w:val="00C804F1"/>
    <w:rsid w:val="00C808C7"/>
    <w:rsid w:val="00C80982"/>
    <w:rsid w:val="00C80B51"/>
    <w:rsid w:val="00C80D24"/>
    <w:rsid w:val="00C81E5A"/>
    <w:rsid w:val="00C82290"/>
    <w:rsid w:val="00C823B9"/>
    <w:rsid w:val="00C82401"/>
    <w:rsid w:val="00C82540"/>
    <w:rsid w:val="00C82829"/>
    <w:rsid w:val="00C8282F"/>
    <w:rsid w:val="00C82BA0"/>
    <w:rsid w:val="00C82F23"/>
    <w:rsid w:val="00C8333F"/>
    <w:rsid w:val="00C8380C"/>
    <w:rsid w:val="00C83870"/>
    <w:rsid w:val="00C8396A"/>
    <w:rsid w:val="00C83C92"/>
    <w:rsid w:val="00C83D32"/>
    <w:rsid w:val="00C84103"/>
    <w:rsid w:val="00C846D2"/>
    <w:rsid w:val="00C84DC3"/>
    <w:rsid w:val="00C8501A"/>
    <w:rsid w:val="00C852A5"/>
    <w:rsid w:val="00C855DC"/>
    <w:rsid w:val="00C85DC5"/>
    <w:rsid w:val="00C8600A"/>
    <w:rsid w:val="00C860AB"/>
    <w:rsid w:val="00C86277"/>
    <w:rsid w:val="00C86789"/>
    <w:rsid w:val="00C86F46"/>
    <w:rsid w:val="00C86FCE"/>
    <w:rsid w:val="00C8760E"/>
    <w:rsid w:val="00C878AD"/>
    <w:rsid w:val="00C87E46"/>
    <w:rsid w:val="00C90375"/>
    <w:rsid w:val="00C90CCB"/>
    <w:rsid w:val="00C90D5F"/>
    <w:rsid w:val="00C90DFE"/>
    <w:rsid w:val="00C90F60"/>
    <w:rsid w:val="00C91B49"/>
    <w:rsid w:val="00C91DF2"/>
    <w:rsid w:val="00C93196"/>
    <w:rsid w:val="00C931E1"/>
    <w:rsid w:val="00C934CA"/>
    <w:rsid w:val="00C93ABF"/>
    <w:rsid w:val="00C93E94"/>
    <w:rsid w:val="00C94B86"/>
    <w:rsid w:val="00C952EB"/>
    <w:rsid w:val="00C9579B"/>
    <w:rsid w:val="00C95DE2"/>
    <w:rsid w:val="00C9653F"/>
    <w:rsid w:val="00C96960"/>
    <w:rsid w:val="00C96ACF"/>
    <w:rsid w:val="00C97080"/>
    <w:rsid w:val="00C97720"/>
    <w:rsid w:val="00C97796"/>
    <w:rsid w:val="00C977EB"/>
    <w:rsid w:val="00C97EB0"/>
    <w:rsid w:val="00CA0964"/>
    <w:rsid w:val="00CA0D23"/>
    <w:rsid w:val="00CA11C9"/>
    <w:rsid w:val="00CA11EA"/>
    <w:rsid w:val="00CA1476"/>
    <w:rsid w:val="00CA1883"/>
    <w:rsid w:val="00CA2049"/>
    <w:rsid w:val="00CA330D"/>
    <w:rsid w:val="00CA3BE9"/>
    <w:rsid w:val="00CA3CC6"/>
    <w:rsid w:val="00CA3CF4"/>
    <w:rsid w:val="00CA3F79"/>
    <w:rsid w:val="00CA479F"/>
    <w:rsid w:val="00CA49A5"/>
    <w:rsid w:val="00CA4DD4"/>
    <w:rsid w:val="00CA5043"/>
    <w:rsid w:val="00CA54CF"/>
    <w:rsid w:val="00CA5A59"/>
    <w:rsid w:val="00CA5ABB"/>
    <w:rsid w:val="00CA5B85"/>
    <w:rsid w:val="00CA604D"/>
    <w:rsid w:val="00CA6E3A"/>
    <w:rsid w:val="00CA6E8B"/>
    <w:rsid w:val="00CA6F75"/>
    <w:rsid w:val="00CA723A"/>
    <w:rsid w:val="00CA75DD"/>
    <w:rsid w:val="00CA7706"/>
    <w:rsid w:val="00CA7AB8"/>
    <w:rsid w:val="00CB0040"/>
    <w:rsid w:val="00CB0837"/>
    <w:rsid w:val="00CB087A"/>
    <w:rsid w:val="00CB117D"/>
    <w:rsid w:val="00CB17B3"/>
    <w:rsid w:val="00CB197B"/>
    <w:rsid w:val="00CB1AD5"/>
    <w:rsid w:val="00CB2369"/>
    <w:rsid w:val="00CB28BE"/>
    <w:rsid w:val="00CB2AD3"/>
    <w:rsid w:val="00CB3CBF"/>
    <w:rsid w:val="00CB408D"/>
    <w:rsid w:val="00CB4F73"/>
    <w:rsid w:val="00CB5091"/>
    <w:rsid w:val="00CB5CCC"/>
    <w:rsid w:val="00CB600F"/>
    <w:rsid w:val="00CB63D2"/>
    <w:rsid w:val="00CB6409"/>
    <w:rsid w:val="00CB64F1"/>
    <w:rsid w:val="00CB67BB"/>
    <w:rsid w:val="00CB7234"/>
    <w:rsid w:val="00CB7770"/>
    <w:rsid w:val="00CB7873"/>
    <w:rsid w:val="00CB7933"/>
    <w:rsid w:val="00CB7A5D"/>
    <w:rsid w:val="00CB7D4B"/>
    <w:rsid w:val="00CB7EAA"/>
    <w:rsid w:val="00CC0756"/>
    <w:rsid w:val="00CC1762"/>
    <w:rsid w:val="00CC1C2E"/>
    <w:rsid w:val="00CC1C49"/>
    <w:rsid w:val="00CC223A"/>
    <w:rsid w:val="00CC2384"/>
    <w:rsid w:val="00CC2BFE"/>
    <w:rsid w:val="00CC2CB8"/>
    <w:rsid w:val="00CC3008"/>
    <w:rsid w:val="00CC3640"/>
    <w:rsid w:val="00CC38F4"/>
    <w:rsid w:val="00CC39EB"/>
    <w:rsid w:val="00CC3DAD"/>
    <w:rsid w:val="00CC43B2"/>
    <w:rsid w:val="00CC4442"/>
    <w:rsid w:val="00CC44EC"/>
    <w:rsid w:val="00CC5481"/>
    <w:rsid w:val="00CC560E"/>
    <w:rsid w:val="00CC5762"/>
    <w:rsid w:val="00CC5919"/>
    <w:rsid w:val="00CC5B0E"/>
    <w:rsid w:val="00CC5E35"/>
    <w:rsid w:val="00CC6184"/>
    <w:rsid w:val="00CC648E"/>
    <w:rsid w:val="00CC652F"/>
    <w:rsid w:val="00CC6787"/>
    <w:rsid w:val="00CC6C83"/>
    <w:rsid w:val="00CC7029"/>
    <w:rsid w:val="00CC75B7"/>
    <w:rsid w:val="00CC7624"/>
    <w:rsid w:val="00CC782D"/>
    <w:rsid w:val="00CC799F"/>
    <w:rsid w:val="00CC7ACA"/>
    <w:rsid w:val="00CD009D"/>
    <w:rsid w:val="00CD0557"/>
    <w:rsid w:val="00CD0C92"/>
    <w:rsid w:val="00CD1971"/>
    <w:rsid w:val="00CD20F4"/>
    <w:rsid w:val="00CD23F6"/>
    <w:rsid w:val="00CD260D"/>
    <w:rsid w:val="00CD278F"/>
    <w:rsid w:val="00CD2A4C"/>
    <w:rsid w:val="00CD2C1C"/>
    <w:rsid w:val="00CD2CD6"/>
    <w:rsid w:val="00CD3205"/>
    <w:rsid w:val="00CD3498"/>
    <w:rsid w:val="00CD36FA"/>
    <w:rsid w:val="00CD3947"/>
    <w:rsid w:val="00CD3B74"/>
    <w:rsid w:val="00CD3EA5"/>
    <w:rsid w:val="00CD3FEF"/>
    <w:rsid w:val="00CD452E"/>
    <w:rsid w:val="00CD454E"/>
    <w:rsid w:val="00CD47B3"/>
    <w:rsid w:val="00CD52E0"/>
    <w:rsid w:val="00CD53E2"/>
    <w:rsid w:val="00CD596A"/>
    <w:rsid w:val="00CD5D23"/>
    <w:rsid w:val="00CD620C"/>
    <w:rsid w:val="00CD6928"/>
    <w:rsid w:val="00CD70F5"/>
    <w:rsid w:val="00CD72D8"/>
    <w:rsid w:val="00CD7DC1"/>
    <w:rsid w:val="00CE0004"/>
    <w:rsid w:val="00CE05D1"/>
    <w:rsid w:val="00CE06B8"/>
    <w:rsid w:val="00CE0B46"/>
    <w:rsid w:val="00CE0B96"/>
    <w:rsid w:val="00CE14A1"/>
    <w:rsid w:val="00CE14C4"/>
    <w:rsid w:val="00CE16B0"/>
    <w:rsid w:val="00CE1C34"/>
    <w:rsid w:val="00CE1ED6"/>
    <w:rsid w:val="00CE1F9B"/>
    <w:rsid w:val="00CE1FA2"/>
    <w:rsid w:val="00CE1FF8"/>
    <w:rsid w:val="00CE2004"/>
    <w:rsid w:val="00CE3261"/>
    <w:rsid w:val="00CE34BF"/>
    <w:rsid w:val="00CE356B"/>
    <w:rsid w:val="00CE3EAD"/>
    <w:rsid w:val="00CE41D5"/>
    <w:rsid w:val="00CE42F9"/>
    <w:rsid w:val="00CE4320"/>
    <w:rsid w:val="00CE46FA"/>
    <w:rsid w:val="00CE4DEF"/>
    <w:rsid w:val="00CE5C81"/>
    <w:rsid w:val="00CE620A"/>
    <w:rsid w:val="00CE62A8"/>
    <w:rsid w:val="00CE7A33"/>
    <w:rsid w:val="00CE7B6D"/>
    <w:rsid w:val="00CF0081"/>
    <w:rsid w:val="00CF05A8"/>
    <w:rsid w:val="00CF0CA5"/>
    <w:rsid w:val="00CF1106"/>
    <w:rsid w:val="00CF11B0"/>
    <w:rsid w:val="00CF1801"/>
    <w:rsid w:val="00CF1865"/>
    <w:rsid w:val="00CF22D0"/>
    <w:rsid w:val="00CF25B1"/>
    <w:rsid w:val="00CF289E"/>
    <w:rsid w:val="00CF28DC"/>
    <w:rsid w:val="00CF3109"/>
    <w:rsid w:val="00CF32DC"/>
    <w:rsid w:val="00CF32F2"/>
    <w:rsid w:val="00CF32F8"/>
    <w:rsid w:val="00CF38D8"/>
    <w:rsid w:val="00CF3AAD"/>
    <w:rsid w:val="00CF3E31"/>
    <w:rsid w:val="00CF4483"/>
    <w:rsid w:val="00CF44A9"/>
    <w:rsid w:val="00CF560A"/>
    <w:rsid w:val="00CF59B2"/>
    <w:rsid w:val="00CF5EF9"/>
    <w:rsid w:val="00CF6499"/>
    <w:rsid w:val="00CF6747"/>
    <w:rsid w:val="00CF68A0"/>
    <w:rsid w:val="00CF6F24"/>
    <w:rsid w:val="00CF758F"/>
    <w:rsid w:val="00CF7A1B"/>
    <w:rsid w:val="00CF7F29"/>
    <w:rsid w:val="00D000C3"/>
    <w:rsid w:val="00D00354"/>
    <w:rsid w:val="00D007AF"/>
    <w:rsid w:val="00D00A07"/>
    <w:rsid w:val="00D00DB2"/>
    <w:rsid w:val="00D00F43"/>
    <w:rsid w:val="00D01128"/>
    <w:rsid w:val="00D015DB"/>
    <w:rsid w:val="00D0176A"/>
    <w:rsid w:val="00D01DD8"/>
    <w:rsid w:val="00D021C6"/>
    <w:rsid w:val="00D025EF"/>
    <w:rsid w:val="00D02920"/>
    <w:rsid w:val="00D02C3B"/>
    <w:rsid w:val="00D03484"/>
    <w:rsid w:val="00D03666"/>
    <w:rsid w:val="00D03B19"/>
    <w:rsid w:val="00D03B87"/>
    <w:rsid w:val="00D03C9B"/>
    <w:rsid w:val="00D03CB0"/>
    <w:rsid w:val="00D03F4C"/>
    <w:rsid w:val="00D041B5"/>
    <w:rsid w:val="00D04B42"/>
    <w:rsid w:val="00D04D50"/>
    <w:rsid w:val="00D04E7A"/>
    <w:rsid w:val="00D05B78"/>
    <w:rsid w:val="00D06A5E"/>
    <w:rsid w:val="00D06B51"/>
    <w:rsid w:val="00D06C4C"/>
    <w:rsid w:val="00D06ED0"/>
    <w:rsid w:val="00D0717B"/>
    <w:rsid w:val="00D0751F"/>
    <w:rsid w:val="00D07574"/>
    <w:rsid w:val="00D103B5"/>
    <w:rsid w:val="00D11205"/>
    <w:rsid w:val="00D118B0"/>
    <w:rsid w:val="00D12465"/>
    <w:rsid w:val="00D124C6"/>
    <w:rsid w:val="00D12728"/>
    <w:rsid w:val="00D12A3C"/>
    <w:rsid w:val="00D12C2B"/>
    <w:rsid w:val="00D13361"/>
    <w:rsid w:val="00D1337C"/>
    <w:rsid w:val="00D13725"/>
    <w:rsid w:val="00D13A76"/>
    <w:rsid w:val="00D14024"/>
    <w:rsid w:val="00D14B88"/>
    <w:rsid w:val="00D14BF2"/>
    <w:rsid w:val="00D14EF7"/>
    <w:rsid w:val="00D14F13"/>
    <w:rsid w:val="00D1506A"/>
    <w:rsid w:val="00D151C7"/>
    <w:rsid w:val="00D157C7"/>
    <w:rsid w:val="00D159E4"/>
    <w:rsid w:val="00D15A0E"/>
    <w:rsid w:val="00D15E10"/>
    <w:rsid w:val="00D15E50"/>
    <w:rsid w:val="00D16CA0"/>
    <w:rsid w:val="00D16D2A"/>
    <w:rsid w:val="00D171A2"/>
    <w:rsid w:val="00D1725E"/>
    <w:rsid w:val="00D176F6"/>
    <w:rsid w:val="00D17849"/>
    <w:rsid w:val="00D17FFA"/>
    <w:rsid w:val="00D20802"/>
    <w:rsid w:val="00D21136"/>
    <w:rsid w:val="00D214BC"/>
    <w:rsid w:val="00D2153E"/>
    <w:rsid w:val="00D21C1A"/>
    <w:rsid w:val="00D2277F"/>
    <w:rsid w:val="00D22D45"/>
    <w:rsid w:val="00D23297"/>
    <w:rsid w:val="00D232FE"/>
    <w:rsid w:val="00D23E2C"/>
    <w:rsid w:val="00D24A2F"/>
    <w:rsid w:val="00D26912"/>
    <w:rsid w:val="00D26A5E"/>
    <w:rsid w:val="00D26D8E"/>
    <w:rsid w:val="00D27382"/>
    <w:rsid w:val="00D275A1"/>
    <w:rsid w:val="00D275B0"/>
    <w:rsid w:val="00D27A34"/>
    <w:rsid w:val="00D27B3A"/>
    <w:rsid w:val="00D30035"/>
    <w:rsid w:val="00D3026B"/>
    <w:rsid w:val="00D30464"/>
    <w:rsid w:val="00D304AB"/>
    <w:rsid w:val="00D30737"/>
    <w:rsid w:val="00D309D3"/>
    <w:rsid w:val="00D30BF1"/>
    <w:rsid w:val="00D30ED1"/>
    <w:rsid w:val="00D312BD"/>
    <w:rsid w:val="00D31676"/>
    <w:rsid w:val="00D316EB"/>
    <w:rsid w:val="00D3184F"/>
    <w:rsid w:val="00D31F3F"/>
    <w:rsid w:val="00D320FE"/>
    <w:rsid w:val="00D326D9"/>
    <w:rsid w:val="00D329C4"/>
    <w:rsid w:val="00D32AA2"/>
    <w:rsid w:val="00D32E6D"/>
    <w:rsid w:val="00D337C0"/>
    <w:rsid w:val="00D3382C"/>
    <w:rsid w:val="00D343C6"/>
    <w:rsid w:val="00D349CF"/>
    <w:rsid w:val="00D34F46"/>
    <w:rsid w:val="00D3500A"/>
    <w:rsid w:val="00D350A4"/>
    <w:rsid w:val="00D352C9"/>
    <w:rsid w:val="00D3561C"/>
    <w:rsid w:val="00D35A14"/>
    <w:rsid w:val="00D35A4A"/>
    <w:rsid w:val="00D35B53"/>
    <w:rsid w:val="00D35CA7"/>
    <w:rsid w:val="00D3637F"/>
    <w:rsid w:val="00D36982"/>
    <w:rsid w:val="00D36BAF"/>
    <w:rsid w:val="00D371EE"/>
    <w:rsid w:val="00D37820"/>
    <w:rsid w:val="00D37858"/>
    <w:rsid w:val="00D3793B"/>
    <w:rsid w:val="00D37D45"/>
    <w:rsid w:val="00D408A3"/>
    <w:rsid w:val="00D40B14"/>
    <w:rsid w:val="00D40B78"/>
    <w:rsid w:val="00D414FF"/>
    <w:rsid w:val="00D418AE"/>
    <w:rsid w:val="00D41CF1"/>
    <w:rsid w:val="00D41E36"/>
    <w:rsid w:val="00D41E74"/>
    <w:rsid w:val="00D42096"/>
    <w:rsid w:val="00D42356"/>
    <w:rsid w:val="00D4236E"/>
    <w:rsid w:val="00D42476"/>
    <w:rsid w:val="00D428DA"/>
    <w:rsid w:val="00D42DDA"/>
    <w:rsid w:val="00D42E8F"/>
    <w:rsid w:val="00D43567"/>
    <w:rsid w:val="00D4359C"/>
    <w:rsid w:val="00D43C22"/>
    <w:rsid w:val="00D44321"/>
    <w:rsid w:val="00D44660"/>
    <w:rsid w:val="00D44882"/>
    <w:rsid w:val="00D45146"/>
    <w:rsid w:val="00D45341"/>
    <w:rsid w:val="00D454B4"/>
    <w:rsid w:val="00D45739"/>
    <w:rsid w:val="00D457F5"/>
    <w:rsid w:val="00D45DCB"/>
    <w:rsid w:val="00D45E1A"/>
    <w:rsid w:val="00D45EA4"/>
    <w:rsid w:val="00D45EB9"/>
    <w:rsid w:val="00D45F19"/>
    <w:rsid w:val="00D46298"/>
    <w:rsid w:val="00D4652C"/>
    <w:rsid w:val="00D471FA"/>
    <w:rsid w:val="00D47946"/>
    <w:rsid w:val="00D47BD2"/>
    <w:rsid w:val="00D47F63"/>
    <w:rsid w:val="00D50361"/>
    <w:rsid w:val="00D50682"/>
    <w:rsid w:val="00D506A1"/>
    <w:rsid w:val="00D50B84"/>
    <w:rsid w:val="00D5155C"/>
    <w:rsid w:val="00D515F0"/>
    <w:rsid w:val="00D518AE"/>
    <w:rsid w:val="00D51B16"/>
    <w:rsid w:val="00D51CAA"/>
    <w:rsid w:val="00D52111"/>
    <w:rsid w:val="00D52629"/>
    <w:rsid w:val="00D52B0B"/>
    <w:rsid w:val="00D52EEC"/>
    <w:rsid w:val="00D52F14"/>
    <w:rsid w:val="00D52FCF"/>
    <w:rsid w:val="00D536E4"/>
    <w:rsid w:val="00D5382E"/>
    <w:rsid w:val="00D53DF9"/>
    <w:rsid w:val="00D54706"/>
    <w:rsid w:val="00D54B44"/>
    <w:rsid w:val="00D54C35"/>
    <w:rsid w:val="00D54FD1"/>
    <w:rsid w:val="00D550BF"/>
    <w:rsid w:val="00D5588A"/>
    <w:rsid w:val="00D55D88"/>
    <w:rsid w:val="00D56210"/>
    <w:rsid w:val="00D56A5F"/>
    <w:rsid w:val="00D56DFC"/>
    <w:rsid w:val="00D56FF4"/>
    <w:rsid w:val="00D5714F"/>
    <w:rsid w:val="00D571A1"/>
    <w:rsid w:val="00D6028C"/>
    <w:rsid w:val="00D60562"/>
    <w:rsid w:val="00D60881"/>
    <w:rsid w:val="00D60BB3"/>
    <w:rsid w:val="00D60DB3"/>
    <w:rsid w:val="00D60DF4"/>
    <w:rsid w:val="00D61680"/>
    <w:rsid w:val="00D61681"/>
    <w:rsid w:val="00D617D7"/>
    <w:rsid w:val="00D61BA6"/>
    <w:rsid w:val="00D62472"/>
    <w:rsid w:val="00D6279C"/>
    <w:rsid w:val="00D62A56"/>
    <w:rsid w:val="00D62A76"/>
    <w:rsid w:val="00D62CED"/>
    <w:rsid w:val="00D63096"/>
    <w:rsid w:val="00D63971"/>
    <w:rsid w:val="00D63AEC"/>
    <w:rsid w:val="00D63DA4"/>
    <w:rsid w:val="00D63EE9"/>
    <w:rsid w:val="00D644E5"/>
    <w:rsid w:val="00D64822"/>
    <w:rsid w:val="00D656EF"/>
    <w:rsid w:val="00D65B79"/>
    <w:rsid w:val="00D65E37"/>
    <w:rsid w:val="00D65FA9"/>
    <w:rsid w:val="00D66226"/>
    <w:rsid w:val="00D664BF"/>
    <w:rsid w:val="00D6692F"/>
    <w:rsid w:val="00D67105"/>
    <w:rsid w:val="00D67234"/>
    <w:rsid w:val="00D67B66"/>
    <w:rsid w:val="00D67FC0"/>
    <w:rsid w:val="00D700F6"/>
    <w:rsid w:val="00D705D9"/>
    <w:rsid w:val="00D7072C"/>
    <w:rsid w:val="00D70836"/>
    <w:rsid w:val="00D70851"/>
    <w:rsid w:val="00D70934"/>
    <w:rsid w:val="00D70FFA"/>
    <w:rsid w:val="00D71083"/>
    <w:rsid w:val="00D71678"/>
    <w:rsid w:val="00D71B69"/>
    <w:rsid w:val="00D7218C"/>
    <w:rsid w:val="00D723B8"/>
    <w:rsid w:val="00D7279A"/>
    <w:rsid w:val="00D72E16"/>
    <w:rsid w:val="00D73030"/>
    <w:rsid w:val="00D74300"/>
    <w:rsid w:val="00D74B22"/>
    <w:rsid w:val="00D74DC3"/>
    <w:rsid w:val="00D751F6"/>
    <w:rsid w:val="00D75A07"/>
    <w:rsid w:val="00D7649D"/>
    <w:rsid w:val="00D7798F"/>
    <w:rsid w:val="00D77F81"/>
    <w:rsid w:val="00D8012F"/>
    <w:rsid w:val="00D803B9"/>
    <w:rsid w:val="00D80804"/>
    <w:rsid w:val="00D80B71"/>
    <w:rsid w:val="00D81297"/>
    <w:rsid w:val="00D816C7"/>
    <w:rsid w:val="00D8179E"/>
    <w:rsid w:val="00D826B4"/>
    <w:rsid w:val="00D834F0"/>
    <w:rsid w:val="00D836F1"/>
    <w:rsid w:val="00D83708"/>
    <w:rsid w:val="00D83D9D"/>
    <w:rsid w:val="00D83F63"/>
    <w:rsid w:val="00D84111"/>
    <w:rsid w:val="00D841C4"/>
    <w:rsid w:val="00D84504"/>
    <w:rsid w:val="00D84558"/>
    <w:rsid w:val="00D848FD"/>
    <w:rsid w:val="00D84A05"/>
    <w:rsid w:val="00D8548C"/>
    <w:rsid w:val="00D8580A"/>
    <w:rsid w:val="00D861F3"/>
    <w:rsid w:val="00D8620F"/>
    <w:rsid w:val="00D86703"/>
    <w:rsid w:val="00D87024"/>
    <w:rsid w:val="00D87161"/>
    <w:rsid w:val="00D875F2"/>
    <w:rsid w:val="00D8766D"/>
    <w:rsid w:val="00D877C7"/>
    <w:rsid w:val="00D87A2A"/>
    <w:rsid w:val="00D87A6C"/>
    <w:rsid w:val="00D87B59"/>
    <w:rsid w:val="00D87DD9"/>
    <w:rsid w:val="00D87FDB"/>
    <w:rsid w:val="00D900DC"/>
    <w:rsid w:val="00D907A0"/>
    <w:rsid w:val="00D907DD"/>
    <w:rsid w:val="00D909C1"/>
    <w:rsid w:val="00D90F2C"/>
    <w:rsid w:val="00D9107F"/>
    <w:rsid w:val="00D9111A"/>
    <w:rsid w:val="00D9137C"/>
    <w:rsid w:val="00D9164C"/>
    <w:rsid w:val="00D91ACD"/>
    <w:rsid w:val="00D921D8"/>
    <w:rsid w:val="00D92825"/>
    <w:rsid w:val="00D929FE"/>
    <w:rsid w:val="00D92EC9"/>
    <w:rsid w:val="00D93A90"/>
    <w:rsid w:val="00D94468"/>
    <w:rsid w:val="00D94557"/>
    <w:rsid w:val="00D94584"/>
    <w:rsid w:val="00D94B7A"/>
    <w:rsid w:val="00D94EF2"/>
    <w:rsid w:val="00D950F1"/>
    <w:rsid w:val="00D95238"/>
    <w:rsid w:val="00D95BB0"/>
    <w:rsid w:val="00D95D60"/>
    <w:rsid w:val="00D96550"/>
    <w:rsid w:val="00D9718C"/>
    <w:rsid w:val="00D9735D"/>
    <w:rsid w:val="00D973AC"/>
    <w:rsid w:val="00D975AD"/>
    <w:rsid w:val="00D975CF"/>
    <w:rsid w:val="00D97CD8"/>
    <w:rsid w:val="00DA0244"/>
    <w:rsid w:val="00DA03A5"/>
    <w:rsid w:val="00DA0545"/>
    <w:rsid w:val="00DA08CD"/>
    <w:rsid w:val="00DA0C9C"/>
    <w:rsid w:val="00DA1342"/>
    <w:rsid w:val="00DA15FD"/>
    <w:rsid w:val="00DA1D42"/>
    <w:rsid w:val="00DA284A"/>
    <w:rsid w:val="00DA2D18"/>
    <w:rsid w:val="00DA302C"/>
    <w:rsid w:val="00DA3377"/>
    <w:rsid w:val="00DA351E"/>
    <w:rsid w:val="00DA3A4A"/>
    <w:rsid w:val="00DA3D3E"/>
    <w:rsid w:val="00DA3DB6"/>
    <w:rsid w:val="00DA3EB4"/>
    <w:rsid w:val="00DA4112"/>
    <w:rsid w:val="00DA424D"/>
    <w:rsid w:val="00DA4841"/>
    <w:rsid w:val="00DA4E77"/>
    <w:rsid w:val="00DA50DB"/>
    <w:rsid w:val="00DA52E9"/>
    <w:rsid w:val="00DA535C"/>
    <w:rsid w:val="00DA5608"/>
    <w:rsid w:val="00DA5629"/>
    <w:rsid w:val="00DA5BF3"/>
    <w:rsid w:val="00DA5D6B"/>
    <w:rsid w:val="00DA5D7E"/>
    <w:rsid w:val="00DA5EEC"/>
    <w:rsid w:val="00DA6212"/>
    <w:rsid w:val="00DA6430"/>
    <w:rsid w:val="00DA68B5"/>
    <w:rsid w:val="00DA6934"/>
    <w:rsid w:val="00DA6F88"/>
    <w:rsid w:val="00DA74EB"/>
    <w:rsid w:val="00DA77AD"/>
    <w:rsid w:val="00DA7F14"/>
    <w:rsid w:val="00DB019C"/>
    <w:rsid w:val="00DB0947"/>
    <w:rsid w:val="00DB0A2F"/>
    <w:rsid w:val="00DB0C02"/>
    <w:rsid w:val="00DB1084"/>
    <w:rsid w:val="00DB12BF"/>
    <w:rsid w:val="00DB1450"/>
    <w:rsid w:val="00DB1B88"/>
    <w:rsid w:val="00DB21A6"/>
    <w:rsid w:val="00DB23B7"/>
    <w:rsid w:val="00DB2551"/>
    <w:rsid w:val="00DB276C"/>
    <w:rsid w:val="00DB295C"/>
    <w:rsid w:val="00DB32C6"/>
    <w:rsid w:val="00DB3CAE"/>
    <w:rsid w:val="00DB40C9"/>
    <w:rsid w:val="00DB4A95"/>
    <w:rsid w:val="00DB50AE"/>
    <w:rsid w:val="00DB51A2"/>
    <w:rsid w:val="00DB54CF"/>
    <w:rsid w:val="00DB593E"/>
    <w:rsid w:val="00DB5DD1"/>
    <w:rsid w:val="00DB6001"/>
    <w:rsid w:val="00DB6325"/>
    <w:rsid w:val="00DB6EC6"/>
    <w:rsid w:val="00DB72AA"/>
    <w:rsid w:val="00DB7670"/>
    <w:rsid w:val="00DB772F"/>
    <w:rsid w:val="00DB7C27"/>
    <w:rsid w:val="00DB7C3A"/>
    <w:rsid w:val="00DC002D"/>
    <w:rsid w:val="00DC0C19"/>
    <w:rsid w:val="00DC0C4A"/>
    <w:rsid w:val="00DC0CA3"/>
    <w:rsid w:val="00DC0E10"/>
    <w:rsid w:val="00DC1BEE"/>
    <w:rsid w:val="00DC20CF"/>
    <w:rsid w:val="00DC21B2"/>
    <w:rsid w:val="00DC2F6B"/>
    <w:rsid w:val="00DC3057"/>
    <w:rsid w:val="00DC31E6"/>
    <w:rsid w:val="00DC3322"/>
    <w:rsid w:val="00DC34FB"/>
    <w:rsid w:val="00DC35D9"/>
    <w:rsid w:val="00DC3693"/>
    <w:rsid w:val="00DC3AF5"/>
    <w:rsid w:val="00DC3FFD"/>
    <w:rsid w:val="00DC417A"/>
    <w:rsid w:val="00DC4629"/>
    <w:rsid w:val="00DC478B"/>
    <w:rsid w:val="00DC4AE0"/>
    <w:rsid w:val="00DC4BA4"/>
    <w:rsid w:val="00DC4E07"/>
    <w:rsid w:val="00DC5116"/>
    <w:rsid w:val="00DC56D9"/>
    <w:rsid w:val="00DC580C"/>
    <w:rsid w:val="00DC58BE"/>
    <w:rsid w:val="00DC58EE"/>
    <w:rsid w:val="00DC5A28"/>
    <w:rsid w:val="00DC6269"/>
    <w:rsid w:val="00DC6906"/>
    <w:rsid w:val="00DC751A"/>
    <w:rsid w:val="00DC788C"/>
    <w:rsid w:val="00DC789C"/>
    <w:rsid w:val="00DC7E88"/>
    <w:rsid w:val="00DD0207"/>
    <w:rsid w:val="00DD030F"/>
    <w:rsid w:val="00DD0484"/>
    <w:rsid w:val="00DD0993"/>
    <w:rsid w:val="00DD0D15"/>
    <w:rsid w:val="00DD0D1D"/>
    <w:rsid w:val="00DD0F6F"/>
    <w:rsid w:val="00DD15C1"/>
    <w:rsid w:val="00DD2154"/>
    <w:rsid w:val="00DD2294"/>
    <w:rsid w:val="00DD2511"/>
    <w:rsid w:val="00DD286E"/>
    <w:rsid w:val="00DD3079"/>
    <w:rsid w:val="00DD323C"/>
    <w:rsid w:val="00DD38E7"/>
    <w:rsid w:val="00DD3D9F"/>
    <w:rsid w:val="00DD4048"/>
    <w:rsid w:val="00DD40E8"/>
    <w:rsid w:val="00DD4187"/>
    <w:rsid w:val="00DD4556"/>
    <w:rsid w:val="00DD5976"/>
    <w:rsid w:val="00DD5B73"/>
    <w:rsid w:val="00DD6148"/>
    <w:rsid w:val="00DD6C4B"/>
    <w:rsid w:val="00DD70AB"/>
    <w:rsid w:val="00DD7658"/>
    <w:rsid w:val="00DD7734"/>
    <w:rsid w:val="00DD7C7A"/>
    <w:rsid w:val="00DD7D7D"/>
    <w:rsid w:val="00DD7E4C"/>
    <w:rsid w:val="00DE0001"/>
    <w:rsid w:val="00DE0239"/>
    <w:rsid w:val="00DE0ACD"/>
    <w:rsid w:val="00DE0B4F"/>
    <w:rsid w:val="00DE0B67"/>
    <w:rsid w:val="00DE0E97"/>
    <w:rsid w:val="00DE1A65"/>
    <w:rsid w:val="00DE1B51"/>
    <w:rsid w:val="00DE1D06"/>
    <w:rsid w:val="00DE1DFC"/>
    <w:rsid w:val="00DE2196"/>
    <w:rsid w:val="00DE267E"/>
    <w:rsid w:val="00DE29B9"/>
    <w:rsid w:val="00DE30D8"/>
    <w:rsid w:val="00DE3182"/>
    <w:rsid w:val="00DE3564"/>
    <w:rsid w:val="00DE4750"/>
    <w:rsid w:val="00DE4B3E"/>
    <w:rsid w:val="00DE4F27"/>
    <w:rsid w:val="00DE4FEF"/>
    <w:rsid w:val="00DE5025"/>
    <w:rsid w:val="00DE51A4"/>
    <w:rsid w:val="00DE5223"/>
    <w:rsid w:val="00DE5536"/>
    <w:rsid w:val="00DE5694"/>
    <w:rsid w:val="00DE61E9"/>
    <w:rsid w:val="00DE66CE"/>
    <w:rsid w:val="00DE66D6"/>
    <w:rsid w:val="00DE69FD"/>
    <w:rsid w:val="00DE6A19"/>
    <w:rsid w:val="00DE6A91"/>
    <w:rsid w:val="00DE6E8D"/>
    <w:rsid w:val="00DE7175"/>
    <w:rsid w:val="00DE780A"/>
    <w:rsid w:val="00DF0537"/>
    <w:rsid w:val="00DF074F"/>
    <w:rsid w:val="00DF0923"/>
    <w:rsid w:val="00DF09DC"/>
    <w:rsid w:val="00DF0ADE"/>
    <w:rsid w:val="00DF0ED1"/>
    <w:rsid w:val="00DF0ED4"/>
    <w:rsid w:val="00DF0F26"/>
    <w:rsid w:val="00DF1159"/>
    <w:rsid w:val="00DF11A9"/>
    <w:rsid w:val="00DF12A2"/>
    <w:rsid w:val="00DF1322"/>
    <w:rsid w:val="00DF13BC"/>
    <w:rsid w:val="00DF140B"/>
    <w:rsid w:val="00DF141F"/>
    <w:rsid w:val="00DF169B"/>
    <w:rsid w:val="00DF2061"/>
    <w:rsid w:val="00DF2088"/>
    <w:rsid w:val="00DF208F"/>
    <w:rsid w:val="00DF24DB"/>
    <w:rsid w:val="00DF2A18"/>
    <w:rsid w:val="00DF2B2B"/>
    <w:rsid w:val="00DF2C19"/>
    <w:rsid w:val="00DF2D52"/>
    <w:rsid w:val="00DF32FF"/>
    <w:rsid w:val="00DF3729"/>
    <w:rsid w:val="00DF3F70"/>
    <w:rsid w:val="00DF44BD"/>
    <w:rsid w:val="00DF45ED"/>
    <w:rsid w:val="00DF4A7A"/>
    <w:rsid w:val="00DF4A91"/>
    <w:rsid w:val="00DF4F12"/>
    <w:rsid w:val="00DF4FF5"/>
    <w:rsid w:val="00DF5841"/>
    <w:rsid w:val="00DF5CB5"/>
    <w:rsid w:val="00DF5E60"/>
    <w:rsid w:val="00DF6096"/>
    <w:rsid w:val="00DF6362"/>
    <w:rsid w:val="00DF65E4"/>
    <w:rsid w:val="00DF6AFE"/>
    <w:rsid w:val="00DF6D68"/>
    <w:rsid w:val="00DF6F76"/>
    <w:rsid w:val="00DF74F2"/>
    <w:rsid w:val="00DF798E"/>
    <w:rsid w:val="00E002B5"/>
    <w:rsid w:val="00E00BF9"/>
    <w:rsid w:val="00E00D0E"/>
    <w:rsid w:val="00E010CF"/>
    <w:rsid w:val="00E0131B"/>
    <w:rsid w:val="00E01B87"/>
    <w:rsid w:val="00E01E6C"/>
    <w:rsid w:val="00E02074"/>
    <w:rsid w:val="00E0281B"/>
    <w:rsid w:val="00E02C9D"/>
    <w:rsid w:val="00E0393E"/>
    <w:rsid w:val="00E03B4E"/>
    <w:rsid w:val="00E03F90"/>
    <w:rsid w:val="00E0427D"/>
    <w:rsid w:val="00E042A2"/>
    <w:rsid w:val="00E04EA0"/>
    <w:rsid w:val="00E05392"/>
    <w:rsid w:val="00E05920"/>
    <w:rsid w:val="00E05E5A"/>
    <w:rsid w:val="00E05F4C"/>
    <w:rsid w:val="00E05FDE"/>
    <w:rsid w:val="00E0659E"/>
    <w:rsid w:val="00E066D7"/>
    <w:rsid w:val="00E070E4"/>
    <w:rsid w:val="00E07338"/>
    <w:rsid w:val="00E10069"/>
    <w:rsid w:val="00E1082C"/>
    <w:rsid w:val="00E10DB4"/>
    <w:rsid w:val="00E10EF0"/>
    <w:rsid w:val="00E1163E"/>
    <w:rsid w:val="00E11875"/>
    <w:rsid w:val="00E11A04"/>
    <w:rsid w:val="00E11A81"/>
    <w:rsid w:val="00E12136"/>
    <w:rsid w:val="00E12809"/>
    <w:rsid w:val="00E12AD1"/>
    <w:rsid w:val="00E12F75"/>
    <w:rsid w:val="00E134E6"/>
    <w:rsid w:val="00E140E0"/>
    <w:rsid w:val="00E14C4E"/>
    <w:rsid w:val="00E14F7E"/>
    <w:rsid w:val="00E15088"/>
    <w:rsid w:val="00E15239"/>
    <w:rsid w:val="00E15382"/>
    <w:rsid w:val="00E157AA"/>
    <w:rsid w:val="00E15B7A"/>
    <w:rsid w:val="00E15BF6"/>
    <w:rsid w:val="00E15CB0"/>
    <w:rsid w:val="00E15D50"/>
    <w:rsid w:val="00E168D0"/>
    <w:rsid w:val="00E173CE"/>
    <w:rsid w:val="00E17CCA"/>
    <w:rsid w:val="00E17E3D"/>
    <w:rsid w:val="00E17EC4"/>
    <w:rsid w:val="00E2073E"/>
    <w:rsid w:val="00E20AC9"/>
    <w:rsid w:val="00E20AF4"/>
    <w:rsid w:val="00E20CDF"/>
    <w:rsid w:val="00E21374"/>
    <w:rsid w:val="00E21489"/>
    <w:rsid w:val="00E2151A"/>
    <w:rsid w:val="00E21BE4"/>
    <w:rsid w:val="00E225E2"/>
    <w:rsid w:val="00E226B1"/>
    <w:rsid w:val="00E22763"/>
    <w:rsid w:val="00E227D6"/>
    <w:rsid w:val="00E23171"/>
    <w:rsid w:val="00E236B1"/>
    <w:rsid w:val="00E23B12"/>
    <w:rsid w:val="00E24536"/>
    <w:rsid w:val="00E24F54"/>
    <w:rsid w:val="00E253B0"/>
    <w:rsid w:val="00E25997"/>
    <w:rsid w:val="00E2644E"/>
    <w:rsid w:val="00E26CEA"/>
    <w:rsid w:val="00E3029F"/>
    <w:rsid w:val="00E302B0"/>
    <w:rsid w:val="00E304AF"/>
    <w:rsid w:val="00E30FA5"/>
    <w:rsid w:val="00E31134"/>
    <w:rsid w:val="00E321C1"/>
    <w:rsid w:val="00E3252C"/>
    <w:rsid w:val="00E32F1F"/>
    <w:rsid w:val="00E3342B"/>
    <w:rsid w:val="00E33455"/>
    <w:rsid w:val="00E3362C"/>
    <w:rsid w:val="00E33807"/>
    <w:rsid w:val="00E33E7E"/>
    <w:rsid w:val="00E342F7"/>
    <w:rsid w:val="00E35060"/>
    <w:rsid w:val="00E35128"/>
    <w:rsid w:val="00E3550C"/>
    <w:rsid w:val="00E35521"/>
    <w:rsid w:val="00E35635"/>
    <w:rsid w:val="00E357AA"/>
    <w:rsid w:val="00E35FEC"/>
    <w:rsid w:val="00E36281"/>
    <w:rsid w:val="00E36356"/>
    <w:rsid w:val="00E366F0"/>
    <w:rsid w:val="00E36C1E"/>
    <w:rsid w:val="00E36C42"/>
    <w:rsid w:val="00E36F99"/>
    <w:rsid w:val="00E37454"/>
    <w:rsid w:val="00E377A9"/>
    <w:rsid w:val="00E3783C"/>
    <w:rsid w:val="00E37923"/>
    <w:rsid w:val="00E4086D"/>
    <w:rsid w:val="00E410A7"/>
    <w:rsid w:val="00E41453"/>
    <w:rsid w:val="00E4151D"/>
    <w:rsid w:val="00E41BF1"/>
    <w:rsid w:val="00E41FD1"/>
    <w:rsid w:val="00E42CA5"/>
    <w:rsid w:val="00E43081"/>
    <w:rsid w:val="00E43214"/>
    <w:rsid w:val="00E438CB"/>
    <w:rsid w:val="00E43B41"/>
    <w:rsid w:val="00E43F53"/>
    <w:rsid w:val="00E43FF4"/>
    <w:rsid w:val="00E4404A"/>
    <w:rsid w:val="00E443F7"/>
    <w:rsid w:val="00E44519"/>
    <w:rsid w:val="00E44861"/>
    <w:rsid w:val="00E449B5"/>
    <w:rsid w:val="00E44A71"/>
    <w:rsid w:val="00E44BBD"/>
    <w:rsid w:val="00E44C3D"/>
    <w:rsid w:val="00E44DE8"/>
    <w:rsid w:val="00E44E9B"/>
    <w:rsid w:val="00E44FDE"/>
    <w:rsid w:val="00E452D0"/>
    <w:rsid w:val="00E45398"/>
    <w:rsid w:val="00E45AE2"/>
    <w:rsid w:val="00E45D16"/>
    <w:rsid w:val="00E462B7"/>
    <w:rsid w:val="00E4633B"/>
    <w:rsid w:val="00E46BF7"/>
    <w:rsid w:val="00E47121"/>
    <w:rsid w:val="00E47539"/>
    <w:rsid w:val="00E475A4"/>
    <w:rsid w:val="00E475BB"/>
    <w:rsid w:val="00E47EF2"/>
    <w:rsid w:val="00E500C7"/>
    <w:rsid w:val="00E50105"/>
    <w:rsid w:val="00E503FB"/>
    <w:rsid w:val="00E5069D"/>
    <w:rsid w:val="00E50BDB"/>
    <w:rsid w:val="00E50D4F"/>
    <w:rsid w:val="00E50F25"/>
    <w:rsid w:val="00E51177"/>
    <w:rsid w:val="00E511ED"/>
    <w:rsid w:val="00E514D7"/>
    <w:rsid w:val="00E5158C"/>
    <w:rsid w:val="00E51BF2"/>
    <w:rsid w:val="00E51BF7"/>
    <w:rsid w:val="00E522FA"/>
    <w:rsid w:val="00E52492"/>
    <w:rsid w:val="00E52586"/>
    <w:rsid w:val="00E52719"/>
    <w:rsid w:val="00E52899"/>
    <w:rsid w:val="00E53302"/>
    <w:rsid w:val="00E53469"/>
    <w:rsid w:val="00E534D3"/>
    <w:rsid w:val="00E53E1F"/>
    <w:rsid w:val="00E53E4F"/>
    <w:rsid w:val="00E53E5D"/>
    <w:rsid w:val="00E54012"/>
    <w:rsid w:val="00E54A1A"/>
    <w:rsid w:val="00E55201"/>
    <w:rsid w:val="00E55A9D"/>
    <w:rsid w:val="00E55DE6"/>
    <w:rsid w:val="00E55F7F"/>
    <w:rsid w:val="00E561E1"/>
    <w:rsid w:val="00E563AA"/>
    <w:rsid w:val="00E5673B"/>
    <w:rsid w:val="00E572C4"/>
    <w:rsid w:val="00E57A6A"/>
    <w:rsid w:val="00E609CD"/>
    <w:rsid w:val="00E60E1E"/>
    <w:rsid w:val="00E6101F"/>
    <w:rsid w:val="00E61828"/>
    <w:rsid w:val="00E61B4B"/>
    <w:rsid w:val="00E61E3A"/>
    <w:rsid w:val="00E61FDE"/>
    <w:rsid w:val="00E6200F"/>
    <w:rsid w:val="00E625BE"/>
    <w:rsid w:val="00E625D1"/>
    <w:rsid w:val="00E62797"/>
    <w:rsid w:val="00E62DC4"/>
    <w:rsid w:val="00E62EB1"/>
    <w:rsid w:val="00E63B3C"/>
    <w:rsid w:val="00E640C3"/>
    <w:rsid w:val="00E64443"/>
    <w:rsid w:val="00E645C1"/>
    <w:rsid w:val="00E646A6"/>
    <w:rsid w:val="00E64935"/>
    <w:rsid w:val="00E6532F"/>
    <w:rsid w:val="00E65AB4"/>
    <w:rsid w:val="00E65AD2"/>
    <w:rsid w:val="00E65AE6"/>
    <w:rsid w:val="00E65F23"/>
    <w:rsid w:val="00E65F80"/>
    <w:rsid w:val="00E66578"/>
    <w:rsid w:val="00E66778"/>
    <w:rsid w:val="00E66883"/>
    <w:rsid w:val="00E66AD2"/>
    <w:rsid w:val="00E66B75"/>
    <w:rsid w:val="00E673C8"/>
    <w:rsid w:val="00E676D9"/>
    <w:rsid w:val="00E678B3"/>
    <w:rsid w:val="00E67DDF"/>
    <w:rsid w:val="00E70229"/>
    <w:rsid w:val="00E7049B"/>
    <w:rsid w:val="00E70672"/>
    <w:rsid w:val="00E70684"/>
    <w:rsid w:val="00E7075F"/>
    <w:rsid w:val="00E70882"/>
    <w:rsid w:val="00E70E08"/>
    <w:rsid w:val="00E717B8"/>
    <w:rsid w:val="00E71D0F"/>
    <w:rsid w:val="00E71D9F"/>
    <w:rsid w:val="00E727D4"/>
    <w:rsid w:val="00E7288F"/>
    <w:rsid w:val="00E72975"/>
    <w:rsid w:val="00E72A22"/>
    <w:rsid w:val="00E72A89"/>
    <w:rsid w:val="00E73090"/>
    <w:rsid w:val="00E7393C"/>
    <w:rsid w:val="00E74A12"/>
    <w:rsid w:val="00E74EA7"/>
    <w:rsid w:val="00E7558D"/>
    <w:rsid w:val="00E7591A"/>
    <w:rsid w:val="00E775D0"/>
    <w:rsid w:val="00E77B62"/>
    <w:rsid w:val="00E77DF9"/>
    <w:rsid w:val="00E80A34"/>
    <w:rsid w:val="00E80B79"/>
    <w:rsid w:val="00E80D61"/>
    <w:rsid w:val="00E8113C"/>
    <w:rsid w:val="00E8130D"/>
    <w:rsid w:val="00E813D1"/>
    <w:rsid w:val="00E817DC"/>
    <w:rsid w:val="00E81BD2"/>
    <w:rsid w:val="00E82268"/>
    <w:rsid w:val="00E82407"/>
    <w:rsid w:val="00E829BA"/>
    <w:rsid w:val="00E829C6"/>
    <w:rsid w:val="00E83097"/>
    <w:rsid w:val="00E8335C"/>
    <w:rsid w:val="00E8369B"/>
    <w:rsid w:val="00E839CC"/>
    <w:rsid w:val="00E84F47"/>
    <w:rsid w:val="00E85010"/>
    <w:rsid w:val="00E85664"/>
    <w:rsid w:val="00E858AB"/>
    <w:rsid w:val="00E85AB2"/>
    <w:rsid w:val="00E85B99"/>
    <w:rsid w:val="00E86259"/>
    <w:rsid w:val="00E86264"/>
    <w:rsid w:val="00E862CD"/>
    <w:rsid w:val="00E86764"/>
    <w:rsid w:val="00E867C3"/>
    <w:rsid w:val="00E86898"/>
    <w:rsid w:val="00E86B76"/>
    <w:rsid w:val="00E86C39"/>
    <w:rsid w:val="00E86E5E"/>
    <w:rsid w:val="00E87E34"/>
    <w:rsid w:val="00E902F4"/>
    <w:rsid w:val="00E90FBF"/>
    <w:rsid w:val="00E9106F"/>
    <w:rsid w:val="00E916E5"/>
    <w:rsid w:val="00E91966"/>
    <w:rsid w:val="00E919D9"/>
    <w:rsid w:val="00E92266"/>
    <w:rsid w:val="00E93496"/>
    <w:rsid w:val="00E93B64"/>
    <w:rsid w:val="00E93CFB"/>
    <w:rsid w:val="00E93DCA"/>
    <w:rsid w:val="00E93F0B"/>
    <w:rsid w:val="00E9504F"/>
    <w:rsid w:val="00E9521E"/>
    <w:rsid w:val="00E95267"/>
    <w:rsid w:val="00E9595F"/>
    <w:rsid w:val="00E95A50"/>
    <w:rsid w:val="00E95F7D"/>
    <w:rsid w:val="00E964EF"/>
    <w:rsid w:val="00E96937"/>
    <w:rsid w:val="00E96A0A"/>
    <w:rsid w:val="00E96A27"/>
    <w:rsid w:val="00E96D08"/>
    <w:rsid w:val="00EA0277"/>
    <w:rsid w:val="00EA03A5"/>
    <w:rsid w:val="00EA045A"/>
    <w:rsid w:val="00EA08F4"/>
    <w:rsid w:val="00EA0907"/>
    <w:rsid w:val="00EA1429"/>
    <w:rsid w:val="00EA14AD"/>
    <w:rsid w:val="00EA17B0"/>
    <w:rsid w:val="00EA1AFB"/>
    <w:rsid w:val="00EA1E3F"/>
    <w:rsid w:val="00EA1F27"/>
    <w:rsid w:val="00EA265E"/>
    <w:rsid w:val="00EA2C5E"/>
    <w:rsid w:val="00EA2D8D"/>
    <w:rsid w:val="00EA32D2"/>
    <w:rsid w:val="00EA33F1"/>
    <w:rsid w:val="00EA353A"/>
    <w:rsid w:val="00EA353B"/>
    <w:rsid w:val="00EA357B"/>
    <w:rsid w:val="00EA394E"/>
    <w:rsid w:val="00EA39FE"/>
    <w:rsid w:val="00EA4060"/>
    <w:rsid w:val="00EA43AE"/>
    <w:rsid w:val="00EA4461"/>
    <w:rsid w:val="00EA4ADC"/>
    <w:rsid w:val="00EA4DF0"/>
    <w:rsid w:val="00EA50E1"/>
    <w:rsid w:val="00EA5665"/>
    <w:rsid w:val="00EA59D5"/>
    <w:rsid w:val="00EA5EBF"/>
    <w:rsid w:val="00EA616B"/>
    <w:rsid w:val="00EA6978"/>
    <w:rsid w:val="00EA69DE"/>
    <w:rsid w:val="00EA6CA7"/>
    <w:rsid w:val="00EA71D9"/>
    <w:rsid w:val="00EA72AC"/>
    <w:rsid w:val="00EA7B35"/>
    <w:rsid w:val="00EA7D8F"/>
    <w:rsid w:val="00EA7F13"/>
    <w:rsid w:val="00EB0103"/>
    <w:rsid w:val="00EB0252"/>
    <w:rsid w:val="00EB0865"/>
    <w:rsid w:val="00EB0B95"/>
    <w:rsid w:val="00EB0E34"/>
    <w:rsid w:val="00EB0F57"/>
    <w:rsid w:val="00EB140D"/>
    <w:rsid w:val="00EB1708"/>
    <w:rsid w:val="00EB1F46"/>
    <w:rsid w:val="00EB2594"/>
    <w:rsid w:val="00EB281F"/>
    <w:rsid w:val="00EB2D39"/>
    <w:rsid w:val="00EB2D57"/>
    <w:rsid w:val="00EB2D78"/>
    <w:rsid w:val="00EB3362"/>
    <w:rsid w:val="00EB42E6"/>
    <w:rsid w:val="00EB43F6"/>
    <w:rsid w:val="00EB464C"/>
    <w:rsid w:val="00EB4702"/>
    <w:rsid w:val="00EB4A93"/>
    <w:rsid w:val="00EB5365"/>
    <w:rsid w:val="00EB5480"/>
    <w:rsid w:val="00EB54CD"/>
    <w:rsid w:val="00EB55B5"/>
    <w:rsid w:val="00EB5B48"/>
    <w:rsid w:val="00EB5B51"/>
    <w:rsid w:val="00EB5DE2"/>
    <w:rsid w:val="00EB6186"/>
    <w:rsid w:val="00EB64AC"/>
    <w:rsid w:val="00EB67D9"/>
    <w:rsid w:val="00EB6AAC"/>
    <w:rsid w:val="00EB6C6F"/>
    <w:rsid w:val="00EB6CA4"/>
    <w:rsid w:val="00EB6CE0"/>
    <w:rsid w:val="00EB6E74"/>
    <w:rsid w:val="00EB7724"/>
    <w:rsid w:val="00EB7803"/>
    <w:rsid w:val="00EB7BDF"/>
    <w:rsid w:val="00EB7FC4"/>
    <w:rsid w:val="00EC000C"/>
    <w:rsid w:val="00EC029A"/>
    <w:rsid w:val="00EC093B"/>
    <w:rsid w:val="00EC0A25"/>
    <w:rsid w:val="00EC0A71"/>
    <w:rsid w:val="00EC0CCC"/>
    <w:rsid w:val="00EC0E45"/>
    <w:rsid w:val="00EC0F7F"/>
    <w:rsid w:val="00EC0FEC"/>
    <w:rsid w:val="00EC15BA"/>
    <w:rsid w:val="00EC1E45"/>
    <w:rsid w:val="00EC1EC5"/>
    <w:rsid w:val="00EC1F32"/>
    <w:rsid w:val="00EC26DC"/>
    <w:rsid w:val="00EC28B2"/>
    <w:rsid w:val="00EC2D84"/>
    <w:rsid w:val="00EC31B8"/>
    <w:rsid w:val="00EC36EF"/>
    <w:rsid w:val="00EC3825"/>
    <w:rsid w:val="00EC4221"/>
    <w:rsid w:val="00EC4473"/>
    <w:rsid w:val="00EC449A"/>
    <w:rsid w:val="00EC4D5D"/>
    <w:rsid w:val="00EC4ECC"/>
    <w:rsid w:val="00EC5091"/>
    <w:rsid w:val="00EC5B02"/>
    <w:rsid w:val="00EC5EB4"/>
    <w:rsid w:val="00EC62F2"/>
    <w:rsid w:val="00EC6415"/>
    <w:rsid w:val="00EC65C7"/>
    <w:rsid w:val="00EC65F4"/>
    <w:rsid w:val="00EC6A46"/>
    <w:rsid w:val="00EC6C20"/>
    <w:rsid w:val="00EC6D32"/>
    <w:rsid w:val="00EC7041"/>
    <w:rsid w:val="00EC72D2"/>
    <w:rsid w:val="00EC735B"/>
    <w:rsid w:val="00EC73C1"/>
    <w:rsid w:val="00EC764C"/>
    <w:rsid w:val="00EC7657"/>
    <w:rsid w:val="00EC79A3"/>
    <w:rsid w:val="00EC7EE8"/>
    <w:rsid w:val="00EC7FC5"/>
    <w:rsid w:val="00ED0068"/>
    <w:rsid w:val="00ED0102"/>
    <w:rsid w:val="00ED0376"/>
    <w:rsid w:val="00ED03B0"/>
    <w:rsid w:val="00ED064F"/>
    <w:rsid w:val="00ED09DC"/>
    <w:rsid w:val="00ED0C87"/>
    <w:rsid w:val="00ED0E17"/>
    <w:rsid w:val="00ED0F80"/>
    <w:rsid w:val="00ED10ED"/>
    <w:rsid w:val="00ED11E9"/>
    <w:rsid w:val="00ED1785"/>
    <w:rsid w:val="00ED1944"/>
    <w:rsid w:val="00ED2269"/>
    <w:rsid w:val="00ED23B1"/>
    <w:rsid w:val="00ED2451"/>
    <w:rsid w:val="00ED2B7C"/>
    <w:rsid w:val="00ED302D"/>
    <w:rsid w:val="00ED3296"/>
    <w:rsid w:val="00ED3308"/>
    <w:rsid w:val="00ED3950"/>
    <w:rsid w:val="00ED3D45"/>
    <w:rsid w:val="00ED3FAB"/>
    <w:rsid w:val="00ED4CFB"/>
    <w:rsid w:val="00ED529D"/>
    <w:rsid w:val="00ED5A3F"/>
    <w:rsid w:val="00ED5AF4"/>
    <w:rsid w:val="00ED5CD1"/>
    <w:rsid w:val="00ED637F"/>
    <w:rsid w:val="00ED6981"/>
    <w:rsid w:val="00ED7471"/>
    <w:rsid w:val="00ED77BD"/>
    <w:rsid w:val="00ED79C7"/>
    <w:rsid w:val="00EE02FA"/>
    <w:rsid w:val="00EE04EC"/>
    <w:rsid w:val="00EE05EF"/>
    <w:rsid w:val="00EE0A33"/>
    <w:rsid w:val="00EE15D7"/>
    <w:rsid w:val="00EE1CB8"/>
    <w:rsid w:val="00EE1EF2"/>
    <w:rsid w:val="00EE20B3"/>
    <w:rsid w:val="00EE2784"/>
    <w:rsid w:val="00EE2FCF"/>
    <w:rsid w:val="00EE3129"/>
    <w:rsid w:val="00EE314E"/>
    <w:rsid w:val="00EE35AC"/>
    <w:rsid w:val="00EE362C"/>
    <w:rsid w:val="00EE39D4"/>
    <w:rsid w:val="00EE3FAE"/>
    <w:rsid w:val="00EE41AB"/>
    <w:rsid w:val="00EE41E0"/>
    <w:rsid w:val="00EE43A3"/>
    <w:rsid w:val="00EE444A"/>
    <w:rsid w:val="00EE4AD9"/>
    <w:rsid w:val="00EE4B7E"/>
    <w:rsid w:val="00EE4E09"/>
    <w:rsid w:val="00EE4FC0"/>
    <w:rsid w:val="00EE50AF"/>
    <w:rsid w:val="00EE54E7"/>
    <w:rsid w:val="00EE57DA"/>
    <w:rsid w:val="00EE5CE3"/>
    <w:rsid w:val="00EE6E78"/>
    <w:rsid w:val="00EE7358"/>
    <w:rsid w:val="00EE75B9"/>
    <w:rsid w:val="00EE7709"/>
    <w:rsid w:val="00EF0CBF"/>
    <w:rsid w:val="00EF2277"/>
    <w:rsid w:val="00EF25D3"/>
    <w:rsid w:val="00EF2658"/>
    <w:rsid w:val="00EF2A23"/>
    <w:rsid w:val="00EF2AC8"/>
    <w:rsid w:val="00EF2B67"/>
    <w:rsid w:val="00EF2E1F"/>
    <w:rsid w:val="00EF2FD9"/>
    <w:rsid w:val="00EF30D1"/>
    <w:rsid w:val="00EF3126"/>
    <w:rsid w:val="00EF32C1"/>
    <w:rsid w:val="00EF33BD"/>
    <w:rsid w:val="00EF3BE9"/>
    <w:rsid w:val="00EF3F63"/>
    <w:rsid w:val="00EF3FB3"/>
    <w:rsid w:val="00EF40EC"/>
    <w:rsid w:val="00EF42CD"/>
    <w:rsid w:val="00EF4587"/>
    <w:rsid w:val="00EF4E09"/>
    <w:rsid w:val="00EF5008"/>
    <w:rsid w:val="00EF5396"/>
    <w:rsid w:val="00EF54B3"/>
    <w:rsid w:val="00EF5670"/>
    <w:rsid w:val="00EF59C0"/>
    <w:rsid w:val="00EF5E19"/>
    <w:rsid w:val="00EF5F9A"/>
    <w:rsid w:val="00EF62D7"/>
    <w:rsid w:val="00EF6529"/>
    <w:rsid w:val="00EF657A"/>
    <w:rsid w:val="00EF68E1"/>
    <w:rsid w:val="00EF6937"/>
    <w:rsid w:val="00EF749B"/>
    <w:rsid w:val="00EF75EA"/>
    <w:rsid w:val="00F004C3"/>
    <w:rsid w:val="00F0062B"/>
    <w:rsid w:val="00F00861"/>
    <w:rsid w:val="00F00C58"/>
    <w:rsid w:val="00F00E4F"/>
    <w:rsid w:val="00F011DE"/>
    <w:rsid w:val="00F01656"/>
    <w:rsid w:val="00F016A7"/>
    <w:rsid w:val="00F01793"/>
    <w:rsid w:val="00F021BC"/>
    <w:rsid w:val="00F024D3"/>
    <w:rsid w:val="00F02842"/>
    <w:rsid w:val="00F02A71"/>
    <w:rsid w:val="00F02D29"/>
    <w:rsid w:val="00F032B7"/>
    <w:rsid w:val="00F0391E"/>
    <w:rsid w:val="00F03FEE"/>
    <w:rsid w:val="00F04291"/>
    <w:rsid w:val="00F04636"/>
    <w:rsid w:val="00F04677"/>
    <w:rsid w:val="00F04E6F"/>
    <w:rsid w:val="00F05111"/>
    <w:rsid w:val="00F052AE"/>
    <w:rsid w:val="00F05A7F"/>
    <w:rsid w:val="00F0617B"/>
    <w:rsid w:val="00F06866"/>
    <w:rsid w:val="00F06BE9"/>
    <w:rsid w:val="00F06CD8"/>
    <w:rsid w:val="00F06E91"/>
    <w:rsid w:val="00F06F3E"/>
    <w:rsid w:val="00F0759F"/>
    <w:rsid w:val="00F07666"/>
    <w:rsid w:val="00F07CBE"/>
    <w:rsid w:val="00F10559"/>
    <w:rsid w:val="00F10678"/>
    <w:rsid w:val="00F10CD8"/>
    <w:rsid w:val="00F10DFC"/>
    <w:rsid w:val="00F110CA"/>
    <w:rsid w:val="00F11361"/>
    <w:rsid w:val="00F11808"/>
    <w:rsid w:val="00F11F87"/>
    <w:rsid w:val="00F121C4"/>
    <w:rsid w:val="00F124F6"/>
    <w:rsid w:val="00F128E1"/>
    <w:rsid w:val="00F1322C"/>
    <w:rsid w:val="00F1366D"/>
    <w:rsid w:val="00F13956"/>
    <w:rsid w:val="00F1439F"/>
    <w:rsid w:val="00F14706"/>
    <w:rsid w:val="00F149C5"/>
    <w:rsid w:val="00F14E93"/>
    <w:rsid w:val="00F14E97"/>
    <w:rsid w:val="00F1519D"/>
    <w:rsid w:val="00F1524D"/>
    <w:rsid w:val="00F154DA"/>
    <w:rsid w:val="00F1560E"/>
    <w:rsid w:val="00F1567A"/>
    <w:rsid w:val="00F161BE"/>
    <w:rsid w:val="00F1651F"/>
    <w:rsid w:val="00F16757"/>
    <w:rsid w:val="00F16CDA"/>
    <w:rsid w:val="00F16EFA"/>
    <w:rsid w:val="00F17036"/>
    <w:rsid w:val="00F17232"/>
    <w:rsid w:val="00F17B5A"/>
    <w:rsid w:val="00F2051F"/>
    <w:rsid w:val="00F205B1"/>
    <w:rsid w:val="00F20708"/>
    <w:rsid w:val="00F20B35"/>
    <w:rsid w:val="00F20E23"/>
    <w:rsid w:val="00F21D39"/>
    <w:rsid w:val="00F21F85"/>
    <w:rsid w:val="00F22989"/>
    <w:rsid w:val="00F22C75"/>
    <w:rsid w:val="00F22EDE"/>
    <w:rsid w:val="00F22FD9"/>
    <w:rsid w:val="00F23405"/>
    <w:rsid w:val="00F23418"/>
    <w:rsid w:val="00F23678"/>
    <w:rsid w:val="00F238CD"/>
    <w:rsid w:val="00F23E60"/>
    <w:rsid w:val="00F2475C"/>
    <w:rsid w:val="00F24E27"/>
    <w:rsid w:val="00F25624"/>
    <w:rsid w:val="00F25721"/>
    <w:rsid w:val="00F25911"/>
    <w:rsid w:val="00F25A50"/>
    <w:rsid w:val="00F261ED"/>
    <w:rsid w:val="00F26204"/>
    <w:rsid w:val="00F2649C"/>
    <w:rsid w:val="00F267C7"/>
    <w:rsid w:val="00F26C28"/>
    <w:rsid w:val="00F26D34"/>
    <w:rsid w:val="00F26D74"/>
    <w:rsid w:val="00F26F9C"/>
    <w:rsid w:val="00F2727B"/>
    <w:rsid w:val="00F27831"/>
    <w:rsid w:val="00F3005C"/>
    <w:rsid w:val="00F30770"/>
    <w:rsid w:val="00F30A81"/>
    <w:rsid w:val="00F30ADC"/>
    <w:rsid w:val="00F3105E"/>
    <w:rsid w:val="00F31E28"/>
    <w:rsid w:val="00F320AF"/>
    <w:rsid w:val="00F320C8"/>
    <w:rsid w:val="00F323C8"/>
    <w:rsid w:val="00F324FB"/>
    <w:rsid w:val="00F32CDE"/>
    <w:rsid w:val="00F33099"/>
    <w:rsid w:val="00F33643"/>
    <w:rsid w:val="00F33C49"/>
    <w:rsid w:val="00F33DDD"/>
    <w:rsid w:val="00F3431D"/>
    <w:rsid w:val="00F34999"/>
    <w:rsid w:val="00F34BBA"/>
    <w:rsid w:val="00F353A5"/>
    <w:rsid w:val="00F354ED"/>
    <w:rsid w:val="00F3550E"/>
    <w:rsid w:val="00F357CD"/>
    <w:rsid w:val="00F3582D"/>
    <w:rsid w:val="00F35B42"/>
    <w:rsid w:val="00F36183"/>
    <w:rsid w:val="00F36340"/>
    <w:rsid w:val="00F36A7D"/>
    <w:rsid w:val="00F36D65"/>
    <w:rsid w:val="00F37804"/>
    <w:rsid w:val="00F3789A"/>
    <w:rsid w:val="00F37A62"/>
    <w:rsid w:val="00F37CBA"/>
    <w:rsid w:val="00F37F1D"/>
    <w:rsid w:val="00F37FFE"/>
    <w:rsid w:val="00F400EA"/>
    <w:rsid w:val="00F4034E"/>
    <w:rsid w:val="00F40799"/>
    <w:rsid w:val="00F40A09"/>
    <w:rsid w:val="00F4101B"/>
    <w:rsid w:val="00F417AD"/>
    <w:rsid w:val="00F418FA"/>
    <w:rsid w:val="00F41CFC"/>
    <w:rsid w:val="00F41D68"/>
    <w:rsid w:val="00F41EA6"/>
    <w:rsid w:val="00F42065"/>
    <w:rsid w:val="00F42151"/>
    <w:rsid w:val="00F4218B"/>
    <w:rsid w:val="00F42301"/>
    <w:rsid w:val="00F42644"/>
    <w:rsid w:val="00F43342"/>
    <w:rsid w:val="00F43417"/>
    <w:rsid w:val="00F4343C"/>
    <w:rsid w:val="00F4345E"/>
    <w:rsid w:val="00F43612"/>
    <w:rsid w:val="00F43BA5"/>
    <w:rsid w:val="00F43D38"/>
    <w:rsid w:val="00F43E42"/>
    <w:rsid w:val="00F43EB1"/>
    <w:rsid w:val="00F43FC7"/>
    <w:rsid w:val="00F44426"/>
    <w:rsid w:val="00F4461D"/>
    <w:rsid w:val="00F45241"/>
    <w:rsid w:val="00F45779"/>
    <w:rsid w:val="00F466F9"/>
    <w:rsid w:val="00F467B6"/>
    <w:rsid w:val="00F46A78"/>
    <w:rsid w:val="00F46B72"/>
    <w:rsid w:val="00F47079"/>
    <w:rsid w:val="00F4759F"/>
    <w:rsid w:val="00F5041B"/>
    <w:rsid w:val="00F507D8"/>
    <w:rsid w:val="00F508D0"/>
    <w:rsid w:val="00F50A26"/>
    <w:rsid w:val="00F5125F"/>
    <w:rsid w:val="00F51676"/>
    <w:rsid w:val="00F51687"/>
    <w:rsid w:val="00F52866"/>
    <w:rsid w:val="00F52876"/>
    <w:rsid w:val="00F52A65"/>
    <w:rsid w:val="00F539D5"/>
    <w:rsid w:val="00F542BA"/>
    <w:rsid w:val="00F544D4"/>
    <w:rsid w:val="00F54788"/>
    <w:rsid w:val="00F54A4F"/>
    <w:rsid w:val="00F55183"/>
    <w:rsid w:val="00F55559"/>
    <w:rsid w:val="00F55863"/>
    <w:rsid w:val="00F55A43"/>
    <w:rsid w:val="00F55AE3"/>
    <w:rsid w:val="00F55B5D"/>
    <w:rsid w:val="00F55F8B"/>
    <w:rsid w:val="00F55FC4"/>
    <w:rsid w:val="00F56495"/>
    <w:rsid w:val="00F564E4"/>
    <w:rsid w:val="00F5690A"/>
    <w:rsid w:val="00F56923"/>
    <w:rsid w:val="00F56D1E"/>
    <w:rsid w:val="00F56D96"/>
    <w:rsid w:val="00F56F17"/>
    <w:rsid w:val="00F57170"/>
    <w:rsid w:val="00F6095E"/>
    <w:rsid w:val="00F60B98"/>
    <w:rsid w:val="00F60C99"/>
    <w:rsid w:val="00F611A3"/>
    <w:rsid w:val="00F614CE"/>
    <w:rsid w:val="00F6184A"/>
    <w:rsid w:val="00F61A67"/>
    <w:rsid w:val="00F6230B"/>
    <w:rsid w:val="00F62688"/>
    <w:rsid w:val="00F62AB8"/>
    <w:rsid w:val="00F62C86"/>
    <w:rsid w:val="00F62D52"/>
    <w:rsid w:val="00F630F1"/>
    <w:rsid w:val="00F633BC"/>
    <w:rsid w:val="00F63475"/>
    <w:rsid w:val="00F634BC"/>
    <w:rsid w:val="00F63509"/>
    <w:rsid w:val="00F636D2"/>
    <w:rsid w:val="00F639E1"/>
    <w:rsid w:val="00F63CA7"/>
    <w:rsid w:val="00F641B3"/>
    <w:rsid w:val="00F64202"/>
    <w:rsid w:val="00F64ADC"/>
    <w:rsid w:val="00F65836"/>
    <w:rsid w:val="00F65D01"/>
    <w:rsid w:val="00F65FD6"/>
    <w:rsid w:val="00F660A0"/>
    <w:rsid w:val="00F667E7"/>
    <w:rsid w:val="00F66D67"/>
    <w:rsid w:val="00F66EF5"/>
    <w:rsid w:val="00F66F93"/>
    <w:rsid w:val="00F70054"/>
    <w:rsid w:val="00F703B5"/>
    <w:rsid w:val="00F703E4"/>
    <w:rsid w:val="00F707EB"/>
    <w:rsid w:val="00F70813"/>
    <w:rsid w:val="00F70C5A"/>
    <w:rsid w:val="00F70CA8"/>
    <w:rsid w:val="00F71298"/>
    <w:rsid w:val="00F71788"/>
    <w:rsid w:val="00F71867"/>
    <w:rsid w:val="00F727DA"/>
    <w:rsid w:val="00F72851"/>
    <w:rsid w:val="00F7293A"/>
    <w:rsid w:val="00F72DC4"/>
    <w:rsid w:val="00F72F75"/>
    <w:rsid w:val="00F72FF0"/>
    <w:rsid w:val="00F73D2D"/>
    <w:rsid w:val="00F741AC"/>
    <w:rsid w:val="00F74285"/>
    <w:rsid w:val="00F7437E"/>
    <w:rsid w:val="00F74567"/>
    <w:rsid w:val="00F748E1"/>
    <w:rsid w:val="00F74E10"/>
    <w:rsid w:val="00F74EB9"/>
    <w:rsid w:val="00F7552A"/>
    <w:rsid w:val="00F756CA"/>
    <w:rsid w:val="00F757BA"/>
    <w:rsid w:val="00F757F1"/>
    <w:rsid w:val="00F75936"/>
    <w:rsid w:val="00F75CFC"/>
    <w:rsid w:val="00F75DCB"/>
    <w:rsid w:val="00F75F2C"/>
    <w:rsid w:val="00F7604B"/>
    <w:rsid w:val="00F761BE"/>
    <w:rsid w:val="00F7643C"/>
    <w:rsid w:val="00F76609"/>
    <w:rsid w:val="00F76746"/>
    <w:rsid w:val="00F76B07"/>
    <w:rsid w:val="00F76F22"/>
    <w:rsid w:val="00F776E0"/>
    <w:rsid w:val="00F77E18"/>
    <w:rsid w:val="00F804F4"/>
    <w:rsid w:val="00F80F87"/>
    <w:rsid w:val="00F811C9"/>
    <w:rsid w:val="00F812B6"/>
    <w:rsid w:val="00F81334"/>
    <w:rsid w:val="00F8149A"/>
    <w:rsid w:val="00F816DC"/>
    <w:rsid w:val="00F81ED4"/>
    <w:rsid w:val="00F8242C"/>
    <w:rsid w:val="00F827CC"/>
    <w:rsid w:val="00F82D1A"/>
    <w:rsid w:val="00F82F59"/>
    <w:rsid w:val="00F83883"/>
    <w:rsid w:val="00F83BE8"/>
    <w:rsid w:val="00F847EC"/>
    <w:rsid w:val="00F8519B"/>
    <w:rsid w:val="00F853A0"/>
    <w:rsid w:val="00F8566C"/>
    <w:rsid w:val="00F856D1"/>
    <w:rsid w:val="00F85ACC"/>
    <w:rsid w:val="00F861AD"/>
    <w:rsid w:val="00F86755"/>
    <w:rsid w:val="00F86983"/>
    <w:rsid w:val="00F86F9C"/>
    <w:rsid w:val="00F8775C"/>
    <w:rsid w:val="00F87B79"/>
    <w:rsid w:val="00F903A4"/>
    <w:rsid w:val="00F90DE6"/>
    <w:rsid w:val="00F91130"/>
    <w:rsid w:val="00F91377"/>
    <w:rsid w:val="00F919F9"/>
    <w:rsid w:val="00F91ECE"/>
    <w:rsid w:val="00F91EDE"/>
    <w:rsid w:val="00F92143"/>
    <w:rsid w:val="00F92FFD"/>
    <w:rsid w:val="00F93107"/>
    <w:rsid w:val="00F932E3"/>
    <w:rsid w:val="00F93481"/>
    <w:rsid w:val="00F93AD7"/>
    <w:rsid w:val="00F93C13"/>
    <w:rsid w:val="00F943C9"/>
    <w:rsid w:val="00F9490E"/>
    <w:rsid w:val="00F95489"/>
    <w:rsid w:val="00F95604"/>
    <w:rsid w:val="00F95AE9"/>
    <w:rsid w:val="00F95D9B"/>
    <w:rsid w:val="00F95DD5"/>
    <w:rsid w:val="00F95E1E"/>
    <w:rsid w:val="00F96052"/>
    <w:rsid w:val="00F960BA"/>
    <w:rsid w:val="00F96930"/>
    <w:rsid w:val="00F96E0C"/>
    <w:rsid w:val="00F96E88"/>
    <w:rsid w:val="00F97128"/>
    <w:rsid w:val="00F9736B"/>
    <w:rsid w:val="00F975CE"/>
    <w:rsid w:val="00F97DA0"/>
    <w:rsid w:val="00FA0275"/>
    <w:rsid w:val="00FA0EB1"/>
    <w:rsid w:val="00FA0EB7"/>
    <w:rsid w:val="00FA11F9"/>
    <w:rsid w:val="00FA1389"/>
    <w:rsid w:val="00FA16A1"/>
    <w:rsid w:val="00FA18EE"/>
    <w:rsid w:val="00FA1B53"/>
    <w:rsid w:val="00FA1B5F"/>
    <w:rsid w:val="00FA2275"/>
    <w:rsid w:val="00FA2372"/>
    <w:rsid w:val="00FA2597"/>
    <w:rsid w:val="00FA38A1"/>
    <w:rsid w:val="00FA3A5C"/>
    <w:rsid w:val="00FA4C28"/>
    <w:rsid w:val="00FA5BA2"/>
    <w:rsid w:val="00FA60C3"/>
    <w:rsid w:val="00FA68A7"/>
    <w:rsid w:val="00FA6B0D"/>
    <w:rsid w:val="00FA6D7B"/>
    <w:rsid w:val="00FA7021"/>
    <w:rsid w:val="00FB00D2"/>
    <w:rsid w:val="00FB0695"/>
    <w:rsid w:val="00FB0C72"/>
    <w:rsid w:val="00FB15E0"/>
    <w:rsid w:val="00FB16F2"/>
    <w:rsid w:val="00FB1819"/>
    <w:rsid w:val="00FB1C76"/>
    <w:rsid w:val="00FB3387"/>
    <w:rsid w:val="00FB3B3F"/>
    <w:rsid w:val="00FB4B7C"/>
    <w:rsid w:val="00FB4C34"/>
    <w:rsid w:val="00FB4F98"/>
    <w:rsid w:val="00FB50FB"/>
    <w:rsid w:val="00FB5160"/>
    <w:rsid w:val="00FB5819"/>
    <w:rsid w:val="00FB6159"/>
    <w:rsid w:val="00FB63B8"/>
    <w:rsid w:val="00FB64B1"/>
    <w:rsid w:val="00FB6B4F"/>
    <w:rsid w:val="00FB744E"/>
    <w:rsid w:val="00FB7930"/>
    <w:rsid w:val="00FB7C6C"/>
    <w:rsid w:val="00FC008F"/>
    <w:rsid w:val="00FC0D60"/>
    <w:rsid w:val="00FC14DC"/>
    <w:rsid w:val="00FC1719"/>
    <w:rsid w:val="00FC1BD6"/>
    <w:rsid w:val="00FC1DD0"/>
    <w:rsid w:val="00FC1E30"/>
    <w:rsid w:val="00FC1E69"/>
    <w:rsid w:val="00FC2DDF"/>
    <w:rsid w:val="00FC3388"/>
    <w:rsid w:val="00FC358C"/>
    <w:rsid w:val="00FC3C69"/>
    <w:rsid w:val="00FC3DA0"/>
    <w:rsid w:val="00FC3DDA"/>
    <w:rsid w:val="00FC4286"/>
    <w:rsid w:val="00FC46A5"/>
    <w:rsid w:val="00FC48FA"/>
    <w:rsid w:val="00FC493E"/>
    <w:rsid w:val="00FC50A7"/>
    <w:rsid w:val="00FC514E"/>
    <w:rsid w:val="00FC540A"/>
    <w:rsid w:val="00FC5B4F"/>
    <w:rsid w:val="00FC651A"/>
    <w:rsid w:val="00FC6A08"/>
    <w:rsid w:val="00FC6B15"/>
    <w:rsid w:val="00FC7084"/>
    <w:rsid w:val="00FC723C"/>
    <w:rsid w:val="00FC7AE1"/>
    <w:rsid w:val="00FD03A1"/>
    <w:rsid w:val="00FD05EB"/>
    <w:rsid w:val="00FD091B"/>
    <w:rsid w:val="00FD0975"/>
    <w:rsid w:val="00FD09F3"/>
    <w:rsid w:val="00FD0A6C"/>
    <w:rsid w:val="00FD16C5"/>
    <w:rsid w:val="00FD1889"/>
    <w:rsid w:val="00FD1CE6"/>
    <w:rsid w:val="00FD2063"/>
    <w:rsid w:val="00FD20DB"/>
    <w:rsid w:val="00FD2960"/>
    <w:rsid w:val="00FD29CC"/>
    <w:rsid w:val="00FD2D38"/>
    <w:rsid w:val="00FD3036"/>
    <w:rsid w:val="00FD3751"/>
    <w:rsid w:val="00FD3B18"/>
    <w:rsid w:val="00FD3C70"/>
    <w:rsid w:val="00FD3DE8"/>
    <w:rsid w:val="00FD3EAF"/>
    <w:rsid w:val="00FD3F65"/>
    <w:rsid w:val="00FD4525"/>
    <w:rsid w:val="00FD4DFF"/>
    <w:rsid w:val="00FD4F35"/>
    <w:rsid w:val="00FD5191"/>
    <w:rsid w:val="00FD51BE"/>
    <w:rsid w:val="00FD5476"/>
    <w:rsid w:val="00FD55EA"/>
    <w:rsid w:val="00FD5B39"/>
    <w:rsid w:val="00FD5DE2"/>
    <w:rsid w:val="00FD5E81"/>
    <w:rsid w:val="00FD64BB"/>
    <w:rsid w:val="00FD69D0"/>
    <w:rsid w:val="00FD6E53"/>
    <w:rsid w:val="00FD72F7"/>
    <w:rsid w:val="00FD74B5"/>
    <w:rsid w:val="00FD7B7B"/>
    <w:rsid w:val="00FD7BBB"/>
    <w:rsid w:val="00FE04C2"/>
    <w:rsid w:val="00FE0FA7"/>
    <w:rsid w:val="00FE20A5"/>
    <w:rsid w:val="00FE25A8"/>
    <w:rsid w:val="00FE26D9"/>
    <w:rsid w:val="00FE2C8F"/>
    <w:rsid w:val="00FE37E4"/>
    <w:rsid w:val="00FE434B"/>
    <w:rsid w:val="00FE449D"/>
    <w:rsid w:val="00FE4512"/>
    <w:rsid w:val="00FE4645"/>
    <w:rsid w:val="00FE4A46"/>
    <w:rsid w:val="00FE5B41"/>
    <w:rsid w:val="00FE5F95"/>
    <w:rsid w:val="00FE5FD4"/>
    <w:rsid w:val="00FE61BF"/>
    <w:rsid w:val="00FE6212"/>
    <w:rsid w:val="00FE6463"/>
    <w:rsid w:val="00FE72EF"/>
    <w:rsid w:val="00FE77C6"/>
    <w:rsid w:val="00FE791B"/>
    <w:rsid w:val="00FE7FBF"/>
    <w:rsid w:val="00FF01FD"/>
    <w:rsid w:val="00FF03F9"/>
    <w:rsid w:val="00FF0A14"/>
    <w:rsid w:val="00FF0BAD"/>
    <w:rsid w:val="00FF10E0"/>
    <w:rsid w:val="00FF157E"/>
    <w:rsid w:val="00FF17A9"/>
    <w:rsid w:val="00FF187A"/>
    <w:rsid w:val="00FF18CF"/>
    <w:rsid w:val="00FF1AF9"/>
    <w:rsid w:val="00FF1F91"/>
    <w:rsid w:val="00FF298C"/>
    <w:rsid w:val="00FF2CD7"/>
    <w:rsid w:val="00FF2F88"/>
    <w:rsid w:val="00FF3218"/>
    <w:rsid w:val="00FF3310"/>
    <w:rsid w:val="00FF342F"/>
    <w:rsid w:val="00FF3465"/>
    <w:rsid w:val="00FF36CF"/>
    <w:rsid w:val="00FF3BD1"/>
    <w:rsid w:val="00FF3CFC"/>
    <w:rsid w:val="00FF3FF4"/>
    <w:rsid w:val="00FF45D9"/>
    <w:rsid w:val="00FF49AA"/>
    <w:rsid w:val="00FF5297"/>
    <w:rsid w:val="00FF547D"/>
    <w:rsid w:val="00FF56F3"/>
    <w:rsid w:val="00FF5A51"/>
    <w:rsid w:val="00FF5BD7"/>
    <w:rsid w:val="00FF5DD4"/>
    <w:rsid w:val="00FF69B7"/>
    <w:rsid w:val="00FF7653"/>
    <w:rsid w:val="00FF7A8E"/>
    <w:rsid w:val="00FF7D94"/>
    <w:rsid w:val="00FF7E2B"/>
    <w:rsid w:val="00FF7FA7"/>
    <w:rsid w:val="1E9ACB0F"/>
    <w:rsid w:val="6C5743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0B1F88E-FE44-BD41-A3E6-BA9645CD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776B"/>
    <w:pPr>
      <w:spacing w:after="0" w:line="300" w:lineRule="atLeast"/>
      <w:ind w:left="567"/>
    </w:pPr>
    <w:rPr>
      <w:rFonts w:ascii="Trebuchet MS" w:hAnsi="Trebuchet MS"/>
      <w:sz w:val="18"/>
    </w:rPr>
  </w:style>
  <w:style w:type="paragraph" w:styleId="Nadpis1">
    <w:name w:val="heading 1"/>
    <w:aliases w:val="Heading - Chapter,(Section),MOVE-it 1,Heading 11,Hoofdstuk,Επικεφαλίδα 1 ΌΧΙ,Heading 1 - Main Heading of Document,F3 Heading 1 - Section,Numbered - 1,Section,Chapter Hdg,h1,CH TITLE 1,Chapter Heading,AChapter,Sub code header,Chapter,NEA1,1"/>
    <w:basedOn w:val="Odstavecseseznamem"/>
    <w:next w:val="Normln"/>
    <w:link w:val="Nadpis1Char"/>
    <w:uiPriority w:val="9"/>
    <w:qFormat/>
    <w:rsid w:val="002022F4"/>
    <w:pPr>
      <w:numPr>
        <w:numId w:val="3"/>
      </w:numPr>
      <w:spacing w:before="360" w:after="240"/>
      <w:contextualSpacing w:val="0"/>
      <w:outlineLvl w:val="0"/>
    </w:pPr>
    <w:rPr>
      <w:b/>
      <w:color w:val="005962"/>
      <w:sz w:val="40"/>
    </w:rPr>
  </w:style>
  <w:style w:type="paragraph" w:styleId="Nadpis2">
    <w:name w:val="heading 2"/>
    <w:aliases w:val="Heading 2 - Paragrapf,2,Paragraaf,NEA2,14,H2,Se,Section1,Section2,Section3,NEA21,subhead 1,h2,subhead 11,h21,subhead 12,h22,subhead 13,h23,subhead 14,h24,subhead 15,h25,subhead 111,h211,subhead 121,h221,subhead 131,h231,subhead 141,h241,h26"/>
    <w:basedOn w:val="Odstavecseseznamem"/>
    <w:next w:val="Normln"/>
    <w:link w:val="Nadpis2Char"/>
    <w:uiPriority w:val="9"/>
    <w:qFormat/>
    <w:rsid w:val="00DA50DB"/>
    <w:pPr>
      <w:numPr>
        <w:ilvl w:val="1"/>
        <w:numId w:val="3"/>
      </w:numPr>
      <w:spacing w:before="120" w:after="120"/>
      <w:ind w:left="567" w:hanging="567"/>
      <w:outlineLvl w:val="1"/>
    </w:pPr>
    <w:rPr>
      <w:b/>
      <w:color w:val="005962"/>
      <w:sz w:val="24"/>
    </w:rPr>
  </w:style>
  <w:style w:type="paragraph" w:styleId="Nadpis3">
    <w:name w:val="heading 3"/>
    <w:aliases w:val="Heading 3 - Subparagraph,Heading 31,Heading 32,Heading 33,Heading 34,Heading 35,Heading 36,Heading 311,Heading 321,Heading 331,Heading 341,Heading 351,Heading 37,Heading 312,Heading 322,Heading 332,Heading 342,Heading 352,Heading 313"/>
    <w:basedOn w:val="Odstavecseseznamem"/>
    <w:next w:val="Normln"/>
    <w:link w:val="Nadpis3Char"/>
    <w:uiPriority w:val="9"/>
    <w:qFormat/>
    <w:rsid w:val="00FD72F7"/>
    <w:pPr>
      <w:numPr>
        <w:ilvl w:val="2"/>
        <w:numId w:val="3"/>
      </w:numPr>
      <w:outlineLvl w:val="2"/>
    </w:pPr>
    <w:rPr>
      <w:b/>
      <w:i/>
      <w:color w:val="F04E30"/>
    </w:rPr>
  </w:style>
  <w:style w:type="paragraph" w:styleId="Nadpis4">
    <w:name w:val="heading 4"/>
    <w:basedOn w:val="Normln"/>
    <w:next w:val="Normln"/>
    <w:link w:val="Nadpis4Char"/>
    <w:uiPriority w:val="9"/>
    <w:qFormat/>
    <w:rsid w:val="00B241E9"/>
    <w:pPr>
      <w:keepNext/>
      <w:keepLines/>
      <w:ind w:left="0" w:firstLine="567"/>
      <w:outlineLvl w:val="3"/>
    </w:pPr>
    <w:rPr>
      <w:rFonts w:eastAsiaTheme="majorEastAsia" w:cstheme="majorBidi"/>
      <w:b/>
      <w:bCs/>
      <w:iCs/>
      <w:color w:val="F04E30"/>
    </w:rPr>
  </w:style>
  <w:style w:type="paragraph" w:styleId="Nadpis5">
    <w:name w:val="heading 5"/>
    <w:basedOn w:val="Normln"/>
    <w:next w:val="Normln"/>
    <w:link w:val="Nadpis5Char"/>
    <w:uiPriority w:val="9"/>
    <w:unhideWhenUsed/>
    <w:qFormat/>
    <w:rsid w:val="0021780D"/>
    <w:pPr>
      <w:keepNext/>
      <w:keepLines/>
      <w:outlineLvl w:val="4"/>
    </w:pPr>
    <w:rPr>
      <w:rFonts w:eastAsiaTheme="majorEastAsia" w:cstheme="majorBidi"/>
      <w:b/>
      <w:bCs/>
      <w:color w:val="002C54" w:themeColor="text2"/>
      <w:lang w:val="en-GB"/>
    </w:rPr>
  </w:style>
  <w:style w:type="paragraph" w:styleId="Nadpis6">
    <w:name w:val="heading 6"/>
    <w:basedOn w:val="Normln"/>
    <w:next w:val="Normln"/>
    <w:uiPriority w:val="9"/>
    <w:unhideWhenUsed/>
    <w:qFormat/>
    <w:rsid w:val="007835EF"/>
    <w:pPr>
      <w:keepNext/>
      <w:keepLines/>
      <w:spacing w:before="40"/>
      <w:outlineLvl w:val="5"/>
    </w:pPr>
    <w:rPr>
      <w:rFonts w:eastAsiaTheme="majorEastAsia" w:cstheme="majorBidi"/>
      <w:b/>
      <w:color w:val="002C30" w:themeColor="accent1" w:themeShade="7F"/>
    </w:rPr>
  </w:style>
  <w:style w:type="paragraph" w:styleId="Nadpis7">
    <w:name w:val="heading 7"/>
    <w:basedOn w:val="Normln"/>
    <w:next w:val="Normln"/>
    <w:uiPriority w:val="9"/>
    <w:unhideWhenUsed/>
    <w:qFormat/>
    <w:rsid w:val="00AA1D30"/>
    <w:pPr>
      <w:keepNext/>
      <w:keepLines/>
      <w:spacing w:before="40"/>
      <w:outlineLvl w:val="6"/>
    </w:pPr>
    <w:rPr>
      <w:rFonts w:eastAsiaTheme="majorEastAsia" w:cstheme="majorBidi"/>
      <w:i/>
      <w:iCs/>
      <w:color w:val="002C30" w:themeColor="accent1" w:themeShade="7F"/>
    </w:rPr>
  </w:style>
  <w:style w:type="paragraph" w:styleId="Nadpis8">
    <w:name w:val="heading 8"/>
    <w:basedOn w:val="Normln"/>
    <w:next w:val="Normln"/>
    <w:uiPriority w:val="9"/>
    <w:unhideWhenUsed/>
    <w:rsid w:val="00AA1D3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00DC"/>
    <w:pPr>
      <w:tabs>
        <w:tab w:val="center" w:pos="4513"/>
        <w:tab w:val="right" w:pos="9026"/>
      </w:tabs>
      <w:spacing w:line="240" w:lineRule="auto"/>
    </w:pPr>
  </w:style>
  <w:style w:type="character" w:customStyle="1" w:styleId="ZhlavChar">
    <w:name w:val="Záhlaví Char"/>
    <w:basedOn w:val="Standardnpsmoodstavce"/>
    <w:link w:val="Zhlav"/>
    <w:uiPriority w:val="99"/>
    <w:rsid w:val="00D900DC"/>
  </w:style>
  <w:style w:type="paragraph" w:styleId="Zpat">
    <w:name w:val="footer"/>
    <w:basedOn w:val="Normln"/>
    <w:link w:val="ZpatChar"/>
    <w:uiPriority w:val="99"/>
    <w:unhideWhenUsed/>
    <w:rsid w:val="00D900DC"/>
    <w:pPr>
      <w:tabs>
        <w:tab w:val="center" w:pos="4513"/>
        <w:tab w:val="right" w:pos="9026"/>
      </w:tabs>
      <w:spacing w:line="240" w:lineRule="auto"/>
    </w:pPr>
  </w:style>
  <w:style w:type="character" w:customStyle="1" w:styleId="ZpatChar">
    <w:name w:val="Zápatí Char"/>
    <w:basedOn w:val="Standardnpsmoodstavce"/>
    <w:link w:val="Zpat"/>
    <w:uiPriority w:val="99"/>
    <w:rsid w:val="00D900DC"/>
  </w:style>
  <w:style w:type="paragraph" w:styleId="Textbubliny">
    <w:name w:val="Balloon Text"/>
    <w:basedOn w:val="Normln"/>
    <w:link w:val="TextbublinyChar"/>
    <w:uiPriority w:val="99"/>
    <w:semiHidden/>
    <w:unhideWhenUsed/>
    <w:rsid w:val="003D10C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10CE"/>
    <w:rPr>
      <w:rFonts w:ascii="Tahoma" w:hAnsi="Tahoma" w:cs="Tahoma"/>
      <w:sz w:val="16"/>
      <w:szCs w:val="16"/>
    </w:rPr>
  </w:style>
  <w:style w:type="paragraph" w:customStyle="1" w:styleId="NoteLevel1">
    <w:name w:val="Note Level 1"/>
    <w:basedOn w:val="Normln"/>
    <w:semiHidden/>
    <w:rsid w:val="003D10CE"/>
    <w:pPr>
      <w:keepNext/>
      <w:tabs>
        <w:tab w:val="num" w:pos="0"/>
      </w:tabs>
      <w:spacing w:line="240" w:lineRule="auto"/>
      <w:contextualSpacing/>
      <w:outlineLvl w:val="0"/>
    </w:pPr>
    <w:rPr>
      <w:rFonts w:ascii="Verdana" w:eastAsia="Times New Roman" w:hAnsi="Verdana" w:cs="Times New Roman"/>
      <w:szCs w:val="18"/>
    </w:rPr>
  </w:style>
  <w:style w:type="paragraph" w:customStyle="1" w:styleId="NoteLevel2">
    <w:name w:val="Note Level 2"/>
    <w:basedOn w:val="Normln"/>
    <w:semiHidden/>
    <w:rsid w:val="003D10CE"/>
    <w:pPr>
      <w:keepNext/>
      <w:tabs>
        <w:tab w:val="num" w:pos="720"/>
      </w:tabs>
      <w:spacing w:line="240" w:lineRule="auto"/>
      <w:ind w:left="1080" w:hanging="360"/>
      <w:contextualSpacing/>
      <w:outlineLvl w:val="1"/>
    </w:pPr>
    <w:rPr>
      <w:rFonts w:ascii="Verdana" w:eastAsia="Times New Roman" w:hAnsi="Verdana" w:cs="Times New Roman"/>
      <w:szCs w:val="18"/>
    </w:rPr>
  </w:style>
  <w:style w:type="paragraph" w:customStyle="1" w:styleId="NoteLevel3">
    <w:name w:val="Note Level 3"/>
    <w:basedOn w:val="Normln"/>
    <w:semiHidden/>
    <w:rsid w:val="003D10CE"/>
    <w:pPr>
      <w:keepNext/>
      <w:tabs>
        <w:tab w:val="num" w:pos="1440"/>
      </w:tabs>
      <w:spacing w:line="240" w:lineRule="auto"/>
      <w:ind w:left="1800" w:hanging="360"/>
      <w:contextualSpacing/>
      <w:outlineLvl w:val="2"/>
    </w:pPr>
    <w:rPr>
      <w:rFonts w:ascii="Verdana" w:eastAsia="Times New Roman" w:hAnsi="Verdana" w:cs="Times New Roman"/>
      <w:szCs w:val="18"/>
    </w:rPr>
  </w:style>
  <w:style w:type="paragraph" w:customStyle="1" w:styleId="NoteLevel4">
    <w:name w:val="Note Level 4"/>
    <w:basedOn w:val="Normln"/>
    <w:semiHidden/>
    <w:rsid w:val="003D10CE"/>
    <w:pPr>
      <w:keepNext/>
      <w:tabs>
        <w:tab w:val="num" w:pos="2160"/>
      </w:tabs>
      <w:spacing w:line="240" w:lineRule="auto"/>
      <w:ind w:left="2520" w:hanging="360"/>
      <w:contextualSpacing/>
      <w:outlineLvl w:val="3"/>
    </w:pPr>
    <w:rPr>
      <w:rFonts w:ascii="Verdana" w:eastAsia="Times New Roman" w:hAnsi="Verdana" w:cs="Times New Roman"/>
      <w:szCs w:val="18"/>
    </w:rPr>
  </w:style>
  <w:style w:type="paragraph" w:customStyle="1" w:styleId="NoteLevel5">
    <w:name w:val="Note Level 5"/>
    <w:basedOn w:val="Normln"/>
    <w:semiHidden/>
    <w:rsid w:val="003D10CE"/>
    <w:pPr>
      <w:keepNext/>
      <w:tabs>
        <w:tab w:val="num" w:pos="2880"/>
      </w:tabs>
      <w:spacing w:line="240" w:lineRule="auto"/>
      <w:ind w:left="3240" w:hanging="360"/>
      <w:contextualSpacing/>
      <w:outlineLvl w:val="4"/>
    </w:pPr>
    <w:rPr>
      <w:rFonts w:ascii="Verdana" w:eastAsia="Times New Roman" w:hAnsi="Verdana" w:cs="Times New Roman"/>
      <w:szCs w:val="18"/>
    </w:rPr>
  </w:style>
  <w:style w:type="paragraph" w:customStyle="1" w:styleId="NoteLevel6">
    <w:name w:val="Note Level 6"/>
    <w:basedOn w:val="Normln"/>
    <w:semiHidden/>
    <w:rsid w:val="003D10CE"/>
    <w:pPr>
      <w:keepNext/>
      <w:tabs>
        <w:tab w:val="num" w:pos="3600"/>
      </w:tabs>
      <w:spacing w:line="240" w:lineRule="auto"/>
      <w:ind w:left="3960" w:hanging="360"/>
      <w:contextualSpacing/>
      <w:outlineLvl w:val="5"/>
    </w:pPr>
    <w:rPr>
      <w:rFonts w:ascii="Verdana" w:eastAsia="Times New Roman" w:hAnsi="Verdana" w:cs="Times New Roman"/>
      <w:szCs w:val="18"/>
    </w:rPr>
  </w:style>
  <w:style w:type="paragraph" w:customStyle="1" w:styleId="NoteLevel7">
    <w:name w:val="Note Level 7"/>
    <w:basedOn w:val="Normln"/>
    <w:semiHidden/>
    <w:rsid w:val="003D10CE"/>
    <w:pPr>
      <w:keepNext/>
      <w:tabs>
        <w:tab w:val="num" w:pos="4320"/>
      </w:tabs>
      <w:spacing w:line="240" w:lineRule="auto"/>
      <w:ind w:left="4680" w:hanging="360"/>
      <w:contextualSpacing/>
      <w:outlineLvl w:val="6"/>
    </w:pPr>
    <w:rPr>
      <w:rFonts w:ascii="Verdana" w:eastAsia="Times New Roman" w:hAnsi="Verdana" w:cs="Times New Roman"/>
      <w:szCs w:val="18"/>
    </w:rPr>
  </w:style>
  <w:style w:type="paragraph" w:customStyle="1" w:styleId="NoteLevel8">
    <w:name w:val="Note Level 8"/>
    <w:basedOn w:val="Normln"/>
    <w:semiHidden/>
    <w:rsid w:val="003D10CE"/>
    <w:pPr>
      <w:keepNext/>
      <w:tabs>
        <w:tab w:val="num" w:pos="5040"/>
      </w:tabs>
      <w:spacing w:line="240" w:lineRule="auto"/>
      <w:ind w:left="5400" w:hanging="360"/>
      <w:contextualSpacing/>
      <w:outlineLvl w:val="7"/>
    </w:pPr>
    <w:rPr>
      <w:rFonts w:ascii="Verdana" w:eastAsia="Times New Roman" w:hAnsi="Verdana" w:cs="Times New Roman"/>
      <w:szCs w:val="18"/>
    </w:rPr>
  </w:style>
  <w:style w:type="paragraph" w:customStyle="1" w:styleId="NoteLevel9">
    <w:name w:val="Note Level 9"/>
    <w:basedOn w:val="Normln"/>
    <w:semiHidden/>
    <w:rsid w:val="003D10CE"/>
    <w:pPr>
      <w:keepNext/>
      <w:tabs>
        <w:tab w:val="num" w:pos="5760"/>
      </w:tabs>
      <w:spacing w:line="240" w:lineRule="auto"/>
      <w:ind w:left="6120" w:hanging="360"/>
      <w:contextualSpacing/>
      <w:outlineLvl w:val="8"/>
    </w:pPr>
    <w:rPr>
      <w:rFonts w:ascii="Verdana" w:eastAsia="Times New Roman" w:hAnsi="Verdana" w:cs="Times New Roman"/>
      <w:szCs w:val="18"/>
    </w:rPr>
  </w:style>
  <w:style w:type="character" w:customStyle="1" w:styleId="Nadpis1Char">
    <w:name w:val="Nadpis 1 Char"/>
    <w:aliases w:val="Heading - Chapter Char,(Section) Char,MOVE-it 1 Char,Heading 11 Char,Hoofdstuk Char,Επικεφαλίδα 1 ΌΧΙ Char,Heading 1 - Main Heading of Document Char,F3 Heading 1 - Section Char,Numbered - 1 Char,Section Char,Chapter Hdg Char,h1 Char,1 Char"/>
    <w:basedOn w:val="Standardnpsmoodstavce"/>
    <w:link w:val="Nadpis1"/>
    <w:uiPriority w:val="9"/>
    <w:rsid w:val="002022F4"/>
    <w:rPr>
      <w:rFonts w:ascii="Trebuchet MS" w:hAnsi="Trebuchet MS"/>
      <w:b/>
      <w:color w:val="005962"/>
      <w:sz w:val="40"/>
      <w:lang w:val="en-GB"/>
    </w:rPr>
  </w:style>
  <w:style w:type="character" w:customStyle="1" w:styleId="Nadpis2Char">
    <w:name w:val="Nadpis 2 Char"/>
    <w:aliases w:val="Heading 2 - Paragrapf Char,2 Char,Paragraaf Char,NEA2 Char,14 Char,H2 Char,Se Char,Section1 Char,Section2 Char,Section3 Char,NEA21 Char,subhead 1 Char,h2 Char,subhead 11 Char,h21 Char,subhead 12 Char,h22 Char,subhead 13 Char,h23 Char"/>
    <w:basedOn w:val="Standardnpsmoodstavce"/>
    <w:link w:val="Nadpis2"/>
    <w:uiPriority w:val="9"/>
    <w:rsid w:val="00DA50DB"/>
    <w:rPr>
      <w:rFonts w:ascii="Trebuchet MS" w:hAnsi="Trebuchet MS"/>
      <w:b/>
      <w:color w:val="005962"/>
      <w:sz w:val="24"/>
      <w:lang w:val="en-GB"/>
    </w:rPr>
  </w:style>
  <w:style w:type="paragraph" w:styleId="Nzev">
    <w:name w:val="Title"/>
    <w:basedOn w:val="Normln"/>
    <w:next w:val="Normln"/>
    <w:link w:val="NzevChar"/>
    <w:uiPriority w:val="10"/>
    <w:qFormat/>
    <w:rsid w:val="008F78C8"/>
    <w:pPr>
      <w:pBdr>
        <w:bottom w:val="single" w:sz="8" w:space="4" w:color="005962" w:themeColor="accent1"/>
      </w:pBdr>
      <w:spacing w:after="300" w:line="240" w:lineRule="auto"/>
      <w:contextualSpacing/>
      <w:jc w:val="center"/>
    </w:pPr>
    <w:rPr>
      <w:rFonts w:eastAsiaTheme="majorEastAsia" w:cstheme="majorBidi"/>
      <w:spacing w:val="5"/>
      <w:kern w:val="28"/>
      <w:sz w:val="40"/>
      <w:szCs w:val="52"/>
    </w:rPr>
  </w:style>
  <w:style w:type="character" w:customStyle="1" w:styleId="NzevChar">
    <w:name w:val="Název Char"/>
    <w:basedOn w:val="Standardnpsmoodstavce"/>
    <w:link w:val="Nzev"/>
    <w:uiPriority w:val="10"/>
    <w:semiHidden/>
    <w:rsid w:val="00B85CB0"/>
    <w:rPr>
      <w:rFonts w:ascii="Trebuchet MS" w:eastAsiaTheme="majorEastAsia" w:hAnsi="Trebuchet MS" w:cstheme="majorBidi"/>
      <w:spacing w:val="5"/>
      <w:kern w:val="28"/>
      <w:sz w:val="40"/>
      <w:szCs w:val="52"/>
    </w:rPr>
  </w:style>
  <w:style w:type="paragraph" w:styleId="Bezmezer">
    <w:name w:val="No Spacing"/>
    <w:uiPriority w:val="1"/>
    <w:unhideWhenUsed/>
    <w:qFormat/>
    <w:rsid w:val="00007DF2"/>
    <w:pPr>
      <w:spacing w:after="0" w:line="240" w:lineRule="auto"/>
    </w:pPr>
  </w:style>
  <w:style w:type="paragraph" w:styleId="Odstavecseseznamem">
    <w:name w:val="List Paragraph"/>
    <w:aliases w:val="1st elvel bullet green,1st level - Bullet List Paragraph,Lettre d'introduction,Paragrafo elenco,List Paragraph1,Medium Grid 1 - Accent 21,FooterText,Paragraphe de liste1,Heading 2_sj,Numbered Para 1,Dot pt,No Spacing1,Bullet 1,lp1"/>
    <w:basedOn w:val="Normln"/>
    <w:link w:val="OdstavecseseznamemChar"/>
    <w:uiPriority w:val="34"/>
    <w:qFormat/>
    <w:rsid w:val="003367E5"/>
    <w:pPr>
      <w:numPr>
        <w:numId w:val="8"/>
      </w:numPr>
      <w:tabs>
        <w:tab w:val="left" w:pos="851"/>
      </w:tabs>
      <w:contextualSpacing/>
    </w:pPr>
    <w:rPr>
      <w:lang w:val="en-GB"/>
    </w:rPr>
  </w:style>
  <w:style w:type="numbering" w:customStyle="1" w:styleId="Style1">
    <w:name w:val="Style1"/>
    <w:uiPriority w:val="99"/>
    <w:rsid w:val="006526A8"/>
    <w:pPr>
      <w:numPr>
        <w:numId w:val="1"/>
      </w:numPr>
    </w:pPr>
  </w:style>
  <w:style w:type="numbering" w:customStyle="1" w:styleId="Style2">
    <w:name w:val="Style2"/>
    <w:uiPriority w:val="99"/>
    <w:rsid w:val="003055E8"/>
    <w:pPr>
      <w:numPr>
        <w:numId w:val="2"/>
      </w:numPr>
    </w:pPr>
  </w:style>
  <w:style w:type="character" w:customStyle="1" w:styleId="Nadpis3Char">
    <w:name w:val="Nadpis 3 Char"/>
    <w:aliases w:val="Heading 3 - Subparagraph Char,Heading 31 Char,Heading 32 Char,Heading 33 Char,Heading 34 Char,Heading 35 Char,Heading 36 Char,Heading 311 Char,Heading 321 Char,Heading 331 Char,Heading 341 Char,Heading 351 Char,Heading 37 Char"/>
    <w:basedOn w:val="Standardnpsmoodstavce"/>
    <w:link w:val="Nadpis3"/>
    <w:uiPriority w:val="9"/>
    <w:rsid w:val="00456CCB"/>
    <w:rPr>
      <w:rFonts w:ascii="Trebuchet MS" w:hAnsi="Trebuchet MS"/>
      <w:b/>
      <w:i/>
      <w:color w:val="F04E30"/>
      <w:sz w:val="18"/>
      <w:lang w:val="en-GB"/>
    </w:rPr>
  </w:style>
  <w:style w:type="character" w:customStyle="1" w:styleId="Nadpis4Char">
    <w:name w:val="Nadpis 4 Char"/>
    <w:basedOn w:val="Standardnpsmoodstavce"/>
    <w:link w:val="Nadpis4"/>
    <w:uiPriority w:val="9"/>
    <w:rsid w:val="00B241E9"/>
    <w:rPr>
      <w:rFonts w:ascii="Trebuchet MS" w:eastAsiaTheme="majorEastAsia" w:hAnsi="Trebuchet MS" w:cstheme="majorBidi"/>
      <w:b/>
      <w:bCs/>
      <w:iCs/>
      <w:color w:val="F04E30"/>
      <w:sz w:val="18"/>
    </w:rPr>
  </w:style>
  <w:style w:type="character" w:customStyle="1" w:styleId="Nadpis5Char">
    <w:name w:val="Nadpis 5 Char"/>
    <w:basedOn w:val="Standardnpsmoodstavce"/>
    <w:link w:val="Nadpis5"/>
    <w:uiPriority w:val="9"/>
    <w:rsid w:val="0021780D"/>
    <w:rPr>
      <w:rFonts w:ascii="Trebuchet MS" w:eastAsiaTheme="majorEastAsia" w:hAnsi="Trebuchet MS" w:cstheme="majorBidi"/>
      <w:b/>
      <w:bCs/>
      <w:color w:val="002C54" w:themeColor="text2"/>
      <w:sz w:val="18"/>
      <w:lang w:val="en-GB"/>
    </w:rPr>
  </w:style>
  <w:style w:type="paragraph" w:customStyle="1" w:styleId="broodtekst">
    <w:name w:val="broodtekst"/>
    <w:basedOn w:val="Normln"/>
    <w:link w:val="broodtekstChar"/>
    <w:uiPriority w:val="99"/>
    <w:rsid w:val="00BC3C79"/>
    <w:pPr>
      <w:keepNext/>
      <w:spacing w:line="240" w:lineRule="auto"/>
      <w:ind w:left="360" w:hanging="360"/>
      <w:contextualSpacing/>
      <w:outlineLvl w:val="0"/>
    </w:pPr>
    <w:rPr>
      <w:rFonts w:eastAsia="Times New Roman" w:cs="Times New Roman"/>
      <w:szCs w:val="18"/>
    </w:rPr>
  </w:style>
  <w:style w:type="character" w:customStyle="1" w:styleId="broodtekstChar">
    <w:name w:val="broodtekst Char"/>
    <w:link w:val="broodtekst"/>
    <w:uiPriority w:val="99"/>
    <w:rsid w:val="00BC3C79"/>
    <w:rPr>
      <w:rFonts w:ascii="Trebuchet MS" w:eastAsia="Times New Roman" w:hAnsi="Trebuchet MS" w:cs="Times New Roman"/>
      <w:sz w:val="18"/>
      <w:szCs w:val="18"/>
    </w:rPr>
  </w:style>
  <w:style w:type="character" w:styleId="Nzevknihy">
    <w:name w:val="Book Title"/>
    <w:basedOn w:val="Standardnpsmoodstavce"/>
    <w:uiPriority w:val="33"/>
    <w:qFormat/>
    <w:rsid w:val="0041283F"/>
    <w:rPr>
      <w:rFonts w:ascii="Trebuchet MS" w:hAnsi="Trebuchet MS"/>
      <w:b/>
      <w:bCs/>
      <w:smallCaps/>
      <w:spacing w:val="5"/>
      <w:sz w:val="16"/>
      <w:szCs w:val="16"/>
    </w:rPr>
  </w:style>
  <w:style w:type="paragraph" w:customStyle="1" w:styleId="Addingupnumeral">
    <w:name w:val="Adding up (numeral)"/>
    <w:basedOn w:val="Normln"/>
    <w:link w:val="AddingupnumeralChar"/>
    <w:autoRedefine/>
    <w:rsid w:val="008018ED"/>
    <w:pPr>
      <w:numPr>
        <w:numId w:val="7"/>
      </w:numPr>
      <w:contextualSpacing/>
    </w:pPr>
    <w:rPr>
      <w:rFonts w:eastAsia="Calibri" w:cs="Times New Roman"/>
      <w:lang w:val="en-GB"/>
    </w:rPr>
  </w:style>
  <w:style w:type="paragraph" w:styleId="Nadpisobsahu">
    <w:name w:val="TOC Heading"/>
    <w:basedOn w:val="Nadpis1"/>
    <w:next w:val="Normln"/>
    <w:uiPriority w:val="39"/>
    <w:unhideWhenUsed/>
    <w:qFormat/>
    <w:rsid w:val="000E1F1D"/>
    <w:pPr>
      <w:keepNext/>
      <w:keepLines/>
      <w:numPr>
        <w:numId w:val="0"/>
      </w:numPr>
      <w:spacing w:before="480" w:after="0" w:line="276" w:lineRule="auto"/>
      <w:outlineLvl w:val="9"/>
    </w:pPr>
    <w:rPr>
      <w:rFonts w:asciiTheme="majorHAnsi" w:eastAsiaTheme="majorEastAsia" w:hAnsiTheme="majorHAnsi" w:cstheme="majorBidi"/>
      <w:bCs/>
      <w:color w:val="004249" w:themeColor="accent1" w:themeShade="BF"/>
      <w:sz w:val="28"/>
      <w:szCs w:val="28"/>
      <w:lang w:val="en-US" w:eastAsia="ja-JP"/>
    </w:rPr>
  </w:style>
  <w:style w:type="paragraph" w:styleId="Obsah1">
    <w:name w:val="toc 1"/>
    <w:basedOn w:val="Normln"/>
    <w:next w:val="Normln"/>
    <w:autoRedefine/>
    <w:uiPriority w:val="39"/>
    <w:unhideWhenUsed/>
    <w:rsid w:val="007B6BB3"/>
    <w:pPr>
      <w:tabs>
        <w:tab w:val="left" w:pos="360"/>
        <w:tab w:val="right" w:leader="dot" w:pos="9016"/>
      </w:tabs>
      <w:spacing w:before="120"/>
      <w:ind w:left="0"/>
    </w:pPr>
    <w:rPr>
      <w:b/>
      <w:bCs/>
      <w:color w:val="005962"/>
      <w:sz w:val="22"/>
      <w:szCs w:val="24"/>
    </w:rPr>
  </w:style>
  <w:style w:type="paragraph" w:styleId="Obsah2">
    <w:name w:val="toc 2"/>
    <w:basedOn w:val="Normln"/>
    <w:next w:val="Normln"/>
    <w:autoRedefine/>
    <w:uiPriority w:val="39"/>
    <w:unhideWhenUsed/>
    <w:rsid w:val="005416A1"/>
    <w:pPr>
      <w:tabs>
        <w:tab w:val="left" w:pos="1260"/>
        <w:tab w:val="right" w:leader="dot" w:pos="9016"/>
      </w:tabs>
      <w:spacing w:before="120"/>
      <w:ind w:left="0" w:firstLine="567"/>
    </w:pPr>
    <w:rPr>
      <w:rFonts w:cstheme="minorHAnsi"/>
      <w:b/>
      <w:bCs/>
      <w:color w:val="005962"/>
      <w:sz w:val="20"/>
      <w:szCs w:val="20"/>
    </w:rPr>
  </w:style>
  <w:style w:type="paragraph" w:styleId="Obsah3">
    <w:name w:val="toc 3"/>
    <w:basedOn w:val="Normln"/>
    <w:next w:val="Normln"/>
    <w:autoRedefine/>
    <w:uiPriority w:val="39"/>
    <w:unhideWhenUsed/>
    <w:rsid w:val="005F6407"/>
    <w:pPr>
      <w:ind w:left="284" w:firstLine="567"/>
    </w:pPr>
    <w:rPr>
      <w:rFonts w:cstheme="minorHAnsi"/>
      <w:color w:val="005962"/>
      <w:szCs w:val="20"/>
    </w:rPr>
  </w:style>
  <w:style w:type="character" w:styleId="Hypertextovodkaz">
    <w:name w:val="Hyperlink"/>
    <w:aliases w:val=" Znak Znak Znak,Znak Znak Znak"/>
    <w:basedOn w:val="Standardnpsmoodstavce"/>
    <w:uiPriority w:val="99"/>
    <w:unhideWhenUsed/>
    <w:qFormat/>
    <w:rsid w:val="000E1F1D"/>
    <w:rPr>
      <w:color w:val="005962" w:themeColor="hyperlink"/>
      <w:u w:val="single"/>
    </w:rPr>
  </w:style>
  <w:style w:type="paragraph" w:styleId="Obsah4">
    <w:name w:val="toc 4"/>
    <w:basedOn w:val="Normln"/>
    <w:next w:val="Normln"/>
    <w:autoRedefine/>
    <w:uiPriority w:val="39"/>
    <w:unhideWhenUsed/>
    <w:rsid w:val="000A3FCD"/>
    <w:pPr>
      <w:ind w:left="360"/>
    </w:pPr>
    <w:rPr>
      <w:rFonts w:asciiTheme="minorHAnsi" w:hAnsiTheme="minorHAnsi" w:cstheme="minorHAnsi"/>
      <w:sz w:val="20"/>
      <w:szCs w:val="20"/>
    </w:rPr>
  </w:style>
  <w:style w:type="paragraph" w:styleId="Obsah5">
    <w:name w:val="toc 5"/>
    <w:basedOn w:val="Normln"/>
    <w:next w:val="Normln"/>
    <w:autoRedefine/>
    <w:uiPriority w:val="39"/>
    <w:unhideWhenUsed/>
    <w:rsid w:val="000A3FCD"/>
    <w:pPr>
      <w:ind w:left="540"/>
    </w:pPr>
    <w:rPr>
      <w:rFonts w:asciiTheme="minorHAnsi" w:hAnsiTheme="minorHAnsi" w:cstheme="minorHAnsi"/>
      <w:sz w:val="20"/>
      <w:szCs w:val="20"/>
    </w:rPr>
  </w:style>
  <w:style w:type="paragraph" w:styleId="Obsah6">
    <w:name w:val="toc 6"/>
    <w:basedOn w:val="Normln"/>
    <w:next w:val="Normln"/>
    <w:autoRedefine/>
    <w:uiPriority w:val="39"/>
    <w:unhideWhenUsed/>
    <w:rsid w:val="000A3FCD"/>
    <w:pPr>
      <w:ind w:left="720"/>
    </w:pPr>
    <w:rPr>
      <w:rFonts w:asciiTheme="minorHAnsi" w:hAnsiTheme="minorHAnsi" w:cstheme="minorHAnsi"/>
      <w:sz w:val="20"/>
      <w:szCs w:val="20"/>
    </w:rPr>
  </w:style>
  <w:style w:type="paragraph" w:styleId="Obsah7">
    <w:name w:val="toc 7"/>
    <w:basedOn w:val="Normln"/>
    <w:next w:val="Normln"/>
    <w:autoRedefine/>
    <w:uiPriority w:val="39"/>
    <w:unhideWhenUsed/>
    <w:rsid w:val="000A3FCD"/>
    <w:pPr>
      <w:ind w:left="900"/>
    </w:pPr>
    <w:rPr>
      <w:rFonts w:asciiTheme="minorHAnsi" w:hAnsiTheme="minorHAnsi" w:cstheme="minorHAnsi"/>
      <w:sz w:val="20"/>
      <w:szCs w:val="20"/>
    </w:rPr>
  </w:style>
  <w:style w:type="paragraph" w:styleId="Obsah8">
    <w:name w:val="toc 8"/>
    <w:basedOn w:val="Normln"/>
    <w:next w:val="Normln"/>
    <w:autoRedefine/>
    <w:uiPriority w:val="39"/>
    <w:unhideWhenUsed/>
    <w:rsid w:val="000A3FCD"/>
    <w:pPr>
      <w:ind w:left="1080"/>
    </w:pPr>
    <w:rPr>
      <w:rFonts w:asciiTheme="minorHAnsi" w:hAnsiTheme="minorHAnsi" w:cstheme="minorHAnsi"/>
      <w:sz w:val="20"/>
      <w:szCs w:val="20"/>
    </w:rPr>
  </w:style>
  <w:style w:type="paragraph" w:styleId="Obsah9">
    <w:name w:val="toc 9"/>
    <w:basedOn w:val="Normln"/>
    <w:next w:val="Normln"/>
    <w:autoRedefine/>
    <w:uiPriority w:val="39"/>
    <w:unhideWhenUsed/>
    <w:rsid w:val="000A3FCD"/>
    <w:pPr>
      <w:ind w:left="1260"/>
    </w:pPr>
    <w:rPr>
      <w:rFonts w:asciiTheme="minorHAnsi" w:hAnsiTheme="minorHAnsi" w:cstheme="minorHAnsi"/>
      <w:sz w:val="20"/>
      <w:szCs w:val="20"/>
    </w:rPr>
  </w:style>
  <w:style w:type="table" w:styleId="Mkatabulky">
    <w:name w:val="Table Grid"/>
    <w:basedOn w:val="Normlntabulka"/>
    <w:uiPriority w:val="59"/>
    <w:rsid w:val="00216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
    <w:name w:val="Table 1"/>
    <w:basedOn w:val="Normlntabulka"/>
    <w:uiPriority w:val="99"/>
    <w:rsid w:val="004103B8"/>
    <w:pPr>
      <w:spacing w:after="0" w:line="240" w:lineRule="auto"/>
      <w:jc w:val="center"/>
    </w:pPr>
    <w:rPr>
      <w:rFonts w:ascii="Trebuchet MS" w:hAnsi="Trebuchet MS"/>
      <w:sz w:val="16"/>
    </w:rPr>
    <w:tblPr>
      <w:tblInd w:w="567" w:type="dxa"/>
      <w:tblBorders>
        <w:top w:val="single" w:sz="4" w:space="0" w:color="005962"/>
        <w:left w:val="single" w:sz="4" w:space="0" w:color="005962"/>
        <w:bottom w:val="single" w:sz="4" w:space="0" w:color="005962"/>
        <w:right w:val="single" w:sz="4" w:space="0" w:color="005962"/>
        <w:insideH w:val="single" w:sz="4" w:space="0" w:color="005962"/>
        <w:insideV w:val="single" w:sz="4" w:space="0" w:color="005962"/>
      </w:tblBorders>
    </w:tblPr>
    <w:tcPr>
      <w:shd w:val="clear" w:color="auto" w:fill="auto"/>
      <w:vAlign w:val="center"/>
    </w:tcPr>
    <w:tblStylePr w:type="firstRow">
      <w:pPr>
        <w:wordWrap/>
        <w:spacing w:beforeLines="0" w:before="0" w:beforeAutospacing="0" w:afterLines="0" w:after="0" w:afterAutospacing="0" w:line="300" w:lineRule="atLeast"/>
        <w:ind w:leftChars="0" w:left="0" w:rightChars="0" w:right="0" w:firstLineChars="0" w:firstLine="0"/>
        <w:jc w:val="center"/>
      </w:pPr>
      <w:rPr>
        <w:rFonts w:ascii="Trebuchet MS" w:hAnsi="Trebuchet MS"/>
        <w:b/>
        <w:color w:val="FFFFFF" w:themeColor="background1"/>
        <w:sz w:val="16"/>
      </w:rPr>
      <w:tblPr/>
      <w:tcPr>
        <w:shd w:val="clear" w:color="auto" w:fill="005962"/>
      </w:tcPr>
    </w:tblStylePr>
    <w:tblStylePr w:type="firstCol">
      <w:pPr>
        <w:wordWrap/>
        <w:jc w:val="left"/>
        <w:outlineLvl w:val="9"/>
      </w:pPr>
    </w:tblStylePr>
  </w:style>
  <w:style w:type="paragraph" w:styleId="Textpoznpodarou">
    <w:name w:val="footnote text"/>
    <w:aliases w:val="Fußnotentextf,Fußnotentextr,stile 1,Footnote,Footnote1,Footnote2,Footnote3,Footnote4,Footnote5,Footnote6,Footnote7,Footnote8,Footnote9,Footnote10,Footnote11,Footnote21,Footnote31,Footnote41,Footnote51,Footnote61,Footnote71"/>
    <w:basedOn w:val="Normln"/>
    <w:link w:val="TextpoznpodarouChar"/>
    <w:uiPriority w:val="99"/>
    <w:unhideWhenUsed/>
    <w:qFormat/>
    <w:rsid w:val="002A03EA"/>
    <w:pPr>
      <w:spacing w:line="240" w:lineRule="auto"/>
    </w:pPr>
    <w:rPr>
      <w:sz w:val="20"/>
      <w:szCs w:val="20"/>
    </w:rPr>
  </w:style>
  <w:style w:type="character" w:customStyle="1" w:styleId="TextpoznpodarouChar">
    <w:name w:val="Text pozn. pod čarou Char"/>
    <w:aliases w:val="Fußnotentextf Char,Fußnotentextr Char,stile 1 Char,Footnote Char,Footnote1 Char,Footnote2 Char,Footnote3 Char,Footnote4 Char,Footnote5 Char,Footnote6 Char,Footnote7 Char,Footnote8 Char,Footnote9 Char,Footnote10 Char"/>
    <w:basedOn w:val="Standardnpsmoodstavce"/>
    <w:link w:val="Textpoznpodarou"/>
    <w:uiPriority w:val="99"/>
    <w:rsid w:val="002A03EA"/>
    <w:rPr>
      <w:rFonts w:ascii="Trebuchet MS" w:hAnsi="Trebuchet MS"/>
      <w:sz w:val="20"/>
      <w:szCs w:val="20"/>
    </w:rPr>
  </w:style>
  <w:style w:type="character" w:styleId="Znakapoznpodarou">
    <w:name w:val="footnote reference"/>
    <w:aliases w:val="SUPERS,Odwołanie przypisu,Times 10 Point,Exposant 3 Point,Footnote symbol,Footnote reference number,number,Footnote Reference Superscript,stylish,Знак сноски-FN,Ciae niinee-FN,Знак сноски 1,(Footnote Reference), Exposant 3 Point"/>
    <w:basedOn w:val="Standardnpsmoodstavce"/>
    <w:unhideWhenUsed/>
    <w:qFormat/>
    <w:rsid w:val="002A03EA"/>
    <w:rPr>
      <w:vertAlign w:val="superscript"/>
    </w:rPr>
  </w:style>
  <w:style w:type="paragraph" w:customStyle="1" w:styleId="foonote">
    <w:name w:val="foonote"/>
    <w:basedOn w:val="Textpoznpodarou"/>
    <w:link w:val="foonoteChar"/>
    <w:qFormat/>
    <w:rsid w:val="002A03EA"/>
    <w:rPr>
      <w:rFonts w:ascii="Arial" w:hAnsi="Arial" w:cs="Arial"/>
      <w:sz w:val="16"/>
      <w:szCs w:val="16"/>
    </w:rPr>
  </w:style>
  <w:style w:type="character" w:customStyle="1" w:styleId="foonoteChar">
    <w:name w:val="foonote Char"/>
    <w:basedOn w:val="TextpoznpodarouChar"/>
    <w:link w:val="foonote"/>
    <w:rsid w:val="002D4BF3"/>
    <w:rPr>
      <w:rFonts w:ascii="Arial" w:hAnsi="Arial" w:cs="Arial"/>
      <w:sz w:val="16"/>
      <w:szCs w:val="16"/>
    </w:rPr>
  </w:style>
  <w:style w:type="paragraph" w:styleId="Revize">
    <w:name w:val="Revision"/>
    <w:hidden/>
    <w:uiPriority w:val="99"/>
    <w:semiHidden/>
    <w:rsid w:val="00594342"/>
    <w:pPr>
      <w:spacing w:after="0" w:line="240" w:lineRule="auto"/>
    </w:pPr>
    <w:rPr>
      <w:rFonts w:ascii="Trebuchet MS" w:hAnsi="Trebuchet MS"/>
      <w:sz w:val="18"/>
    </w:rPr>
  </w:style>
  <w:style w:type="paragraph" w:customStyle="1" w:styleId="Default">
    <w:name w:val="Default"/>
    <w:rsid w:val="009D3B6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aliases w:val="1st elvel bullet green Char,1st level - Bullet List Paragraph Char,Lettre d'introduction Char,Paragrafo elenco Char,List Paragraph1 Char,Medium Grid 1 - Accent 21 Char,FooterText Char,Paragraphe de liste1 Char,Heading 2_sj Char"/>
    <w:link w:val="Odstavecseseznamem"/>
    <w:qFormat/>
    <w:rsid w:val="003367E5"/>
    <w:rPr>
      <w:rFonts w:ascii="Trebuchet MS" w:hAnsi="Trebuchet MS"/>
      <w:sz w:val="18"/>
      <w:lang w:val="en-GB"/>
    </w:rPr>
  </w:style>
  <w:style w:type="character" w:styleId="Odkaznakoment">
    <w:name w:val="annotation reference"/>
    <w:unhideWhenUsed/>
    <w:rsid w:val="00D13A76"/>
    <w:rPr>
      <w:sz w:val="16"/>
      <w:szCs w:val="16"/>
    </w:rPr>
  </w:style>
  <w:style w:type="paragraph" w:styleId="Textkomente">
    <w:name w:val="annotation text"/>
    <w:basedOn w:val="Normln"/>
    <w:link w:val="TextkomenteChar"/>
    <w:unhideWhenUsed/>
    <w:rsid w:val="00D13A76"/>
    <w:pPr>
      <w:spacing w:line="240" w:lineRule="auto"/>
    </w:pPr>
    <w:rPr>
      <w:rFonts w:eastAsia="Calibri" w:cs="Times New Roman"/>
      <w:sz w:val="20"/>
      <w:szCs w:val="20"/>
    </w:rPr>
  </w:style>
  <w:style w:type="character" w:customStyle="1" w:styleId="TextkomenteChar">
    <w:name w:val="Text komentáře Char"/>
    <w:basedOn w:val="Standardnpsmoodstavce"/>
    <w:link w:val="Textkomente"/>
    <w:rsid w:val="00D13A76"/>
    <w:rPr>
      <w:rFonts w:ascii="Trebuchet MS" w:eastAsia="Calibri" w:hAnsi="Trebuchet MS" w:cs="Times New Roman"/>
      <w:sz w:val="20"/>
      <w:szCs w:val="20"/>
    </w:rPr>
  </w:style>
  <w:style w:type="paragraph" w:styleId="Pedmtkomente">
    <w:name w:val="annotation subject"/>
    <w:basedOn w:val="Textkomente"/>
    <w:next w:val="Textkomente"/>
    <w:link w:val="PedmtkomenteChar"/>
    <w:uiPriority w:val="99"/>
    <w:semiHidden/>
    <w:unhideWhenUsed/>
    <w:rsid w:val="003808B9"/>
    <w:rPr>
      <w:rFonts w:eastAsiaTheme="minorHAnsi" w:cstheme="minorBidi"/>
      <w:b/>
      <w:bCs/>
    </w:rPr>
  </w:style>
  <w:style w:type="character" w:customStyle="1" w:styleId="PedmtkomenteChar">
    <w:name w:val="Předmět komentáře Char"/>
    <w:basedOn w:val="TextkomenteChar"/>
    <w:link w:val="Pedmtkomente"/>
    <w:uiPriority w:val="99"/>
    <w:semiHidden/>
    <w:rsid w:val="003808B9"/>
    <w:rPr>
      <w:rFonts w:ascii="Trebuchet MS" w:eastAsia="Calibri" w:hAnsi="Trebuchet MS" w:cs="Times New Roman"/>
      <w:b/>
      <w:bCs/>
      <w:sz w:val="20"/>
      <w:szCs w:val="20"/>
    </w:rPr>
  </w:style>
  <w:style w:type="character" w:styleId="Siln">
    <w:name w:val="Strong"/>
    <w:aliases w:val="Bold"/>
    <w:basedOn w:val="Standardnpsmoodstavce"/>
    <w:uiPriority w:val="22"/>
    <w:qFormat/>
    <w:rsid w:val="003808B9"/>
    <w:rPr>
      <w:b/>
      <w:bCs/>
    </w:rPr>
  </w:style>
  <w:style w:type="paragraph" w:customStyle="1" w:styleId="Orangetabletext">
    <w:name w:val="Orange table text"/>
    <w:basedOn w:val="Normln"/>
    <w:link w:val="OrangetabletextChar"/>
    <w:rsid w:val="00204ED4"/>
    <w:pPr>
      <w:numPr>
        <w:numId w:val="6"/>
      </w:numPr>
      <w:spacing w:line="260" w:lineRule="atLeast"/>
    </w:pPr>
    <w:rPr>
      <w:b/>
      <w:bCs/>
      <w:color w:val="FFFFFF"/>
      <w:sz w:val="16"/>
      <w:szCs w:val="14"/>
      <w:lang w:eastAsia="nl-NL"/>
    </w:rPr>
  </w:style>
  <w:style w:type="paragraph" w:styleId="Titulek">
    <w:name w:val="caption"/>
    <w:aliases w:val="Caption-tables,Tasks,Beschriftung Char2,Beschriftung Char1 Char1,Beschriftung Char Char Char1,Beschriftung Char1 Char Char,Beschriftung Char Char Char Char,Beschriftung Char Char1 Char,Beschriftung Char Char2,Beschriftung Char1 Cha...,Eco,Legend"/>
    <w:basedOn w:val="Normln"/>
    <w:next w:val="Normln"/>
    <w:link w:val="TitulekChar"/>
    <w:unhideWhenUsed/>
    <w:qFormat/>
    <w:rsid w:val="00D95BB0"/>
    <w:pPr>
      <w:spacing w:after="120" w:line="240" w:lineRule="auto"/>
    </w:pPr>
    <w:rPr>
      <w:b/>
      <w:bCs/>
      <w:color w:val="005962"/>
      <w:sz w:val="16"/>
    </w:rPr>
  </w:style>
  <w:style w:type="paragraph" w:customStyle="1" w:styleId="table-text">
    <w:name w:val="table-text"/>
    <w:basedOn w:val="broodtekst"/>
    <w:uiPriority w:val="99"/>
    <w:rsid w:val="00330BB1"/>
    <w:pPr>
      <w:keepNext w:val="0"/>
      <w:spacing w:line="280" w:lineRule="atLeast"/>
      <w:ind w:left="0" w:firstLine="0"/>
      <w:contextualSpacing w:val="0"/>
      <w:outlineLvl w:val="9"/>
    </w:pPr>
    <w:rPr>
      <w:rFonts w:ascii="Arial" w:hAnsi="Arial"/>
      <w:sz w:val="16"/>
      <w:szCs w:val="24"/>
      <w:lang w:val="nl-NL" w:eastAsia="nl-NL"/>
    </w:rPr>
  </w:style>
  <w:style w:type="paragraph" w:customStyle="1" w:styleId="tabelkop">
    <w:name w:val="tabelkop"/>
    <w:basedOn w:val="Normln"/>
    <w:rsid w:val="00330BB1"/>
    <w:pPr>
      <w:keepNext/>
      <w:keepLines/>
      <w:spacing w:line="280" w:lineRule="atLeast"/>
      <w:ind w:left="0"/>
    </w:pPr>
    <w:rPr>
      <w:rFonts w:ascii="Arial" w:eastAsia="Times New Roman" w:hAnsi="Arial" w:cs="Times New Roman"/>
      <w:b/>
      <w:color w:val="FFFFFF"/>
      <w:sz w:val="16"/>
      <w:szCs w:val="24"/>
      <w:lang w:val="nl-NL" w:eastAsia="nl-NL"/>
    </w:rPr>
  </w:style>
  <w:style w:type="table" w:styleId="Svtlseznamzvraznn2">
    <w:name w:val="Light List Accent 2"/>
    <w:basedOn w:val="Normlntabulka"/>
    <w:uiPriority w:val="61"/>
    <w:semiHidden/>
    <w:unhideWhenUsed/>
    <w:rsid w:val="00247A28"/>
    <w:pPr>
      <w:spacing w:after="0" w:line="240" w:lineRule="auto"/>
    </w:pPr>
    <w:tblPr>
      <w:tblStyleRowBandSize w:val="1"/>
      <w:tblStyleColBandSize w:val="1"/>
      <w:tblBorders>
        <w:top w:val="single" w:sz="8" w:space="0" w:color="F04E30" w:themeColor="accent2"/>
        <w:left w:val="single" w:sz="8" w:space="0" w:color="F04E30" w:themeColor="accent2"/>
        <w:bottom w:val="single" w:sz="8" w:space="0" w:color="F04E30" w:themeColor="accent2"/>
        <w:right w:val="single" w:sz="8" w:space="0" w:color="F04E30" w:themeColor="accent2"/>
      </w:tblBorders>
    </w:tblPr>
    <w:tblStylePr w:type="firstRow">
      <w:pPr>
        <w:spacing w:before="0" w:after="0" w:line="240" w:lineRule="auto"/>
      </w:pPr>
      <w:rPr>
        <w:b/>
        <w:bCs/>
        <w:color w:val="FFFFFF" w:themeColor="background1"/>
      </w:rPr>
      <w:tblPr/>
      <w:tcPr>
        <w:shd w:val="clear" w:color="auto" w:fill="F04E30" w:themeFill="accent2"/>
      </w:tcPr>
    </w:tblStylePr>
    <w:tblStylePr w:type="lastRow">
      <w:pPr>
        <w:spacing w:before="0" w:after="0" w:line="240" w:lineRule="auto"/>
      </w:pPr>
      <w:rPr>
        <w:b/>
        <w:bCs/>
      </w:rPr>
      <w:tblPr/>
      <w:tcPr>
        <w:tcBorders>
          <w:top w:val="double" w:sz="6" w:space="0" w:color="F04E30" w:themeColor="accent2"/>
          <w:left w:val="single" w:sz="8" w:space="0" w:color="F04E30" w:themeColor="accent2"/>
          <w:bottom w:val="single" w:sz="8" w:space="0" w:color="F04E30" w:themeColor="accent2"/>
          <w:right w:val="single" w:sz="8" w:space="0" w:color="F04E30" w:themeColor="accent2"/>
        </w:tcBorders>
      </w:tcPr>
    </w:tblStylePr>
    <w:tblStylePr w:type="firstCol">
      <w:rPr>
        <w:b/>
        <w:bCs/>
      </w:rPr>
    </w:tblStylePr>
    <w:tblStylePr w:type="lastCol">
      <w:rPr>
        <w:b/>
        <w:bCs/>
      </w:rPr>
    </w:tblStylePr>
    <w:tblStylePr w:type="band1Vert">
      <w:tblPr/>
      <w:tcPr>
        <w:tcBorders>
          <w:top w:val="single" w:sz="8" w:space="0" w:color="F04E30" w:themeColor="accent2"/>
          <w:left w:val="single" w:sz="8" w:space="0" w:color="F04E30" w:themeColor="accent2"/>
          <w:bottom w:val="single" w:sz="8" w:space="0" w:color="F04E30" w:themeColor="accent2"/>
          <w:right w:val="single" w:sz="8" w:space="0" w:color="F04E30" w:themeColor="accent2"/>
        </w:tcBorders>
      </w:tcPr>
    </w:tblStylePr>
    <w:tblStylePr w:type="band1Horz">
      <w:tblPr/>
      <w:tcPr>
        <w:tcBorders>
          <w:top w:val="single" w:sz="8" w:space="0" w:color="F04E30" w:themeColor="accent2"/>
          <w:left w:val="single" w:sz="8" w:space="0" w:color="F04E30" w:themeColor="accent2"/>
          <w:bottom w:val="single" w:sz="8" w:space="0" w:color="F04E30" w:themeColor="accent2"/>
          <w:right w:val="single" w:sz="8" w:space="0" w:color="F04E30" w:themeColor="accent2"/>
        </w:tcBorders>
      </w:tcPr>
    </w:tblStylePr>
  </w:style>
  <w:style w:type="table" w:customStyle="1" w:styleId="Box">
    <w:name w:val="Box"/>
    <w:basedOn w:val="Klasicktabulka1"/>
    <w:uiPriority w:val="99"/>
    <w:rsid w:val="008018ED"/>
    <w:rPr>
      <w:rFonts w:ascii="Trebuchet MS" w:hAnsi="Trebuchet MS"/>
      <w:sz w:val="16"/>
      <w:szCs w:val="20"/>
      <w:lang w:val="cs-CZ" w:eastAsia="en-GB"/>
    </w:rPr>
    <w:tblPr>
      <w:tblInd w:w="567" w:type="dxa"/>
    </w:tblPr>
    <w:tcPr>
      <w:shd w:val="clear" w:color="auto" w:fill="auto"/>
    </w:tcPr>
    <w:tblStylePr w:type="firstRow">
      <w:rPr>
        <w:rFonts w:ascii="Yu Mincho" w:hAnsi="Yu Mincho"/>
        <w:i/>
        <w:iCs/>
        <w:sz w:val="16"/>
      </w:rPr>
      <w:tblPr/>
      <w:tcPr>
        <w:tcBorders>
          <w:bottom w:val="single" w:sz="6" w:space="0" w:color="000000"/>
          <w:tl2br w:val="none" w:sz="0" w:space="0" w:color="auto"/>
          <w:tr2bl w:val="none" w:sz="0" w:space="0" w:color="auto"/>
        </w:tcBorders>
      </w:tcPr>
    </w:tblStylePr>
    <w:tblStylePr w:type="lastRow">
      <w:rPr>
        <w:rFonts w:ascii="Yu Mincho" w:hAnsi="Yu Mincho"/>
        <w:color w:val="auto"/>
        <w:sz w:val="16"/>
      </w:rPr>
      <w:tblPr/>
      <w:tcPr>
        <w:tcBorders>
          <w:top w:val="nil"/>
          <w:left w:val="nil"/>
          <w:bottom w:val="nil"/>
          <w:right w:val="nil"/>
          <w:insideH w:val="nil"/>
          <w:insideV w:val="nil"/>
          <w:tl2br w:val="none" w:sz="0" w:space="0" w:color="auto"/>
          <w:tr2bl w:val="none" w:sz="0" w:space="0" w:color="auto"/>
        </w:tcBorders>
        <w:shd w:val="clear" w:color="auto" w:fill="FFE3A5" w:themeFill="accent4"/>
      </w:tcPr>
    </w:tblStylePr>
    <w:tblStylePr w:type="firstCol">
      <w:rPr>
        <w:rFonts w:ascii="Yu Mincho" w:hAnsi="Yu Mincho"/>
        <w:color w:val="auto"/>
        <w:sz w:val="16"/>
      </w:rPr>
      <w:tblPr/>
      <w:tcPr>
        <w:tcBorders>
          <w:top w:val="nil"/>
          <w:left w:val="nil"/>
          <w:bottom w:val="nil"/>
          <w:right w:val="nil"/>
          <w:insideH w:val="nil"/>
          <w:insideV w:val="nil"/>
          <w:tl2br w:val="none" w:sz="0" w:space="0" w:color="auto"/>
          <w:tr2bl w:val="none" w:sz="0" w:space="0" w:color="auto"/>
        </w:tcBorders>
        <w:shd w:val="clear" w:color="auto" w:fill="FFE3A5" w:themeFill="accent4"/>
      </w:tcPr>
    </w:tblStylePr>
    <w:tblStylePr w:type="lastCol">
      <w:rPr>
        <w:rFonts w:ascii="Yu Mincho" w:hAnsi="Yu Mincho"/>
        <w:sz w:val="16"/>
      </w:rPr>
      <w:tblPr/>
      <w:tcPr>
        <w:tcBorders>
          <w:top w:val="nil"/>
          <w:left w:val="nil"/>
          <w:bottom w:val="nil"/>
          <w:right w:val="nil"/>
          <w:insideH w:val="nil"/>
          <w:insideV w:val="nil"/>
        </w:tcBorders>
        <w:shd w:val="clear" w:color="auto" w:fill="FFE3A5" w:themeFill="accent4"/>
      </w:tcPr>
    </w:tblStylePr>
    <w:tblStylePr w:type="neCell">
      <w:rPr>
        <w:rFonts w:ascii="Yu Mincho" w:hAnsi="Yu Mincho"/>
        <w:b/>
        <w:bCs/>
        <w:i w:val="0"/>
        <w:iCs w:val="0"/>
        <w:sz w:val="16"/>
      </w:rPr>
      <w:tblPr/>
      <w:tcPr>
        <w:tcBorders>
          <w:tl2br w:val="none" w:sz="0" w:space="0" w:color="auto"/>
          <w:tr2bl w:val="none" w:sz="0" w:space="0" w:color="auto"/>
        </w:tcBorders>
      </w:tcPr>
    </w:tblStylePr>
    <w:tblStylePr w:type="seCell">
      <w:rPr>
        <w:rFonts w:ascii="Yu Mincho" w:hAnsi="Yu Mincho"/>
        <w:sz w:val="16"/>
      </w:rPr>
    </w:tblStylePr>
    <w:tblStylePr w:type="swCell">
      <w:rPr>
        <w:rFonts w:ascii="Yu Mincho" w:hAnsi="Yu Mincho"/>
        <w:b/>
        <w:bCs/>
        <w:sz w:val="16"/>
      </w:rPr>
      <w:tblPr/>
      <w:tcPr>
        <w:tcBorders>
          <w:tl2br w:val="none" w:sz="0" w:space="0" w:color="auto"/>
          <w:tr2bl w:val="none" w:sz="0" w:space="0" w:color="auto"/>
        </w:tcBorders>
      </w:tcPr>
    </w:tblStylePr>
  </w:style>
  <w:style w:type="character" w:customStyle="1" w:styleId="TitulekChar">
    <w:name w:val="Titulek Char"/>
    <w:aliases w:val="Caption-tables Char,Tasks Char,Beschriftung Char2 Char,Beschriftung Char1 Char1 Char,Beschriftung Char Char Char1 Char,Beschriftung Char1 Char Char Char,Beschriftung Char Char Char Char Char,Beschriftung Char Char1 Char Char,Eco Char"/>
    <w:link w:val="Titulek"/>
    <w:locked/>
    <w:rsid w:val="00D95BB0"/>
    <w:rPr>
      <w:rFonts w:ascii="Trebuchet MS" w:hAnsi="Trebuchet MS"/>
      <w:b/>
      <w:bCs/>
      <w:color w:val="005962"/>
      <w:sz w:val="16"/>
      <w:szCs w:val="18"/>
    </w:rPr>
  </w:style>
  <w:style w:type="character" w:customStyle="1" w:styleId="AAAAAtextChar">
    <w:name w:val="AAAAAtext Char"/>
    <w:basedOn w:val="Standardnpsmoodstavce"/>
    <w:link w:val="AAAAAtext"/>
    <w:locked/>
    <w:rsid w:val="00456CCB"/>
    <w:rPr>
      <w:rFonts w:ascii="Calibri" w:hAnsi="Calibri"/>
      <w:sz w:val="22"/>
      <w:szCs w:val="24"/>
      <w:lang w:eastAsia="en-GB"/>
    </w:rPr>
  </w:style>
  <w:style w:type="paragraph" w:customStyle="1" w:styleId="AAAAAtext">
    <w:name w:val="AAAAAtext"/>
    <w:basedOn w:val="Normln"/>
    <w:link w:val="AAAAAtextChar"/>
    <w:rsid w:val="00371E2C"/>
    <w:pPr>
      <w:spacing w:before="60" w:after="60" w:line="320" w:lineRule="atLeast"/>
      <w:ind w:left="0"/>
      <w:jc w:val="both"/>
    </w:pPr>
    <w:rPr>
      <w:rFonts w:ascii="Calibri" w:hAnsi="Calibri"/>
      <w:sz w:val="22"/>
      <w:szCs w:val="24"/>
      <w:lang w:eastAsia="en-GB"/>
    </w:rPr>
  </w:style>
  <w:style w:type="paragraph" w:styleId="Normlnweb">
    <w:name w:val="Normal (Web)"/>
    <w:basedOn w:val="Normln"/>
    <w:uiPriority w:val="99"/>
    <w:unhideWhenUsed/>
    <w:rsid w:val="00336623"/>
    <w:pPr>
      <w:spacing w:before="100" w:beforeAutospacing="1" w:after="100" w:afterAutospacing="1" w:line="240" w:lineRule="auto"/>
      <w:ind w:left="0"/>
    </w:pPr>
    <w:rPr>
      <w:rFonts w:ascii="Times New Roman" w:eastAsia="Times New Roman" w:hAnsi="Times New Roman" w:cs="Times New Roman"/>
      <w:sz w:val="24"/>
      <w:szCs w:val="24"/>
      <w:lang w:eastAsia="en-GB"/>
    </w:rPr>
  </w:style>
  <w:style w:type="paragraph" w:customStyle="1" w:styleId="Pa20">
    <w:name w:val="Pa20"/>
    <w:basedOn w:val="Default"/>
    <w:next w:val="Default"/>
    <w:uiPriority w:val="99"/>
    <w:rsid w:val="00336623"/>
    <w:pPr>
      <w:spacing w:line="171" w:lineRule="atLeast"/>
    </w:pPr>
    <w:rPr>
      <w:rFonts w:ascii="EC Square Sans Pro" w:hAnsi="EC Square Sans Pro" w:cstheme="minorBidi"/>
      <w:color w:val="auto"/>
    </w:rPr>
  </w:style>
  <w:style w:type="character" w:styleId="Zdraznn">
    <w:name w:val="Emphasis"/>
    <w:basedOn w:val="Standardnpsmoodstavce"/>
    <w:uiPriority w:val="20"/>
    <w:qFormat/>
    <w:rsid w:val="00724F32"/>
    <w:rPr>
      <w:i/>
      <w:iCs/>
    </w:rPr>
  </w:style>
  <w:style w:type="paragraph" w:styleId="Prosttext">
    <w:name w:val="Plain Text"/>
    <w:basedOn w:val="Normln"/>
    <w:link w:val="ProsttextChar"/>
    <w:uiPriority w:val="99"/>
    <w:semiHidden/>
    <w:unhideWhenUsed/>
    <w:rsid w:val="002A705E"/>
    <w:pPr>
      <w:spacing w:line="240" w:lineRule="auto"/>
      <w:ind w:left="0"/>
    </w:pPr>
    <w:rPr>
      <w:rFonts w:ascii="Calibri" w:eastAsia="Calibri" w:hAnsi="Calibri" w:cs="Times New Roman"/>
      <w:sz w:val="20"/>
      <w:szCs w:val="21"/>
    </w:rPr>
  </w:style>
  <w:style w:type="character" w:customStyle="1" w:styleId="ProsttextChar">
    <w:name w:val="Prostý text Char"/>
    <w:basedOn w:val="Standardnpsmoodstavce"/>
    <w:link w:val="Prosttext"/>
    <w:uiPriority w:val="99"/>
    <w:semiHidden/>
    <w:rsid w:val="002A705E"/>
    <w:rPr>
      <w:rFonts w:ascii="Calibri" w:eastAsia="Calibri" w:hAnsi="Calibri" w:cs="Times New Roman"/>
      <w:sz w:val="20"/>
      <w:szCs w:val="21"/>
    </w:rPr>
  </w:style>
  <w:style w:type="character" w:customStyle="1" w:styleId="rStyle">
    <w:name w:val="rStyle"/>
    <w:rsid w:val="0019417C"/>
    <w:rPr>
      <w:b/>
      <w:bCs w:val="0"/>
    </w:rPr>
  </w:style>
  <w:style w:type="character" w:styleId="Sledovanodkaz">
    <w:name w:val="FollowedHyperlink"/>
    <w:basedOn w:val="Standardnpsmoodstavce"/>
    <w:uiPriority w:val="99"/>
    <w:semiHidden/>
    <w:unhideWhenUsed/>
    <w:rsid w:val="0064096B"/>
    <w:rPr>
      <w:color w:val="F04E30" w:themeColor="followedHyperlink"/>
      <w:u w:val="single"/>
    </w:rPr>
  </w:style>
  <w:style w:type="character" w:customStyle="1" w:styleId="Hyperlink1">
    <w:name w:val="Hyperlink1"/>
    <w:basedOn w:val="Standardnpsmoodstavce"/>
    <w:uiPriority w:val="99"/>
    <w:unhideWhenUsed/>
    <w:rsid w:val="00915515"/>
    <w:rPr>
      <w:color w:val="0000FF"/>
      <w:u w:val="single"/>
    </w:rPr>
  </w:style>
  <w:style w:type="paragraph" w:customStyle="1" w:styleId="paragraph">
    <w:name w:val="paragraph"/>
    <w:basedOn w:val="Normln"/>
    <w:rsid w:val="00765759"/>
    <w:pPr>
      <w:spacing w:before="100" w:beforeAutospacing="1" w:after="100" w:afterAutospacing="1" w:line="240" w:lineRule="auto"/>
      <w:ind w:left="0"/>
    </w:pPr>
    <w:rPr>
      <w:rFonts w:ascii="Times New Roman" w:eastAsia="Times New Roman" w:hAnsi="Times New Roman" w:cs="Times New Roman"/>
      <w:sz w:val="24"/>
      <w:szCs w:val="24"/>
      <w:lang w:eastAsia="en-GB"/>
    </w:rPr>
  </w:style>
  <w:style w:type="character" w:customStyle="1" w:styleId="normaltextrun">
    <w:name w:val="normaltextrun"/>
    <w:basedOn w:val="Standardnpsmoodstavce"/>
    <w:rsid w:val="00765759"/>
  </w:style>
  <w:style w:type="character" w:customStyle="1" w:styleId="scx12335173">
    <w:name w:val="scx12335173"/>
    <w:basedOn w:val="Standardnpsmoodstavce"/>
    <w:rsid w:val="00765759"/>
  </w:style>
  <w:style w:type="character" w:customStyle="1" w:styleId="apple-converted-space">
    <w:name w:val="apple-converted-space"/>
    <w:basedOn w:val="Standardnpsmoodstavce"/>
    <w:rsid w:val="00765759"/>
  </w:style>
  <w:style w:type="character" w:customStyle="1" w:styleId="eop">
    <w:name w:val="eop"/>
    <w:basedOn w:val="Standardnpsmoodstavce"/>
    <w:rsid w:val="00765759"/>
  </w:style>
  <w:style w:type="character" w:customStyle="1" w:styleId="spellingerror">
    <w:name w:val="spellingerror"/>
    <w:basedOn w:val="Standardnpsmoodstavce"/>
    <w:rsid w:val="00765759"/>
  </w:style>
  <w:style w:type="paragraph" w:customStyle="1" w:styleId="ECVSectionBullet">
    <w:name w:val="_ECV_SectionBullet"/>
    <w:basedOn w:val="Normln"/>
    <w:rsid w:val="00E676D9"/>
    <w:pPr>
      <w:suppressLineNumbers/>
      <w:autoSpaceDE w:val="0"/>
      <w:spacing w:line="100" w:lineRule="atLeast"/>
      <w:ind w:left="0"/>
    </w:pPr>
    <w:rPr>
      <w:rFonts w:ascii="Arial" w:eastAsia="SimSun" w:hAnsi="Arial" w:cs="Mangal"/>
      <w:color w:val="3F3A38"/>
      <w:spacing w:val="-6"/>
      <w:kern w:val="2"/>
      <w:szCs w:val="24"/>
      <w:lang w:eastAsia="zh-CN" w:bidi="hi-IN"/>
    </w:rPr>
  </w:style>
  <w:style w:type="character" w:customStyle="1" w:styleId="AddingupnumeralChar">
    <w:name w:val="Adding up (numeral) Char"/>
    <w:basedOn w:val="Standardnpsmoodstavce"/>
    <w:link w:val="Addingupnumeral"/>
    <w:rsid w:val="008018ED"/>
    <w:rPr>
      <w:rFonts w:ascii="Trebuchet MS" w:eastAsia="Calibri" w:hAnsi="Trebuchet MS" w:cs="Times New Roman"/>
      <w:sz w:val="18"/>
      <w:lang w:val="en-GB"/>
    </w:rPr>
  </w:style>
  <w:style w:type="character" w:customStyle="1" w:styleId="UnresolvedMention1">
    <w:name w:val="Unresolved Mention1"/>
    <w:basedOn w:val="Standardnpsmoodstavce"/>
    <w:uiPriority w:val="99"/>
    <w:semiHidden/>
    <w:unhideWhenUsed/>
    <w:rsid w:val="003A045A"/>
    <w:rPr>
      <w:color w:val="605E5C"/>
      <w:shd w:val="clear" w:color="auto" w:fill="E1DFDD"/>
    </w:rPr>
  </w:style>
  <w:style w:type="table" w:styleId="Klasicktabulka1">
    <w:name w:val="Table Classic 1"/>
    <w:basedOn w:val="Normlntabulka"/>
    <w:uiPriority w:val="99"/>
    <w:semiHidden/>
    <w:unhideWhenUsed/>
    <w:rsid w:val="008018ED"/>
    <w:pPr>
      <w:spacing w:after="0" w:line="300" w:lineRule="atLeast"/>
      <w:ind w:left="567"/>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Normlntabulka"/>
    <w:next w:val="Mkatabulky"/>
    <w:uiPriority w:val="59"/>
    <w:rsid w:val="00066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listbulletpoint">
    <w:name w:val="Checklist bulletpoint"/>
    <w:basedOn w:val="Normln"/>
    <w:link w:val="ChecklistbulletpointChar"/>
    <w:rsid w:val="00F93481"/>
    <w:pPr>
      <w:numPr>
        <w:numId w:val="5"/>
      </w:numPr>
    </w:pPr>
    <w:rPr>
      <w:b/>
      <w:color w:val="F04E30"/>
      <w:szCs w:val="18"/>
    </w:rPr>
  </w:style>
  <w:style w:type="paragraph" w:customStyle="1" w:styleId="ChecklistBulletpoint0">
    <w:name w:val="Checklist Bulletpoint"/>
    <w:basedOn w:val="Normln"/>
    <w:link w:val="ChecklistBulletpointChar0"/>
    <w:qFormat/>
    <w:rsid w:val="00F93481"/>
    <w:pPr>
      <w:tabs>
        <w:tab w:val="left" w:pos="851"/>
      </w:tabs>
      <w:ind w:left="0"/>
    </w:pPr>
  </w:style>
  <w:style w:type="character" w:customStyle="1" w:styleId="ChecklistbulletpointChar">
    <w:name w:val="Checklist bulletpoint Char"/>
    <w:basedOn w:val="Standardnpsmoodstavce"/>
    <w:link w:val="Checklistbulletpoint"/>
    <w:rsid w:val="00F93481"/>
    <w:rPr>
      <w:rFonts w:ascii="Trebuchet MS" w:hAnsi="Trebuchet MS"/>
      <w:b/>
      <w:color w:val="F04E30"/>
      <w:sz w:val="18"/>
      <w:szCs w:val="18"/>
    </w:rPr>
  </w:style>
  <w:style w:type="paragraph" w:customStyle="1" w:styleId="Frontpagetitle">
    <w:name w:val="Frontpage title"/>
    <w:basedOn w:val="Normln"/>
    <w:link w:val="FrontpagetitleChar"/>
    <w:qFormat/>
    <w:rsid w:val="003367E5"/>
    <w:pPr>
      <w:ind w:left="0"/>
      <w:jc w:val="center"/>
    </w:pPr>
    <w:rPr>
      <w:color w:val="FFFFFF" w:themeColor="background1"/>
      <w:sz w:val="80"/>
      <w:szCs w:val="80"/>
    </w:rPr>
  </w:style>
  <w:style w:type="character" w:customStyle="1" w:styleId="ChecklistBulletpointChar0">
    <w:name w:val="Checklist Bulletpoint Char"/>
    <w:basedOn w:val="Standardnpsmoodstavce"/>
    <w:link w:val="ChecklistBulletpoint0"/>
    <w:rsid w:val="00F93481"/>
    <w:rPr>
      <w:rFonts w:ascii="Trebuchet MS" w:hAnsi="Trebuchet MS"/>
      <w:sz w:val="18"/>
    </w:rPr>
  </w:style>
  <w:style w:type="paragraph" w:customStyle="1" w:styleId="2ndlevelbulletpoint">
    <w:name w:val="2nd level bulletpoint"/>
    <w:basedOn w:val="Odstavecseseznamem"/>
    <w:next w:val="3rdlevelbulletpoint"/>
    <w:link w:val="2ndlevelbulletpointChar"/>
    <w:rsid w:val="00F8775C"/>
    <w:pPr>
      <w:numPr>
        <w:ilvl w:val="1"/>
      </w:numPr>
    </w:pPr>
  </w:style>
  <w:style w:type="character" w:customStyle="1" w:styleId="FrontpagetitleChar">
    <w:name w:val="Frontpage title Char"/>
    <w:basedOn w:val="Standardnpsmoodstavce"/>
    <w:link w:val="Frontpagetitle"/>
    <w:rsid w:val="003367E5"/>
    <w:rPr>
      <w:rFonts w:ascii="Trebuchet MS" w:hAnsi="Trebuchet MS"/>
      <w:color w:val="FFFFFF" w:themeColor="background1"/>
      <w:sz w:val="80"/>
      <w:szCs w:val="80"/>
    </w:rPr>
  </w:style>
  <w:style w:type="paragraph" w:customStyle="1" w:styleId="3rdlevelbulletpoint">
    <w:name w:val="3rd level bulletpoint"/>
    <w:basedOn w:val="2ndlevelbulletpoint"/>
    <w:link w:val="3rdlevelbulletpointChar"/>
    <w:rsid w:val="005D19A4"/>
    <w:pPr>
      <w:numPr>
        <w:ilvl w:val="2"/>
      </w:numPr>
      <w:tabs>
        <w:tab w:val="num" w:pos="360"/>
      </w:tabs>
      <w:ind w:left="2001" w:hanging="357"/>
    </w:pPr>
  </w:style>
  <w:style w:type="character" w:customStyle="1" w:styleId="2ndlevelbulletpointChar">
    <w:name w:val="2nd level bulletpoint Char"/>
    <w:basedOn w:val="OdstavecseseznamemChar"/>
    <w:link w:val="2ndlevelbulletpoint"/>
    <w:rsid w:val="00F8775C"/>
    <w:rPr>
      <w:rFonts w:ascii="Trebuchet MS" w:hAnsi="Trebuchet MS"/>
      <w:sz w:val="18"/>
      <w:lang w:val="en-GB"/>
    </w:rPr>
  </w:style>
  <w:style w:type="paragraph" w:customStyle="1" w:styleId="Bulletpoint">
    <w:name w:val="Bulletpoint"/>
    <w:basedOn w:val="2ndlevelbulletpoint"/>
    <w:next w:val="2ndlevelbulletpoint"/>
    <w:link w:val="BulletpointChar"/>
    <w:qFormat/>
    <w:rsid w:val="003367E5"/>
    <w:pPr>
      <w:numPr>
        <w:ilvl w:val="0"/>
      </w:numPr>
    </w:pPr>
  </w:style>
  <w:style w:type="character" w:customStyle="1" w:styleId="3rdlevelbulletpointChar">
    <w:name w:val="3rd level bulletpoint Char"/>
    <w:basedOn w:val="2ndlevelbulletpointChar"/>
    <w:link w:val="3rdlevelbulletpoint"/>
    <w:rsid w:val="005D19A4"/>
    <w:rPr>
      <w:rFonts w:ascii="Trebuchet MS" w:hAnsi="Trebuchet MS"/>
      <w:sz w:val="18"/>
      <w:lang w:val="en-GB"/>
    </w:rPr>
  </w:style>
  <w:style w:type="paragraph" w:customStyle="1" w:styleId="Tabletext">
    <w:name w:val="Table text"/>
    <w:basedOn w:val="Normln"/>
    <w:link w:val="TabletextChar"/>
    <w:qFormat/>
    <w:rsid w:val="00EA353A"/>
    <w:pPr>
      <w:ind w:left="0"/>
    </w:pPr>
    <w:rPr>
      <w:rFonts w:eastAsia="Calibri" w:cs="Times New Roman"/>
      <w:bCs/>
      <w:sz w:val="16"/>
      <w:szCs w:val="16"/>
      <w:lang w:val="en-GB"/>
    </w:rPr>
  </w:style>
  <w:style w:type="character" w:customStyle="1" w:styleId="BulletpointChar">
    <w:name w:val="Bulletpoint Char"/>
    <w:basedOn w:val="3rdlevelbulletpointChar"/>
    <w:link w:val="Bulletpoint"/>
    <w:rsid w:val="005D19A4"/>
    <w:rPr>
      <w:rFonts w:ascii="Trebuchet MS" w:hAnsi="Trebuchet MS"/>
      <w:sz w:val="18"/>
      <w:lang w:val="en-GB"/>
    </w:rPr>
  </w:style>
  <w:style w:type="table" w:customStyle="1" w:styleId="SummaryofTask">
    <w:name w:val="Summary of Task"/>
    <w:basedOn w:val="Normlntabulka"/>
    <w:uiPriority w:val="99"/>
    <w:rsid w:val="00855511"/>
    <w:pPr>
      <w:spacing w:after="0" w:line="240" w:lineRule="auto"/>
    </w:pPr>
    <w:rPr>
      <w:rFonts w:ascii="Trebuchet MS" w:hAnsi="Trebuchet MS"/>
      <w:sz w:val="16"/>
    </w:rPr>
    <w:tblPr>
      <w:tblInd w:w="567" w:type="dxa"/>
      <w:tblBorders>
        <w:top w:val="single" w:sz="4" w:space="0" w:color="FFE3A5" w:themeColor="accent4"/>
        <w:left w:val="single" w:sz="4" w:space="0" w:color="FFE3A5" w:themeColor="accent4"/>
        <w:bottom w:val="single" w:sz="4" w:space="0" w:color="FFE3A5" w:themeColor="accent4"/>
        <w:right w:val="single" w:sz="4" w:space="0" w:color="FFE3A5" w:themeColor="accent4"/>
        <w:insideH w:val="single" w:sz="4" w:space="0" w:color="FFE3A5" w:themeColor="accent4"/>
        <w:insideV w:val="single" w:sz="4" w:space="0" w:color="FFE3A5" w:themeColor="accent4"/>
      </w:tblBorders>
      <w:tblCellMar>
        <w:left w:w="0" w:type="dxa"/>
        <w:right w:w="0" w:type="dxa"/>
      </w:tblCellMar>
    </w:tblPr>
    <w:tblStylePr w:type="firstCol">
      <w:pPr>
        <w:wordWrap/>
        <w:ind w:leftChars="0" w:left="113"/>
      </w:pPr>
      <w:rPr>
        <w:rFonts w:ascii="Trebuchet MS" w:hAnsi="Trebuchet MS"/>
        <w:b/>
        <w:sz w:val="16"/>
      </w:rPr>
      <w:tblPr/>
      <w:tcPr>
        <w:shd w:val="clear" w:color="auto" w:fill="FFE3A5" w:themeFill="accent4"/>
      </w:tcPr>
    </w:tblStylePr>
    <w:tblStylePr w:type="lastCol">
      <w:pPr>
        <w:jc w:val="left"/>
      </w:pPr>
      <w:rPr>
        <w:rFonts w:ascii="Trebuchet MS" w:hAnsi="Trebuchet MS"/>
        <w:sz w:val="16"/>
      </w:rPr>
      <w:tblPr/>
      <w:tcPr>
        <w:vAlign w:val="center"/>
      </w:tcPr>
    </w:tblStylePr>
  </w:style>
  <w:style w:type="character" w:customStyle="1" w:styleId="TabletextChar">
    <w:name w:val="Table text Char"/>
    <w:basedOn w:val="Standardnpsmoodstavce"/>
    <w:link w:val="Tabletext"/>
    <w:rsid w:val="00EA353A"/>
    <w:rPr>
      <w:rFonts w:ascii="Trebuchet MS" w:eastAsia="Calibri" w:hAnsi="Trebuchet MS" w:cs="Times New Roman"/>
      <w:bCs/>
      <w:sz w:val="16"/>
      <w:szCs w:val="16"/>
      <w:lang w:val="en-GB"/>
    </w:rPr>
  </w:style>
  <w:style w:type="character" w:customStyle="1" w:styleId="OrangetabletextChar">
    <w:name w:val="Orange table text Char"/>
    <w:basedOn w:val="Standardnpsmoodstavce"/>
    <w:link w:val="Orangetabletext"/>
    <w:rsid w:val="00204ED4"/>
    <w:rPr>
      <w:rFonts w:ascii="Trebuchet MS" w:hAnsi="Trebuchet MS"/>
      <w:b/>
      <w:bCs/>
      <w:color w:val="FFFFFF"/>
      <w:sz w:val="16"/>
      <w:szCs w:val="14"/>
      <w:lang w:eastAsia="nl-NL"/>
    </w:rPr>
  </w:style>
  <w:style w:type="character" w:customStyle="1" w:styleId="Mention1">
    <w:name w:val="Mention1"/>
    <w:basedOn w:val="Standardnpsmoodstavce"/>
    <w:uiPriority w:val="99"/>
    <w:unhideWhenUsed/>
    <w:rsid w:val="007D1C58"/>
    <w:rPr>
      <w:color w:val="2B579A"/>
      <w:shd w:val="clear" w:color="auto" w:fill="E1DFDD"/>
    </w:rPr>
  </w:style>
  <w:style w:type="character" w:customStyle="1" w:styleId="ui-provider">
    <w:name w:val="ui-provider"/>
    <w:basedOn w:val="Standardnpsmoodstavce"/>
    <w:rsid w:val="004443A0"/>
  </w:style>
  <w:style w:type="numbering" w:customStyle="1" w:styleId="LFO2">
    <w:name w:val="LFO2"/>
    <w:basedOn w:val="Bezseznamu"/>
    <w:rsid w:val="00BC1B18"/>
    <w:pPr>
      <w:numPr>
        <w:numId w:val="31"/>
      </w:numPr>
    </w:pPr>
  </w:style>
  <w:style w:type="numbering" w:customStyle="1" w:styleId="LFO1">
    <w:name w:val="LFO1"/>
    <w:basedOn w:val="Bezseznamu"/>
    <w:rsid w:val="00BC1B18"/>
    <w:pPr>
      <w:numPr>
        <w:numId w:val="38"/>
      </w:numPr>
    </w:pPr>
  </w:style>
  <w:style w:type="character" w:customStyle="1" w:styleId="Mention">
    <w:name w:val="Mention"/>
    <w:basedOn w:val="Standardnpsmoodstavce"/>
    <w:uiPriority w:val="99"/>
    <w:unhideWhenUsed/>
    <w:rsid w:val="00712EAD"/>
    <w:rPr>
      <w:color w:val="2B579A"/>
      <w:shd w:val="clear" w:color="auto" w:fill="E1DFDD"/>
    </w:rPr>
  </w:style>
  <w:style w:type="paragraph" w:customStyle="1" w:styleId="1stlevelgreen">
    <w:name w:val="1st level green"/>
    <w:basedOn w:val="Normln"/>
    <w:link w:val="1stlevelgreenChar"/>
    <w:uiPriority w:val="3"/>
    <w:qFormat/>
    <w:rsid w:val="00BB18F8"/>
    <w:pPr>
      <w:tabs>
        <w:tab w:val="left" w:pos="851"/>
      </w:tabs>
      <w:ind w:left="1247" w:hanging="340"/>
      <w:contextualSpacing/>
    </w:pPr>
    <w:rPr>
      <w:lang w:val="en-GB"/>
    </w:rPr>
  </w:style>
  <w:style w:type="character" w:customStyle="1" w:styleId="1stlevelgreenChar">
    <w:name w:val="1st level green Char"/>
    <w:basedOn w:val="Standardnpsmoodstavce"/>
    <w:link w:val="1stlevelgreen"/>
    <w:uiPriority w:val="3"/>
    <w:rsid w:val="00BB18F8"/>
    <w:rPr>
      <w:rFonts w:ascii="Trebuchet MS" w:hAnsi="Trebuchet MS"/>
      <w:sz w:val="18"/>
      <w:lang w:val="en-GB"/>
    </w:rPr>
  </w:style>
  <w:style w:type="paragraph" w:customStyle="1" w:styleId="1stlevelroundbullet">
    <w:name w:val="1st level round bullet"/>
    <w:basedOn w:val="Odstavecseseznamem"/>
    <w:link w:val="1stlevelroundbulletChar"/>
    <w:uiPriority w:val="3"/>
    <w:qFormat/>
    <w:rsid w:val="005B252C"/>
    <w:pPr>
      <w:numPr>
        <w:numId w:val="49"/>
      </w:numPr>
      <w:tabs>
        <w:tab w:val="left" w:pos="1134"/>
      </w:tabs>
      <w:ind w:left="1247" w:hanging="340"/>
    </w:pPr>
  </w:style>
  <w:style w:type="character" w:customStyle="1" w:styleId="1stlevelroundbulletChar">
    <w:name w:val="1st level round bullet Char"/>
    <w:basedOn w:val="Standardnpsmoodstavce"/>
    <w:link w:val="1stlevelroundbullet"/>
    <w:uiPriority w:val="3"/>
    <w:rsid w:val="005B252C"/>
    <w:rPr>
      <w:rFonts w:ascii="Trebuchet MS" w:hAnsi="Trebuchet MS"/>
      <w:sz w:val="18"/>
      <w:lang w:val="en-GB"/>
    </w:rPr>
  </w:style>
  <w:style w:type="paragraph" w:customStyle="1" w:styleId="11">
    <w:name w:val="11"/>
    <w:basedOn w:val="Odstavecseseznamem"/>
    <w:next w:val="Normln"/>
    <w:uiPriority w:val="9"/>
    <w:qFormat/>
    <w:rsid w:val="00D8766D"/>
    <w:pPr>
      <w:numPr>
        <w:numId w:val="0"/>
      </w:numPr>
      <w:spacing w:before="360" w:after="240"/>
      <w:ind w:left="927" w:hanging="360"/>
      <w:contextualSpacing w:val="0"/>
      <w:outlineLvl w:val="0"/>
    </w:pPr>
    <w:rPr>
      <w:b/>
      <w:color w:val="005962"/>
      <w:sz w:val="40"/>
    </w:rPr>
  </w:style>
  <w:style w:type="paragraph" w:customStyle="1" w:styleId="Heading41">
    <w:name w:val="Heading 41"/>
    <w:basedOn w:val="Normln"/>
    <w:next w:val="Normln"/>
    <w:uiPriority w:val="9"/>
    <w:qFormat/>
    <w:rsid w:val="00D8766D"/>
    <w:pPr>
      <w:keepNext/>
      <w:keepLines/>
      <w:ind w:left="0" w:firstLine="567"/>
      <w:outlineLvl w:val="3"/>
    </w:pPr>
    <w:rPr>
      <w:rFonts w:eastAsia="Times New Roman" w:cs="Times New Roman"/>
      <w:b/>
      <w:bCs/>
      <w:iCs/>
      <w:color w:val="F04E30"/>
    </w:rPr>
  </w:style>
  <w:style w:type="paragraph" w:customStyle="1" w:styleId="Heading51">
    <w:name w:val="Heading 51"/>
    <w:basedOn w:val="Normln"/>
    <w:next w:val="Normln"/>
    <w:uiPriority w:val="9"/>
    <w:unhideWhenUsed/>
    <w:qFormat/>
    <w:rsid w:val="00D8766D"/>
    <w:pPr>
      <w:keepNext/>
      <w:keepLines/>
      <w:outlineLvl w:val="4"/>
    </w:pPr>
    <w:rPr>
      <w:rFonts w:eastAsia="Times New Roman" w:cs="Times New Roman"/>
      <w:b/>
      <w:bCs/>
      <w:color w:val="002C54"/>
      <w:lang w:val="en-GB"/>
    </w:rPr>
  </w:style>
  <w:style w:type="paragraph" w:customStyle="1" w:styleId="Heading61">
    <w:name w:val="Heading 61"/>
    <w:basedOn w:val="Normln"/>
    <w:next w:val="Normln"/>
    <w:uiPriority w:val="9"/>
    <w:unhideWhenUsed/>
    <w:qFormat/>
    <w:rsid w:val="00D8766D"/>
    <w:pPr>
      <w:keepNext/>
      <w:keepLines/>
      <w:spacing w:before="40"/>
      <w:outlineLvl w:val="5"/>
    </w:pPr>
    <w:rPr>
      <w:rFonts w:eastAsia="Times New Roman" w:cs="Times New Roman"/>
      <w:b/>
      <w:color w:val="002C30"/>
    </w:rPr>
  </w:style>
  <w:style w:type="paragraph" w:customStyle="1" w:styleId="Heading71">
    <w:name w:val="Heading 71"/>
    <w:basedOn w:val="Normln"/>
    <w:next w:val="Normln"/>
    <w:uiPriority w:val="9"/>
    <w:unhideWhenUsed/>
    <w:qFormat/>
    <w:rsid w:val="00D8766D"/>
    <w:pPr>
      <w:keepNext/>
      <w:keepLines/>
      <w:spacing w:before="40"/>
      <w:outlineLvl w:val="6"/>
    </w:pPr>
    <w:rPr>
      <w:rFonts w:eastAsia="Times New Roman" w:cs="Times New Roman"/>
      <w:i/>
      <w:iCs/>
      <w:color w:val="002C30"/>
    </w:rPr>
  </w:style>
  <w:style w:type="paragraph" w:customStyle="1" w:styleId="Heading81">
    <w:name w:val="Heading 81"/>
    <w:basedOn w:val="Normln"/>
    <w:next w:val="Normln"/>
    <w:uiPriority w:val="9"/>
    <w:unhideWhenUsed/>
    <w:rsid w:val="00D8766D"/>
    <w:pPr>
      <w:keepNext/>
      <w:keepLines/>
      <w:spacing w:before="40"/>
      <w:outlineLvl w:val="7"/>
    </w:pPr>
    <w:rPr>
      <w:rFonts w:ascii="Cambria" w:eastAsia="Times New Roman" w:hAnsi="Cambria" w:cs="Times New Roman"/>
      <w:color w:val="272727"/>
      <w:sz w:val="21"/>
      <w:szCs w:val="21"/>
    </w:rPr>
  </w:style>
  <w:style w:type="numbering" w:customStyle="1" w:styleId="NoList1">
    <w:name w:val="No List1"/>
    <w:next w:val="Bezseznamu"/>
    <w:uiPriority w:val="99"/>
    <w:semiHidden/>
    <w:unhideWhenUsed/>
    <w:rsid w:val="00D8766D"/>
  </w:style>
  <w:style w:type="paragraph" w:customStyle="1" w:styleId="Title1">
    <w:name w:val="Title1"/>
    <w:basedOn w:val="Normln"/>
    <w:next w:val="Normln"/>
    <w:uiPriority w:val="10"/>
    <w:semiHidden/>
    <w:qFormat/>
    <w:rsid w:val="00D8766D"/>
    <w:pPr>
      <w:pBdr>
        <w:bottom w:val="single" w:sz="8" w:space="4" w:color="005962"/>
      </w:pBdr>
      <w:spacing w:after="300" w:line="240" w:lineRule="auto"/>
      <w:contextualSpacing/>
      <w:jc w:val="center"/>
    </w:pPr>
    <w:rPr>
      <w:rFonts w:eastAsia="Times New Roman" w:cs="Times New Roman"/>
      <w:spacing w:val="5"/>
      <w:kern w:val="28"/>
      <w:sz w:val="40"/>
      <w:szCs w:val="52"/>
    </w:rPr>
  </w:style>
  <w:style w:type="paragraph" w:customStyle="1" w:styleId="lp11">
    <w:name w:val="lp11"/>
    <w:basedOn w:val="Normln"/>
    <w:next w:val="Odstavecseseznamem"/>
    <w:qFormat/>
    <w:rsid w:val="00D8766D"/>
    <w:pPr>
      <w:tabs>
        <w:tab w:val="left" w:pos="851"/>
      </w:tabs>
      <w:ind w:left="1287" w:hanging="360"/>
      <w:contextualSpacing/>
    </w:pPr>
    <w:rPr>
      <w:lang w:val="en-GB"/>
    </w:rPr>
  </w:style>
  <w:style w:type="paragraph" w:customStyle="1" w:styleId="TOCHeading1">
    <w:name w:val="TOC Heading1"/>
    <w:basedOn w:val="Nadpis1"/>
    <w:next w:val="Normln"/>
    <w:uiPriority w:val="39"/>
    <w:unhideWhenUsed/>
    <w:qFormat/>
    <w:rsid w:val="00D8766D"/>
    <w:pPr>
      <w:keepNext/>
      <w:keepLines/>
      <w:numPr>
        <w:numId w:val="0"/>
      </w:numPr>
      <w:tabs>
        <w:tab w:val="clear" w:pos="851"/>
      </w:tabs>
      <w:spacing w:before="240" w:after="0" w:line="259" w:lineRule="auto"/>
    </w:pPr>
  </w:style>
  <w:style w:type="paragraph" w:customStyle="1" w:styleId="TOC21">
    <w:name w:val="TOC 21"/>
    <w:basedOn w:val="Normln"/>
    <w:next w:val="Normln"/>
    <w:autoRedefine/>
    <w:uiPriority w:val="39"/>
    <w:unhideWhenUsed/>
    <w:rsid w:val="00D8766D"/>
    <w:pPr>
      <w:tabs>
        <w:tab w:val="left" w:pos="1260"/>
        <w:tab w:val="right" w:leader="dot" w:pos="9016"/>
      </w:tabs>
      <w:spacing w:before="120"/>
      <w:ind w:left="0" w:firstLine="567"/>
    </w:pPr>
    <w:rPr>
      <w:rFonts w:cs="Calibri"/>
      <w:b/>
      <w:bCs/>
      <w:color w:val="005962"/>
      <w:sz w:val="20"/>
      <w:szCs w:val="20"/>
    </w:rPr>
  </w:style>
  <w:style w:type="paragraph" w:customStyle="1" w:styleId="TOC31">
    <w:name w:val="TOC 31"/>
    <w:basedOn w:val="Normln"/>
    <w:next w:val="Normln"/>
    <w:autoRedefine/>
    <w:uiPriority w:val="39"/>
    <w:unhideWhenUsed/>
    <w:rsid w:val="00D8766D"/>
    <w:pPr>
      <w:ind w:left="284" w:firstLine="567"/>
    </w:pPr>
    <w:rPr>
      <w:rFonts w:cs="Calibri"/>
      <w:color w:val="005962"/>
      <w:szCs w:val="20"/>
    </w:rPr>
  </w:style>
  <w:style w:type="character" w:customStyle="1" w:styleId="ZnakZnakZnak1">
    <w:name w:val="Znak Znak Znak1"/>
    <w:basedOn w:val="Standardnpsmoodstavce"/>
    <w:uiPriority w:val="99"/>
    <w:unhideWhenUsed/>
    <w:qFormat/>
    <w:rsid w:val="00D8766D"/>
    <w:rPr>
      <w:color w:val="005962"/>
      <w:u w:val="single"/>
    </w:rPr>
  </w:style>
  <w:style w:type="paragraph" w:customStyle="1" w:styleId="TOC41">
    <w:name w:val="TOC 41"/>
    <w:basedOn w:val="Normln"/>
    <w:next w:val="Normln"/>
    <w:autoRedefine/>
    <w:uiPriority w:val="39"/>
    <w:unhideWhenUsed/>
    <w:rsid w:val="00D8766D"/>
    <w:pPr>
      <w:ind w:left="360"/>
    </w:pPr>
    <w:rPr>
      <w:rFonts w:asciiTheme="minorHAnsi" w:hAnsiTheme="minorHAnsi" w:cs="Calibri"/>
      <w:sz w:val="20"/>
      <w:szCs w:val="20"/>
    </w:rPr>
  </w:style>
  <w:style w:type="paragraph" w:customStyle="1" w:styleId="TOC51">
    <w:name w:val="TOC 51"/>
    <w:basedOn w:val="Normln"/>
    <w:next w:val="Normln"/>
    <w:autoRedefine/>
    <w:uiPriority w:val="39"/>
    <w:unhideWhenUsed/>
    <w:rsid w:val="00D8766D"/>
    <w:pPr>
      <w:ind w:left="540"/>
    </w:pPr>
    <w:rPr>
      <w:rFonts w:asciiTheme="minorHAnsi" w:hAnsiTheme="minorHAnsi" w:cs="Calibri"/>
      <w:sz w:val="20"/>
      <w:szCs w:val="20"/>
    </w:rPr>
  </w:style>
  <w:style w:type="paragraph" w:customStyle="1" w:styleId="TOC61">
    <w:name w:val="TOC 61"/>
    <w:basedOn w:val="Normln"/>
    <w:next w:val="Normln"/>
    <w:autoRedefine/>
    <w:uiPriority w:val="39"/>
    <w:unhideWhenUsed/>
    <w:rsid w:val="00D8766D"/>
    <w:pPr>
      <w:ind w:left="720"/>
    </w:pPr>
    <w:rPr>
      <w:rFonts w:asciiTheme="minorHAnsi" w:hAnsiTheme="minorHAnsi" w:cs="Calibri"/>
      <w:sz w:val="20"/>
      <w:szCs w:val="20"/>
    </w:rPr>
  </w:style>
  <w:style w:type="paragraph" w:customStyle="1" w:styleId="TOC71">
    <w:name w:val="TOC 71"/>
    <w:basedOn w:val="Normln"/>
    <w:next w:val="Normln"/>
    <w:autoRedefine/>
    <w:uiPriority w:val="39"/>
    <w:unhideWhenUsed/>
    <w:rsid w:val="00D8766D"/>
    <w:pPr>
      <w:ind w:left="900"/>
    </w:pPr>
    <w:rPr>
      <w:rFonts w:asciiTheme="minorHAnsi" w:hAnsiTheme="minorHAnsi" w:cs="Calibri"/>
      <w:sz w:val="20"/>
      <w:szCs w:val="20"/>
    </w:rPr>
  </w:style>
  <w:style w:type="paragraph" w:customStyle="1" w:styleId="TOC81">
    <w:name w:val="TOC 81"/>
    <w:basedOn w:val="Normln"/>
    <w:next w:val="Normln"/>
    <w:autoRedefine/>
    <w:uiPriority w:val="39"/>
    <w:unhideWhenUsed/>
    <w:rsid w:val="00D8766D"/>
    <w:pPr>
      <w:ind w:left="1080"/>
    </w:pPr>
    <w:rPr>
      <w:rFonts w:asciiTheme="minorHAnsi" w:hAnsiTheme="minorHAnsi" w:cs="Calibri"/>
      <w:sz w:val="20"/>
      <w:szCs w:val="20"/>
    </w:rPr>
  </w:style>
  <w:style w:type="paragraph" w:customStyle="1" w:styleId="TOC91">
    <w:name w:val="TOC 91"/>
    <w:basedOn w:val="Normln"/>
    <w:next w:val="Normln"/>
    <w:autoRedefine/>
    <w:uiPriority w:val="39"/>
    <w:unhideWhenUsed/>
    <w:rsid w:val="00D8766D"/>
    <w:pPr>
      <w:ind w:left="1260"/>
    </w:pPr>
    <w:rPr>
      <w:rFonts w:asciiTheme="minorHAnsi" w:hAnsiTheme="minorHAnsi" w:cs="Calibri"/>
      <w:sz w:val="20"/>
      <w:szCs w:val="20"/>
    </w:rPr>
  </w:style>
  <w:style w:type="paragraph" w:customStyle="1" w:styleId="CommentSubject1">
    <w:name w:val="Comment Subject1"/>
    <w:basedOn w:val="Textkomente"/>
    <w:next w:val="Textkomente"/>
    <w:uiPriority w:val="99"/>
    <w:semiHidden/>
    <w:unhideWhenUsed/>
    <w:rsid w:val="00D8766D"/>
    <w:rPr>
      <w:rFonts w:cs="Arial"/>
      <w:b/>
      <w:bCs/>
    </w:rPr>
  </w:style>
  <w:style w:type="table" w:customStyle="1" w:styleId="LightList-Accent21">
    <w:name w:val="Light List - Accent 21"/>
    <w:basedOn w:val="Normlntabulka"/>
    <w:next w:val="Svtlseznamzvraznn2"/>
    <w:uiPriority w:val="61"/>
    <w:semiHidden/>
    <w:unhideWhenUsed/>
    <w:rsid w:val="00D8766D"/>
    <w:pPr>
      <w:spacing w:after="0" w:line="240" w:lineRule="auto"/>
    </w:pPr>
    <w:tblPr>
      <w:tblStyleRowBandSize w:val="1"/>
      <w:tblStyleColBandSize w:val="1"/>
      <w:tblBorders>
        <w:top w:val="single" w:sz="8" w:space="0" w:color="F04E30"/>
        <w:left w:val="single" w:sz="8" w:space="0" w:color="F04E30"/>
        <w:bottom w:val="single" w:sz="8" w:space="0" w:color="F04E30"/>
        <w:right w:val="single" w:sz="8" w:space="0" w:color="F04E30"/>
      </w:tblBorders>
    </w:tblPr>
    <w:tblStylePr w:type="firstRow">
      <w:pPr>
        <w:spacing w:before="0" w:after="0" w:line="240" w:lineRule="auto"/>
      </w:pPr>
      <w:rPr>
        <w:b/>
        <w:bCs/>
        <w:color w:val="FFFFFF"/>
      </w:rPr>
      <w:tblPr/>
      <w:tcPr>
        <w:shd w:val="clear" w:color="auto" w:fill="F04E30"/>
      </w:tcPr>
    </w:tblStylePr>
    <w:tblStylePr w:type="lastRow">
      <w:pPr>
        <w:spacing w:before="0" w:after="0" w:line="240" w:lineRule="auto"/>
      </w:pPr>
      <w:rPr>
        <w:b/>
        <w:bCs/>
      </w:rPr>
      <w:tblPr/>
      <w:tcPr>
        <w:tcBorders>
          <w:top w:val="double" w:sz="6" w:space="0" w:color="F04E30"/>
          <w:left w:val="single" w:sz="8" w:space="0" w:color="F04E30"/>
          <w:bottom w:val="single" w:sz="8" w:space="0" w:color="F04E30"/>
          <w:right w:val="single" w:sz="8" w:space="0" w:color="F04E30"/>
        </w:tcBorders>
      </w:tcPr>
    </w:tblStylePr>
    <w:tblStylePr w:type="firstCol">
      <w:rPr>
        <w:b/>
        <w:bCs/>
      </w:rPr>
    </w:tblStylePr>
    <w:tblStylePr w:type="lastCol">
      <w:rPr>
        <w:b/>
        <w:bCs/>
      </w:rPr>
    </w:tblStylePr>
    <w:tblStylePr w:type="band1Vert">
      <w:tblPr/>
      <w:tcPr>
        <w:tcBorders>
          <w:top w:val="single" w:sz="8" w:space="0" w:color="F04E30"/>
          <w:left w:val="single" w:sz="8" w:space="0" w:color="F04E30"/>
          <w:bottom w:val="single" w:sz="8" w:space="0" w:color="F04E30"/>
          <w:right w:val="single" w:sz="8" w:space="0" w:color="F04E30"/>
        </w:tcBorders>
      </w:tcPr>
    </w:tblStylePr>
    <w:tblStylePr w:type="band1Horz">
      <w:tblPr/>
      <w:tcPr>
        <w:tcBorders>
          <w:top w:val="single" w:sz="8" w:space="0" w:color="F04E30"/>
          <w:left w:val="single" w:sz="8" w:space="0" w:color="F04E30"/>
          <w:bottom w:val="single" w:sz="8" w:space="0" w:color="F04E30"/>
          <w:right w:val="single" w:sz="8" w:space="0" w:color="F04E30"/>
        </w:tcBorders>
      </w:tcPr>
    </w:tblStylePr>
  </w:style>
  <w:style w:type="character" w:customStyle="1" w:styleId="FollowedHyperlink1">
    <w:name w:val="FollowedHyperlink1"/>
    <w:basedOn w:val="Standardnpsmoodstavce"/>
    <w:uiPriority w:val="99"/>
    <w:semiHidden/>
    <w:unhideWhenUsed/>
    <w:rsid w:val="00D8766D"/>
    <w:rPr>
      <w:color w:val="F04E30"/>
      <w:u w:val="single"/>
    </w:rPr>
  </w:style>
  <w:style w:type="character" w:customStyle="1" w:styleId="UnresolvedMention">
    <w:name w:val="Unresolved Mention"/>
    <w:basedOn w:val="Standardnpsmoodstavce"/>
    <w:uiPriority w:val="99"/>
    <w:semiHidden/>
    <w:unhideWhenUsed/>
    <w:rsid w:val="00D8766D"/>
    <w:rPr>
      <w:color w:val="605E5C"/>
      <w:shd w:val="clear" w:color="auto" w:fill="E1DFDD"/>
    </w:rPr>
  </w:style>
  <w:style w:type="character" w:customStyle="1" w:styleId="Heading1Char1">
    <w:name w:val="Heading 1 Char1"/>
    <w:basedOn w:val="Standardnpsmoodstavce"/>
    <w:uiPriority w:val="9"/>
    <w:rsid w:val="00D8766D"/>
    <w:rPr>
      <w:rFonts w:asciiTheme="majorHAnsi" w:eastAsiaTheme="majorEastAsia" w:hAnsiTheme="majorHAnsi" w:cstheme="majorBidi"/>
      <w:color w:val="004249" w:themeColor="accent1" w:themeShade="BF"/>
      <w:sz w:val="32"/>
      <w:szCs w:val="32"/>
    </w:rPr>
  </w:style>
  <w:style w:type="character" w:customStyle="1" w:styleId="TitleChar1">
    <w:name w:val="Title Char1"/>
    <w:basedOn w:val="Standardnpsmoodstavce"/>
    <w:uiPriority w:val="10"/>
    <w:rsid w:val="00D8766D"/>
    <w:rPr>
      <w:rFonts w:asciiTheme="majorHAnsi" w:eastAsiaTheme="majorEastAsia" w:hAnsiTheme="majorHAnsi" w:cstheme="majorBidi"/>
      <w:spacing w:val="-10"/>
      <w:kern w:val="28"/>
      <w:sz w:val="56"/>
      <w:szCs w:val="56"/>
    </w:rPr>
  </w:style>
  <w:style w:type="character" w:customStyle="1" w:styleId="Heading4Char1">
    <w:name w:val="Heading 4 Char1"/>
    <w:basedOn w:val="Standardnpsmoodstavce"/>
    <w:uiPriority w:val="9"/>
    <w:semiHidden/>
    <w:rsid w:val="00D8766D"/>
    <w:rPr>
      <w:rFonts w:asciiTheme="majorHAnsi" w:eastAsiaTheme="majorEastAsia" w:hAnsiTheme="majorHAnsi" w:cstheme="majorBidi"/>
      <w:i/>
      <w:iCs/>
      <w:color w:val="004249" w:themeColor="accent1" w:themeShade="BF"/>
    </w:rPr>
  </w:style>
  <w:style w:type="character" w:customStyle="1" w:styleId="Heading5Char1">
    <w:name w:val="Heading 5 Char1"/>
    <w:basedOn w:val="Standardnpsmoodstavce"/>
    <w:uiPriority w:val="9"/>
    <w:semiHidden/>
    <w:rsid w:val="00D8766D"/>
    <w:rPr>
      <w:rFonts w:asciiTheme="majorHAnsi" w:eastAsiaTheme="majorEastAsia" w:hAnsiTheme="majorHAnsi" w:cstheme="majorBidi"/>
      <w:color w:val="004249" w:themeColor="accent1" w:themeShade="BF"/>
    </w:rPr>
  </w:style>
  <w:style w:type="character" w:customStyle="1" w:styleId="CommentSubjectChar1">
    <w:name w:val="Comment Subject Char1"/>
    <w:basedOn w:val="TextkomenteChar"/>
    <w:uiPriority w:val="99"/>
    <w:semiHidden/>
    <w:rsid w:val="00D8766D"/>
    <w:rPr>
      <w:rFonts w:ascii="Trebuchet MS" w:eastAsia="Calibri" w:hAnsi="Trebuchet M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0559">
      <w:bodyDiv w:val="1"/>
      <w:marLeft w:val="0"/>
      <w:marRight w:val="0"/>
      <w:marTop w:val="0"/>
      <w:marBottom w:val="0"/>
      <w:divBdr>
        <w:top w:val="none" w:sz="0" w:space="0" w:color="auto"/>
        <w:left w:val="none" w:sz="0" w:space="0" w:color="auto"/>
        <w:bottom w:val="none" w:sz="0" w:space="0" w:color="auto"/>
        <w:right w:val="none" w:sz="0" w:space="0" w:color="auto"/>
      </w:divBdr>
    </w:div>
    <w:div w:id="59906430">
      <w:bodyDiv w:val="1"/>
      <w:marLeft w:val="0"/>
      <w:marRight w:val="0"/>
      <w:marTop w:val="0"/>
      <w:marBottom w:val="0"/>
      <w:divBdr>
        <w:top w:val="none" w:sz="0" w:space="0" w:color="auto"/>
        <w:left w:val="none" w:sz="0" w:space="0" w:color="auto"/>
        <w:bottom w:val="none" w:sz="0" w:space="0" w:color="auto"/>
        <w:right w:val="none" w:sz="0" w:space="0" w:color="auto"/>
      </w:divBdr>
      <w:divsChild>
        <w:div w:id="1611665459">
          <w:marLeft w:val="0"/>
          <w:marRight w:val="0"/>
          <w:marTop w:val="0"/>
          <w:marBottom w:val="0"/>
          <w:divBdr>
            <w:top w:val="none" w:sz="0" w:space="0" w:color="auto"/>
            <w:left w:val="none" w:sz="0" w:space="0" w:color="auto"/>
            <w:bottom w:val="none" w:sz="0" w:space="0" w:color="auto"/>
            <w:right w:val="none" w:sz="0" w:space="0" w:color="auto"/>
          </w:divBdr>
          <w:divsChild>
            <w:div w:id="2123450375">
              <w:marLeft w:val="0"/>
              <w:marRight w:val="0"/>
              <w:marTop w:val="0"/>
              <w:marBottom w:val="0"/>
              <w:divBdr>
                <w:top w:val="none" w:sz="0" w:space="0" w:color="auto"/>
                <w:left w:val="none" w:sz="0" w:space="0" w:color="auto"/>
                <w:bottom w:val="none" w:sz="0" w:space="0" w:color="auto"/>
                <w:right w:val="none" w:sz="0" w:space="0" w:color="auto"/>
              </w:divBdr>
              <w:divsChild>
                <w:div w:id="16102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3460">
      <w:bodyDiv w:val="1"/>
      <w:marLeft w:val="0"/>
      <w:marRight w:val="0"/>
      <w:marTop w:val="0"/>
      <w:marBottom w:val="0"/>
      <w:divBdr>
        <w:top w:val="none" w:sz="0" w:space="0" w:color="auto"/>
        <w:left w:val="none" w:sz="0" w:space="0" w:color="auto"/>
        <w:bottom w:val="none" w:sz="0" w:space="0" w:color="auto"/>
        <w:right w:val="none" w:sz="0" w:space="0" w:color="auto"/>
      </w:divBdr>
    </w:div>
    <w:div w:id="162477941">
      <w:bodyDiv w:val="1"/>
      <w:marLeft w:val="0"/>
      <w:marRight w:val="0"/>
      <w:marTop w:val="0"/>
      <w:marBottom w:val="0"/>
      <w:divBdr>
        <w:top w:val="none" w:sz="0" w:space="0" w:color="auto"/>
        <w:left w:val="none" w:sz="0" w:space="0" w:color="auto"/>
        <w:bottom w:val="none" w:sz="0" w:space="0" w:color="auto"/>
        <w:right w:val="none" w:sz="0" w:space="0" w:color="auto"/>
      </w:divBdr>
    </w:div>
    <w:div w:id="190188958">
      <w:bodyDiv w:val="1"/>
      <w:marLeft w:val="0"/>
      <w:marRight w:val="0"/>
      <w:marTop w:val="0"/>
      <w:marBottom w:val="0"/>
      <w:divBdr>
        <w:top w:val="none" w:sz="0" w:space="0" w:color="auto"/>
        <w:left w:val="none" w:sz="0" w:space="0" w:color="auto"/>
        <w:bottom w:val="none" w:sz="0" w:space="0" w:color="auto"/>
        <w:right w:val="none" w:sz="0" w:space="0" w:color="auto"/>
      </w:divBdr>
    </w:div>
    <w:div w:id="240679637">
      <w:bodyDiv w:val="1"/>
      <w:marLeft w:val="0"/>
      <w:marRight w:val="0"/>
      <w:marTop w:val="0"/>
      <w:marBottom w:val="0"/>
      <w:divBdr>
        <w:top w:val="none" w:sz="0" w:space="0" w:color="auto"/>
        <w:left w:val="none" w:sz="0" w:space="0" w:color="auto"/>
        <w:bottom w:val="none" w:sz="0" w:space="0" w:color="auto"/>
        <w:right w:val="none" w:sz="0" w:space="0" w:color="auto"/>
      </w:divBdr>
    </w:div>
    <w:div w:id="241111751">
      <w:bodyDiv w:val="1"/>
      <w:marLeft w:val="0"/>
      <w:marRight w:val="0"/>
      <w:marTop w:val="0"/>
      <w:marBottom w:val="0"/>
      <w:divBdr>
        <w:top w:val="none" w:sz="0" w:space="0" w:color="auto"/>
        <w:left w:val="none" w:sz="0" w:space="0" w:color="auto"/>
        <w:bottom w:val="none" w:sz="0" w:space="0" w:color="auto"/>
        <w:right w:val="none" w:sz="0" w:space="0" w:color="auto"/>
      </w:divBdr>
    </w:div>
    <w:div w:id="251548699">
      <w:bodyDiv w:val="1"/>
      <w:marLeft w:val="0"/>
      <w:marRight w:val="0"/>
      <w:marTop w:val="0"/>
      <w:marBottom w:val="0"/>
      <w:divBdr>
        <w:top w:val="none" w:sz="0" w:space="0" w:color="auto"/>
        <w:left w:val="none" w:sz="0" w:space="0" w:color="auto"/>
        <w:bottom w:val="none" w:sz="0" w:space="0" w:color="auto"/>
        <w:right w:val="none" w:sz="0" w:space="0" w:color="auto"/>
      </w:divBdr>
    </w:div>
    <w:div w:id="335348745">
      <w:bodyDiv w:val="1"/>
      <w:marLeft w:val="0"/>
      <w:marRight w:val="0"/>
      <w:marTop w:val="0"/>
      <w:marBottom w:val="0"/>
      <w:divBdr>
        <w:top w:val="none" w:sz="0" w:space="0" w:color="auto"/>
        <w:left w:val="none" w:sz="0" w:space="0" w:color="auto"/>
        <w:bottom w:val="none" w:sz="0" w:space="0" w:color="auto"/>
        <w:right w:val="none" w:sz="0" w:space="0" w:color="auto"/>
      </w:divBdr>
    </w:div>
    <w:div w:id="380058555">
      <w:bodyDiv w:val="1"/>
      <w:marLeft w:val="0"/>
      <w:marRight w:val="0"/>
      <w:marTop w:val="0"/>
      <w:marBottom w:val="0"/>
      <w:divBdr>
        <w:top w:val="none" w:sz="0" w:space="0" w:color="auto"/>
        <w:left w:val="none" w:sz="0" w:space="0" w:color="auto"/>
        <w:bottom w:val="none" w:sz="0" w:space="0" w:color="auto"/>
        <w:right w:val="none" w:sz="0" w:space="0" w:color="auto"/>
      </w:divBdr>
    </w:div>
    <w:div w:id="451478262">
      <w:bodyDiv w:val="1"/>
      <w:marLeft w:val="0"/>
      <w:marRight w:val="0"/>
      <w:marTop w:val="0"/>
      <w:marBottom w:val="0"/>
      <w:divBdr>
        <w:top w:val="none" w:sz="0" w:space="0" w:color="auto"/>
        <w:left w:val="none" w:sz="0" w:space="0" w:color="auto"/>
        <w:bottom w:val="none" w:sz="0" w:space="0" w:color="auto"/>
        <w:right w:val="none" w:sz="0" w:space="0" w:color="auto"/>
      </w:divBdr>
    </w:div>
    <w:div w:id="456922710">
      <w:bodyDiv w:val="1"/>
      <w:marLeft w:val="0"/>
      <w:marRight w:val="0"/>
      <w:marTop w:val="0"/>
      <w:marBottom w:val="0"/>
      <w:divBdr>
        <w:top w:val="none" w:sz="0" w:space="0" w:color="auto"/>
        <w:left w:val="none" w:sz="0" w:space="0" w:color="auto"/>
        <w:bottom w:val="none" w:sz="0" w:space="0" w:color="auto"/>
        <w:right w:val="none" w:sz="0" w:space="0" w:color="auto"/>
      </w:divBdr>
    </w:div>
    <w:div w:id="517473373">
      <w:bodyDiv w:val="1"/>
      <w:marLeft w:val="0"/>
      <w:marRight w:val="0"/>
      <w:marTop w:val="0"/>
      <w:marBottom w:val="0"/>
      <w:divBdr>
        <w:top w:val="none" w:sz="0" w:space="0" w:color="auto"/>
        <w:left w:val="none" w:sz="0" w:space="0" w:color="auto"/>
        <w:bottom w:val="none" w:sz="0" w:space="0" w:color="auto"/>
        <w:right w:val="none" w:sz="0" w:space="0" w:color="auto"/>
      </w:divBdr>
      <w:divsChild>
        <w:div w:id="111367408">
          <w:marLeft w:val="0"/>
          <w:marRight w:val="0"/>
          <w:marTop w:val="0"/>
          <w:marBottom w:val="255"/>
          <w:divBdr>
            <w:top w:val="none" w:sz="0" w:space="0" w:color="auto"/>
            <w:left w:val="none" w:sz="0" w:space="0" w:color="auto"/>
            <w:bottom w:val="none" w:sz="0" w:space="0" w:color="auto"/>
            <w:right w:val="none" w:sz="0" w:space="0" w:color="auto"/>
          </w:divBdr>
          <w:divsChild>
            <w:div w:id="221257667">
              <w:marLeft w:val="0"/>
              <w:marRight w:val="0"/>
              <w:marTop w:val="0"/>
              <w:marBottom w:val="0"/>
              <w:divBdr>
                <w:top w:val="none" w:sz="0" w:space="0" w:color="auto"/>
                <w:left w:val="none" w:sz="0" w:space="0" w:color="auto"/>
                <w:bottom w:val="none" w:sz="0" w:space="0" w:color="auto"/>
                <w:right w:val="none" w:sz="0" w:space="0" w:color="auto"/>
              </w:divBdr>
              <w:divsChild>
                <w:div w:id="1418943968">
                  <w:marLeft w:val="0"/>
                  <w:marRight w:val="0"/>
                  <w:marTop w:val="0"/>
                  <w:marBottom w:val="0"/>
                  <w:divBdr>
                    <w:top w:val="none" w:sz="0" w:space="0" w:color="auto"/>
                    <w:left w:val="none" w:sz="0" w:space="0" w:color="auto"/>
                    <w:bottom w:val="none" w:sz="0" w:space="0" w:color="auto"/>
                    <w:right w:val="none" w:sz="0" w:space="0" w:color="auto"/>
                  </w:divBdr>
                  <w:divsChild>
                    <w:div w:id="150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9167">
      <w:bodyDiv w:val="1"/>
      <w:marLeft w:val="0"/>
      <w:marRight w:val="0"/>
      <w:marTop w:val="0"/>
      <w:marBottom w:val="0"/>
      <w:divBdr>
        <w:top w:val="none" w:sz="0" w:space="0" w:color="auto"/>
        <w:left w:val="none" w:sz="0" w:space="0" w:color="auto"/>
        <w:bottom w:val="none" w:sz="0" w:space="0" w:color="auto"/>
        <w:right w:val="none" w:sz="0" w:space="0" w:color="auto"/>
      </w:divBdr>
    </w:div>
    <w:div w:id="560482837">
      <w:bodyDiv w:val="1"/>
      <w:marLeft w:val="0"/>
      <w:marRight w:val="0"/>
      <w:marTop w:val="0"/>
      <w:marBottom w:val="0"/>
      <w:divBdr>
        <w:top w:val="none" w:sz="0" w:space="0" w:color="auto"/>
        <w:left w:val="none" w:sz="0" w:space="0" w:color="auto"/>
        <w:bottom w:val="none" w:sz="0" w:space="0" w:color="auto"/>
        <w:right w:val="none" w:sz="0" w:space="0" w:color="auto"/>
      </w:divBdr>
    </w:div>
    <w:div w:id="588664137">
      <w:bodyDiv w:val="1"/>
      <w:marLeft w:val="0"/>
      <w:marRight w:val="0"/>
      <w:marTop w:val="0"/>
      <w:marBottom w:val="0"/>
      <w:divBdr>
        <w:top w:val="none" w:sz="0" w:space="0" w:color="auto"/>
        <w:left w:val="none" w:sz="0" w:space="0" w:color="auto"/>
        <w:bottom w:val="none" w:sz="0" w:space="0" w:color="auto"/>
        <w:right w:val="none" w:sz="0" w:space="0" w:color="auto"/>
      </w:divBdr>
    </w:div>
    <w:div w:id="664357061">
      <w:bodyDiv w:val="1"/>
      <w:marLeft w:val="0"/>
      <w:marRight w:val="0"/>
      <w:marTop w:val="0"/>
      <w:marBottom w:val="0"/>
      <w:divBdr>
        <w:top w:val="none" w:sz="0" w:space="0" w:color="auto"/>
        <w:left w:val="none" w:sz="0" w:space="0" w:color="auto"/>
        <w:bottom w:val="none" w:sz="0" w:space="0" w:color="auto"/>
        <w:right w:val="none" w:sz="0" w:space="0" w:color="auto"/>
      </w:divBdr>
    </w:div>
    <w:div w:id="674574490">
      <w:bodyDiv w:val="1"/>
      <w:marLeft w:val="0"/>
      <w:marRight w:val="0"/>
      <w:marTop w:val="0"/>
      <w:marBottom w:val="0"/>
      <w:divBdr>
        <w:top w:val="none" w:sz="0" w:space="0" w:color="auto"/>
        <w:left w:val="none" w:sz="0" w:space="0" w:color="auto"/>
        <w:bottom w:val="none" w:sz="0" w:space="0" w:color="auto"/>
        <w:right w:val="none" w:sz="0" w:space="0" w:color="auto"/>
      </w:divBdr>
    </w:div>
    <w:div w:id="675155093">
      <w:bodyDiv w:val="1"/>
      <w:marLeft w:val="0"/>
      <w:marRight w:val="0"/>
      <w:marTop w:val="0"/>
      <w:marBottom w:val="0"/>
      <w:divBdr>
        <w:top w:val="none" w:sz="0" w:space="0" w:color="auto"/>
        <w:left w:val="none" w:sz="0" w:space="0" w:color="auto"/>
        <w:bottom w:val="none" w:sz="0" w:space="0" w:color="auto"/>
        <w:right w:val="none" w:sz="0" w:space="0" w:color="auto"/>
      </w:divBdr>
    </w:div>
    <w:div w:id="707530236">
      <w:bodyDiv w:val="1"/>
      <w:marLeft w:val="0"/>
      <w:marRight w:val="0"/>
      <w:marTop w:val="0"/>
      <w:marBottom w:val="0"/>
      <w:divBdr>
        <w:top w:val="none" w:sz="0" w:space="0" w:color="auto"/>
        <w:left w:val="none" w:sz="0" w:space="0" w:color="auto"/>
        <w:bottom w:val="none" w:sz="0" w:space="0" w:color="auto"/>
        <w:right w:val="none" w:sz="0" w:space="0" w:color="auto"/>
      </w:divBdr>
    </w:div>
    <w:div w:id="773130605">
      <w:bodyDiv w:val="1"/>
      <w:marLeft w:val="0"/>
      <w:marRight w:val="0"/>
      <w:marTop w:val="0"/>
      <w:marBottom w:val="0"/>
      <w:divBdr>
        <w:top w:val="none" w:sz="0" w:space="0" w:color="auto"/>
        <w:left w:val="none" w:sz="0" w:space="0" w:color="auto"/>
        <w:bottom w:val="none" w:sz="0" w:space="0" w:color="auto"/>
        <w:right w:val="none" w:sz="0" w:space="0" w:color="auto"/>
      </w:divBdr>
    </w:div>
    <w:div w:id="777333682">
      <w:bodyDiv w:val="1"/>
      <w:marLeft w:val="0"/>
      <w:marRight w:val="0"/>
      <w:marTop w:val="0"/>
      <w:marBottom w:val="0"/>
      <w:divBdr>
        <w:top w:val="none" w:sz="0" w:space="0" w:color="auto"/>
        <w:left w:val="none" w:sz="0" w:space="0" w:color="auto"/>
        <w:bottom w:val="none" w:sz="0" w:space="0" w:color="auto"/>
        <w:right w:val="none" w:sz="0" w:space="0" w:color="auto"/>
      </w:divBdr>
      <w:divsChild>
        <w:div w:id="652216430">
          <w:marLeft w:val="0"/>
          <w:marRight w:val="0"/>
          <w:marTop w:val="0"/>
          <w:marBottom w:val="0"/>
          <w:divBdr>
            <w:top w:val="none" w:sz="0" w:space="0" w:color="auto"/>
            <w:left w:val="none" w:sz="0" w:space="0" w:color="auto"/>
            <w:bottom w:val="none" w:sz="0" w:space="0" w:color="auto"/>
            <w:right w:val="none" w:sz="0" w:space="0" w:color="auto"/>
          </w:divBdr>
        </w:div>
        <w:div w:id="735056371">
          <w:marLeft w:val="0"/>
          <w:marRight w:val="0"/>
          <w:marTop w:val="0"/>
          <w:marBottom w:val="0"/>
          <w:divBdr>
            <w:top w:val="none" w:sz="0" w:space="0" w:color="auto"/>
            <w:left w:val="none" w:sz="0" w:space="0" w:color="auto"/>
            <w:bottom w:val="none" w:sz="0" w:space="0" w:color="auto"/>
            <w:right w:val="none" w:sz="0" w:space="0" w:color="auto"/>
          </w:divBdr>
        </w:div>
        <w:div w:id="824316770">
          <w:marLeft w:val="0"/>
          <w:marRight w:val="0"/>
          <w:marTop w:val="0"/>
          <w:marBottom w:val="0"/>
          <w:divBdr>
            <w:top w:val="none" w:sz="0" w:space="0" w:color="auto"/>
            <w:left w:val="none" w:sz="0" w:space="0" w:color="auto"/>
            <w:bottom w:val="none" w:sz="0" w:space="0" w:color="auto"/>
            <w:right w:val="none" w:sz="0" w:space="0" w:color="auto"/>
          </w:divBdr>
        </w:div>
        <w:div w:id="1755514408">
          <w:marLeft w:val="0"/>
          <w:marRight w:val="0"/>
          <w:marTop w:val="0"/>
          <w:marBottom w:val="0"/>
          <w:divBdr>
            <w:top w:val="none" w:sz="0" w:space="0" w:color="auto"/>
            <w:left w:val="none" w:sz="0" w:space="0" w:color="auto"/>
            <w:bottom w:val="none" w:sz="0" w:space="0" w:color="auto"/>
            <w:right w:val="none" w:sz="0" w:space="0" w:color="auto"/>
          </w:divBdr>
        </w:div>
        <w:div w:id="2049525551">
          <w:marLeft w:val="0"/>
          <w:marRight w:val="0"/>
          <w:marTop w:val="0"/>
          <w:marBottom w:val="0"/>
          <w:divBdr>
            <w:top w:val="none" w:sz="0" w:space="0" w:color="auto"/>
            <w:left w:val="none" w:sz="0" w:space="0" w:color="auto"/>
            <w:bottom w:val="none" w:sz="0" w:space="0" w:color="auto"/>
            <w:right w:val="none" w:sz="0" w:space="0" w:color="auto"/>
          </w:divBdr>
        </w:div>
      </w:divsChild>
    </w:div>
    <w:div w:id="799108975">
      <w:bodyDiv w:val="1"/>
      <w:marLeft w:val="0"/>
      <w:marRight w:val="0"/>
      <w:marTop w:val="0"/>
      <w:marBottom w:val="0"/>
      <w:divBdr>
        <w:top w:val="none" w:sz="0" w:space="0" w:color="auto"/>
        <w:left w:val="none" w:sz="0" w:space="0" w:color="auto"/>
        <w:bottom w:val="none" w:sz="0" w:space="0" w:color="auto"/>
        <w:right w:val="none" w:sz="0" w:space="0" w:color="auto"/>
      </w:divBdr>
    </w:div>
    <w:div w:id="814371116">
      <w:bodyDiv w:val="1"/>
      <w:marLeft w:val="0"/>
      <w:marRight w:val="0"/>
      <w:marTop w:val="0"/>
      <w:marBottom w:val="0"/>
      <w:divBdr>
        <w:top w:val="none" w:sz="0" w:space="0" w:color="auto"/>
        <w:left w:val="none" w:sz="0" w:space="0" w:color="auto"/>
        <w:bottom w:val="none" w:sz="0" w:space="0" w:color="auto"/>
        <w:right w:val="none" w:sz="0" w:space="0" w:color="auto"/>
      </w:divBdr>
    </w:div>
    <w:div w:id="908879636">
      <w:bodyDiv w:val="1"/>
      <w:marLeft w:val="0"/>
      <w:marRight w:val="0"/>
      <w:marTop w:val="0"/>
      <w:marBottom w:val="0"/>
      <w:divBdr>
        <w:top w:val="none" w:sz="0" w:space="0" w:color="auto"/>
        <w:left w:val="none" w:sz="0" w:space="0" w:color="auto"/>
        <w:bottom w:val="none" w:sz="0" w:space="0" w:color="auto"/>
        <w:right w:val="none" w:sz="0" w:space="0" w:color="auto"/>
      </w:divBdr>
    </w:div>
    <w:div w:id="983661846">
      <w:bodyDiv w:val="1"/>
      <w:marLeft w:val="0"/>
      <w:marRight w:val="0"/>
      <w:marTop w:val="0"/>
      <w:marBottom w:val="0"/>
      <w:divBdr>
        <w:top w:val="none" w:sz="0" w:space="0" w:color="auto"/>
        <w:left w:val="none" w:sz="0" w:space="0" w:color="auto"/>
        <w:bottom w:val="none" w:sz="0" w:space="0" w:color="auto"/>
        <w:right w:val="none" w:sz="0" w:space="0" w:color="auto"/>
      </w:divBdr>
    </w:div>
    <w:div w:id="1003781293">
      <w:bodyDiv w:val="1"/>
      <w:marLeft w:val="0"/>
      <w:marRight w:val="0"/>
      <w:marTop w:val="0"/>
      <w:marBottom w:val="0"/>
      <w:divBdr>
        <w:top w:val="none" w:sz="0" w:space="0" w:color="auto"/>
        <w:left w:val="none" w:sz="0" w:space="0" w:color="auto"/>
        <w:bottom w:val="none" w:sz="0" w:space="0" w:color="auto"/>
        <w:right w:val="none" w:sz="0" w:space="0" w:color="auto"/>
      </w:divBdr>
    </w:div>
    <w:div w:id="1044794174">
      <w:bodyDiv w:val="1"/>
      <w:marLeft w:val="0"/>
      <w:marRight w:val="0"/>
      <w:marTop w:val="0"/>
      <w:marBottom w:val="0"/>
      <w:divBdr>
        <w:top w:val="none" w:sz="0" w:space="0" w:color="auto"/>
        <w:left w:val="none" w:sz="0" w:space="0" w:color="auto"/>
        <w:bottom w:val="none" w:sz="0" w:space="0" w:color="auto"/>
        <w:right w:val="none" w:sz="0" w:space="0" w:color="auto"/>
      </w:divBdr>
    </w:div>
    <w:div w:id="1049767931">
      <w:bodyDiv w:val="1"/>
      <w:marLeft w:val="0"/>
      <w:marRight w:val="0"/>
      <w:marTop w:val="0"/>
      <w:marBottom w:val="0"/>
      <w:divBdr>
        <w:top w:val="none" w:sz="0" w:space="0" w:color="auto"/>
        <w:left w:val="none" w:sz="0" w:space="0" w:color="auto"/>
        <w:bottom w:val="none" w:sz="0" w:space="0" w:color="auto"/>
        <w:right w:val="none" w:sz="0" w:space="0" w:color="auto"/>
      </w:divBdr>
    </w:div>
    <w:div w:id="1070351163">
      <w:bodyDiv w:val="1"/>
      <w:marLeft w:val="0"/>
      <w:marRight w:val="0"/>
      <w:marTop w:val="0"/>
      <w:marBottom w:val="0"/>
      <w:divBdr>
        <w:top w:val="none" w:sz="0" w:space="0" w:color="auto"/>
        <w:left w:val="none" w:sz="0" w:space="0" w:color="auto"/>
        <w:bottom w:val="none" w:sz="0" w:space="0" w:color="auto"/>
        <w:right w:val="none" w:sz="0" w:space="0" w:color="auto"/>
      </w:divBdr>
    </w:div>
    <w:div w:id="1116565232">
      <w:bodyDiv w:val="1"/>
      <w:marLeft w:val="0"/>
      <w:marRight w:val="0"/>
      <w:marTop w:val="0"/>
      <w:marBottom w:val="0"/>
      <w:divBdr>
        <w:top w:val="none" w:sz="0" w:space="0" w:color="auto"/>
        <w:left w:val="none" w:sz="0" w:space="0" w:color="auto"/>
        <w:bottom w:val="none" w:sz="0" w:space="0" w:color="auto"/>
        <w:right w:val="none" w:sz="0" w:space="0" w:color="auto"/>
      </w:divBdr>
    </w:div>
    <w:div w:id="1123691210">
      <w:bodyDiv w:val="1"/>
      <w:marLeft w:val="0"/>
      <w:marRight w:val="0"/>
      <w:marTop w:val="0"/>
      <w:marBottom w:val="0"/>
      <w:divBdr>
        <w:top w:val="none" w:sz="0" w:space="0" w:color="auto"/>
        <w:left w:val="none" w:sz="0" w:space="0" w:color="auto"/>
        <w:bottom w:val="none" w:sz="0" w:space="0" w:color="auto"/>
        <w:right w:val="none" w:sz="0" w:space="0" w:color="auto"/>
      </w:divBdr>
    </w:div>
    <w:div w:id="1131825722">
      <w:bodyDiv w:val="1"/>
      <w:marLeft w:val="0"/>
      <w:marRight w:val="0"/>
      <w:marTop w:val="0"/>
      <w:marBottom w:val="0"/>
      <w:divBdr>
        <w:top w:val="none" w:sz="0" w:space="0" w:color="auto"/>
        <w:left w:val="none" w:sz="0" w:space="0" w:color="auto"/>
        <w:bottom w:val="none" w:sz="0" w:space="0" w:color="auto"/>
        <w:right w:val="none" w:sz="0" w:space="0" w:color="auto"/>
      </w:divBdr>
    </w:div>
    <w:div w:id="1149788075">
      <w:bodyDiv w:val="1"/>
      <w:marLeft w:val="0"/>
      <w:marRight w:val="0"/>
      <w:marTop w:val="0"/>
      <w:marBottom w:val="0"/>
      <w:divBdr>
        <w:top w:val="none" w:sz="0" w:space="0" w:color="auto"/>
        <w:left w:val="none" w:sz="0" w:space="0" w:color="auto"/>
        <w:bottom w:val="none" w:sz="0" w:space="0" w:color="auto"/>
        <w:right w:val="none" w:sz="0" w:space="0" w:color="auto"/>
      </w:divBdr>
    </w:div>
    <w:div w:id="1153332451">
      <w:bodyDiv w:val="1"/>
      <w:marLeft w:val="0"/>
      <w:marRight w:val="0"/>
      <w:marTop w:val="0"/>
      <w:marBottom w:val="0"/>
      <w:divBdr>
        <w:top w:val="none" w:sz="0" w:space="0" w:color="auto"/>
        <w:left w:val="none" w:sz="0" w:space="0" w:color="auto"/>
        <w:bottom w:val="none" w:sz="0" w:space="0" w:color="auto"/>
        <w:right w:val="none" w:sz="0" w:space="0" w:color="auto"/>
      </w:divBdr>
    </w:div>
    <w:div w:id="1179546342">
      <w:bodyDiv w:val="1"/>
      <w:marLeft w:val="0"/>
      <w:marRight w:val="0"/>
      <w:marTop w:val="0"/>
      <w:marBottom w:val="0"/>
      <w:divBdr>
        <w:top w:val="none" w:sz="0" w:space="0" w:color="auto"/>
        <w:left w:val="none" w:sz="0" w:space="0" w:color="auto"/>
        <w:bottom w:val="none" w:sz="0" w:space="0" w:color="auto"/>
        <w:right w:val="none" w:sz="0" w:space="0" w:color="auto"/>
      </w:divBdr>
      <w:divsChild>
        <w:div w:id="1120297062">
          <w:marLeft w:val="0"/>
          <w:marRight w:val="0"/>
          <w:marTop w:val="0"/>
          <w:marBottom w:val="0"/>
          <w:divBdr>
            <w:top w:val="none" w:sz="0" w:space="0" w:color="auto"/>
            <w:left w:val="none" w:sz="0" w:space="0" w:color="auto"/>
            <w:bottom w:val="none" w:sz="0" w:space="0" w:color="auto"/>
            <w:right w:val="none" w:sz="0" w:space="0" w:color="auto"/>
          </w:divBdr>
        </w:div>
        <w:div w:id="1214543052">
          <w:marLeft w:val="0"/>
          <w:marRight w:val="0"/>
          <w:marTop w:val="0"/>
          <w:marBottom w:val="0"/>
          <w:divBdr>
            <w:top w:val="none" w:sz="0" w:space="0" w:color="auto"/>
            <w:left w:val="none" w:sz="0" w:space="0" w:color="auto"/>
            <w:bottom w:val="none" w:sz="0" w:space="0" w:color="auto"/>
            <w:right w:val="none" w:sz="0" w:space="0" w:color="auto"/>
          </w:divBdr>
        </w:div>
        <w:div w:id="1314026689">
          <w:marLeft w:val="0"/>
          <w:marRight w:val="0"/>
          <w:marTop w:val="0"/>
          <w:marBottom w:val="0"/>
          <w:divBdr>
            <w:top w:val="none" w:sz="0" w:space="0" w:color="auto"/>
            <w:left w:val="none" w:sz="0" w:space="0" w:color="auto"/>
            <w:bottom w:val="none" w:sz="0" w:space="0" w:color="auto"/>
            <w:right w:val="none" w:sz="0" w:space="0" w:color="auto"/>
          </w:divBdr>
        </w:div>
        <w:div w:id="1325283498">
          <w:marLeft w:val="0"/>
          <w:marRight w:val="0"/>
          <w:marTop w:val="0"/>
          <w:marBottom w:val="0"/>
          <w:divBdr>
            <w:top w:val="none" w:sz="0" w:space="0" w:color="auto"/>
            <w:left w:val="none" w:sz="0" w:space="0" w:color="auto"/>
            <w:bottom w:val="none" w:sz="0" w:space="0" w:color="auto"/>
            <w:right w:val="none" w:sz="0" w:space="0" w:color="auto"/>
          </w:divBdr>
        </w:div>
        <w:div w:id="1448233460">
          <w:marLeft w:val="0"/>
          <w:marRight w:val="0"/>
          <w:marTop w:val="0"/>
          <w:marBottom w:val="0"/>
          <w:divBdr>
            <w:top w:val="none" w:sz="0" w:space="0" w:color="auto"/>
            <w:left w:val="none" w:sz="0" w:space="0" w:color="auto"/>
            <w:bottom w:val="none" w:sz="0" w:space="0" w:color="auto"/>
            <w:right w:val="none" w:sz="0" w:space="0" w:color="auto"/>
          </w:divBdr>
        </w:div>
        <w:div w:id="1760590663">
          <w:marLeft w:val="0"/>
          <w:marRight w:val="0"/>
          <w:marTop w:val="0"/>
          <w:marBottom w:val="0"/>
          <w:divBdr>
            <w:top w:val="none" w:sz="0" w:space="0" w:color="auto"/>
            <w:left w:val="none" w:sz="0" w:space="0" w:color="auto"/>
            <w:bottom w:val="none" w:sz="0" w:space="0" w:color="auto"/>
            <w:right w:val="none" w:sz="0" w:space="0" w:color="auto"/>
          </w:divBdr>
        </w:div>
        <w:div w:id="2140607114">
          <w:marLeft w:val="0"/>
          <w:marRight w:val="0"/>
          <w:marTop w:val="0"/>
          <w:marBottom w:val="0"/>
          <w:divBdr>
            <w:top w:val="none" w:sz="0" w:space="0" w:color="auto"/>
            <w:left w:val="none" w:sz="0" w:space="0" w:color="auto"/>
            <w:bottom w:val="none" w:sz="0" w:space="0" w:color="auto"/>
            <w:right w:val="none" w:sz="0" w:space="0" w:color="auto"/>
          </w:divBdr>
        </w:div>
      </w:divsChild>
    </w:div>
    <w:div w:id="1200049730">
      <w:bodyDiv w:val="1"/>
      <w:marLeft w:val="0"/>
      <w:marRight w:val="0"/>
      <w:marTop w:val="0"/>
      <w:marBottom w:val="0"/>
      <w:divBdr>
        <w:top w:val="none" w:sz="0" w:space="0" w:color="auto"/>
        <w:left w:val="none" w:sz="0" w:space="0" w:color="auto"/>
        <w:bottom w:val="none" w:sz="0" w:space="0" w:color="auto"/>
        <w:right w:val="none" w:sz="0" w:space="0" w:color="auto"/>
      </w:divBdr>
    </w:div>
    <w:div w:id="1223827290">
      <w:bodyDiv w:val="1"/>
      <w:marLeft w:val="0"/>
      <w:marRight w:val="0"/>
      <w:marTop w:val="0"/>
      <w:marBottom w:val="0"/>
      <w:divBdr>
        <w:top w:val="none" w:sz="0" w:space="0" w:color="auto"/>
        <w:left w:val="none" w:sz="0" w:space="0" w:color="auto"/>
        <w:bottom w:val="none" w:sz="0" w:space="0" w:color="auto"/>
        <w:right w:val="none" w:sz="0" w:space="0" w:color="auto"/>
      </w:divBdr>
    </w:div>
    <w:div w:id="1234240477">
      <w:bodyDiv w:val="1"/>
      <w:marLeft w:val="0"/>
      <w:marRight w:val="0"/>
      <w:marTop w:val="0"/>
      <w:marBottom w:val="0"/>
      <w:divBdr>
        <w:top w:val="none" w:sz="0" w:space="0" w:color="auto"/>
        <w:left w:val="none" w:sz="0" w:space="0" w:color="auto"/>
        <w:bottom w:val="none" w:sz="0" w:space="0" w:color="auto"/>
        <w:right w:val="none" w:sz="0" w:space="0" w:color="auto"/>
      </w:divBdr>
      <w:divsChild>
        <w:div w:id="1290933665">
          <w:marLeft w:val="0"/>
          <w:marRight w:val="0"/>
          <w:marTop w:val="0"/>
          <w:marBottom w:val="0"/>
          <w:divBdr>
            <w:top w:val="none" w:sz="0" w:space="0" w:color="auto"/>
            <w:left w:val="none" w:sz="0" w:space="0" w:color="auto"/>
            <w:bottom w:val="none" w:sz="0" w:space="0" w:color="auto"/>
            <w:right w:val="none" w:sz="0" w:space="0" w:color="auto"/>
          </w:divBdr>
          <w:divsChild>
            <w:div w:id="1512797895">
              <w:marLeft w:val="0"/>
              <w:marRight w:val="0"/>
              <w:marTop w:val="0"/>
              <w:marBottom w:val="0"/>
              <w:divBdr>
                <w:top w:val="none" w:sz="0" w:space="0" w:color="auto"/>
                <w:left w:val="none" w:sz="0" w:space="0" w:color="auto"/>
                <w:bottom w:val="none" w:sz="0" w:space="0" w:color="auto"/>
                <w:right w:val="none" w:sz="0" w:space="0" w:color="auto"/>
              </w:divBdr>
              <w:divsChild>
                <w:div w:id="1934893417">
                  <w:marLeft w:val="0"/>
                  <w:marRight w:val="0"/>
                  <w:marTop w:val="0"/>
                  <w:marBottom w:val="0"/>
                  <w:divBdr>
                    <w:top w:val="none" w:sz="0" w:space="0" w:color="auto"/>
                    <w:left w:val="none" w:sz="0" w:space="0" w:color="auto"/>
                    <w:bottom w:val="none" w:sz="0" w:space="0" w:color="auto"/>
                    <w:right w:val="none" w:sz="0" w:space="0" w:color="auto"/>
                  </w:divBdr>
                  <w:divsChild>
                    <w:div w:id="1889604902">
                      <w:marLeft w:val="0"/>
                      <w:marRight w:val="0"/>
                      <w:marTop w:val="0"/>
                      <w:marBottom w:val="0"/>
                      <w:divBdr>
                        <w:top w:val="none" w:sz="0" w:space="0" w:color="auto"/>
                        <w:left w:val="none" w:sz="0" w:space="0" w:color="auto"/>
                        <w:bottom w:val="none" w:sz="0" w:space="0" w:color="auto"/>
                        <w:right w:val="none" w:sz="0" w:space="0" w:color="auto"/>
                      </w:divBdr>
                      <w:divsChild>
                        <w:div w:id="184886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981209">
      <w:bodyDiv w:val="1"/>
      <w:marLeft w:val="0"/>
      <w:marRight w:val="0"/>
      <w:marTop w:val="0"/>
      <w:marBottom w:val="0"/>
      <w:divBdr>
        <w:top w:val="none" w:sz="0" w:space="0" w:color="auto"/>
        <w:left w:val="none" w:sz="0" w:space="0" w:color="auto"/>
        <w:bottom w:val="none" w:sz="0" w:space="0" w:color="auto"/>
        <w:right w:val="none" w:sz="0" w:space="0" w:color="auto"/>
      </w:divBdr>
    </w:div>
    <w:div w:id="1423914046">
      <w:bodyDiv w:val="1"/>
      <w:marLeft w:val="0"/>
      <w:marRight w:val="0"/>
      <w:marTop w:val="0"/>
      <w:marBottom w:val="0"/>
      <w:divBdr>
        <w:top w:val="none" w:sz="0" w:space="0" w:color="auto"/>
        <w:left w:val="none" w:sz="0" w:space="0" w:color="auto"/>
        <w:bottom w:val="none" w:sz="0" w:space="0" w:color="auto"/>
        <w:right w:val="none" w:sz="0" w:space="0" w:color="auto"/>
      </w:divBdr>
    </w:div>
    <w:div w:id="1472359646">
      <w:bodyDiv w:val="1"/>
      <w:marLeft w:val="0"/>
      <w:marRight w:val="0"/>
      <w:marTop w:val="0"/>
      <w:marBottom w:val="0"/>
      <w:divBdr>
        <w:top w:val="none" w:sz="0" w:space="0" w:color="auto"/>
        <w:left w:val="none" w:sz="0" w:space="0" w:color="auto"/>
        <w:bottom w:val="none" w:sz="0" w:space="0" w:color="auto"/>
        <w:right w:val="none" w:sz="0" w:space="0" w:color="auto"/>
      </w:divBdr>
    </w:div>
    <w:div w:id="1474516691">
      <w:bodyDiv w:val="1"/>
      <w:marLeft w:val="0"/>
      <w:marRight w:val="0"/>
      <w:marTop w:val="0"/>
      <w:marBottom w:val="0"/>
      <w:divBdr>
        <w:top w:val="none" w:sz="0" w:space="0" w:color="auto"/>
        <w:left w:val="none" w:sz="0" w:space="0" w:color="auto"/>
        <w:bottom w:val="none" w:sz="0" w:space="0" w:color="auto"/>
        <w:right w:val="none" w:sz="0" w:space="0" w:color="auto"/>
      </w:divBdr>
    </w:div>
    <w:div w:id="1487362530">
      <w:bodyDiv w:val="1"/>
      <w:marLeft w:val="0"/>
      <w:marRight w:val="0"/>
      <w:marTop w:val="0"/>
      <w:marBottom w:val="0"/>
      <w:divBdr>
        <w:top w:val="none" w:sz="0" w:space="0" w:color="auto"/>
        <w:left w:val="none" w:sz="0" w:space="0" w:color="auto"/>
        <w:bottom w:val="none" w:sz="0" w:space="0" w:color="auto"/>
        <w:right w:val="none" w:sz="0" w:space="0" w:color="auto"/>
      </w:divBdr>
      <w:divsChild>
        <w:div w:id="1844471307">
          <w:marLeft w:val="0"/>
          <w:marRight w:val="0"/>
          <w:marTop w:val="0"/>
          <w:marBottom w:val="0"/>
          <w:divBdr>
            <w:top w:val="none" w:sz="0" w:space="0" w:color="auto"/>
            <w:left w:val="none" w:sz="0" w:space="0" w:color="auto"/>
            <w:bottom w:val="none" w:sz="0" w:space="0" w:color="auto"/>
            <w:right w:val="none" w:sz="0" w:space="0" w:color="auto"/>
          </w:divBdr>
          <w:divsChild>
            <w:div w:id="20383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00628">
      <w:bodyDiv w:val="1"/>
      <w:marLeft w:val="0"/>
      <w:marRight w:val="0"/>
      <w:marTop w:val="0"/>
      <w:marBottom w:val="0"/>
      <w:divBdr>
        <w:top w:val="none" w:sz="0" w:space="0" w:color="auto"/>
        <w:left w:val="none" w:sz="0" w:space="0" w:color="auto"/>
        <w:bottom w:val="none" w:sz="0" w:space="0" w:color="auto"/>
        <w:right w:val="none" w:sz="0" w:space="0" w:color="auto"/>
      </w:divBdr>
    </w:div>
    <w:div w:id="1621954944">
      <w:bodyDiv w:val="1"/>
      <w:marLeft w:val="0"/>
      <w:marRight w:val="0"/>
      <w:marTop w:val="0"/>
      <w:marBottom w:val="0"/>
      <w:divBdr>
        <w:top w:val="none" w:sz="0" w:space="0" w:color="auto"/>
        <w:left w:val="none" w:sz="0" w:space="0" w:color="auto"/>
        <w:bottom w:val="none" w:sz="0" w:space="0" w:color="auto"/>
        <w:right w:val="none" w:sz="0" w:space="0" w:color="auto"/>
      </w:divBdr>
    </w:div>
    <w:div w:id="1632705399">
      <w:bodyDiv w:val="1"/>
      <w:marLeft w:val="0"/>
      <w:marRight w:val="0"/>
      <w:marTop w:val="0"/>
      <w:marBottom w:val="0"/>
      <w:divBdr>
        <w:top w:val="none" w:sz="0" w:space="0" w:color="auto"/>
        <w:left w:val="none" w:sz="0" w:space="0" w:color="auto"/>
        <w:bottom w:val="none" w:sz="0" w:space="0" w:color="auto"/>
        <w:right w:val="none" w:sz="0" w:space="0" w:color="auto"/>
      </w:divBdr>
    </w:div>
    <w:div w:id="1720788322">
      <w:bodyDiv w:val="1"/>
      <w:marLeft w:val="0"/>
      <w:marRight w:val="0"/>
      <w:marTop w:val="0"/>
      <w:marBottom w:val="0"/>
      <w:divBdr>
        <w:top w:val="none" w:sz="0" w:space="0" w:color="auto"/>
        <w:left w:val="none" w:sz="0" w:space="0" w:color="auto"/>
        <w:bottom w:val="none" w:sz="0" w:space="0" w:color="auto"/>
        <w:right w:val="none" w:sz="0" w:space="0" w:color="auto"/>
      </w:divBdr>
    </w:div>
    <w:div w:id="1754005670">
      <w:bodyDiv w:val="1"/>
      <w:marLeft w:val="0"/>
      <w:marRight w:val="0"/>
      <w:marTop w:val="0"/>
      <w:marBottom w:val="0"/>
      <w:divBdr>
        <w:top w:val="none" w:sz="0" w:space="0" w:color="auto"/>
        <w:left w:val="none" w:sz="0" w:space="0" w:color="auto"/>
        <w:bottom w:val="none" w:sz="0" w:space="0" w:color="auto"/>
        <w:right w:val="none" w:sz="0" w:space="0" w:color="auto"/>
      </w:divBdr>
    </w:div>
    <w:div w:id="1756168869">
      <w:bodyDiv w:val="1"/>
      <w:marLeft w:val="0"/>
      <w:marRight w:val="0"/>
      <w:marTop w:val="0"/>
      <w:marBottom w:val="0"/>
      <w:divBdr>
        <w:top w:val="none" w:sz="0" w:space="0" w:color="auto"/>
        <w:left w:val="none" w:sz="0" w:space="0" w:color="auto"/>
        <w:bottom w:val="none" w:sz="0" w:space="0" w:color="auto"/>
        <w:right w:val="none" w:sz="0" w:space="0" w:color="auto"/>
      </w:divBdr>
      <w:divsChild>
        <w:div w:id="189035228">
          <w:marLeft w:val="1080"/>
          <w:marRight w:val="0"/>
          <w:marTop w:val="100"/>
          <w:marBottom w:val="0"/>
          <w:divBdr>
            <w:top w:val="none" w:sz="0" w:space="0" w:color="auto"/>
            <w:left w:val="none" w:sz="0" w:space="0" w:color="auto"/>
            <w:bottom w:val="none" w:sz="0" w:space="0" w:color="auto"/>
            <w:right w:val="none" w:sz="0" w:space="0" w:color="auto"/>
          </w:divBdr>
        </w:div>
        <w:div w:id="262302460">
          <w:marLeft w:val="1080"/>
          <w:marRight w:val="0"/>
          <w:marTop w:val="100"/>
          <w:marBottom w:val="0"/>
          <w:divBdr>
            <w:top w:val="none" w:sz="0" w:space="0" w:color="auto"/>
            <w:left w:val="none" w:sz="0" w:space="0" w:color="auto"/>
            <w:bottom w:val="none" w:sz="0" w:space="0" w:color="auto"/>
            <w:right w:val="none" w:sz="0" w:space="0" w:color="auto"/>
          </w:divBdr>
        </w:div>
        <w:div w:id="364450017">
          <w:marLeft w:val="1800"/>
          <w:marRight w:val="0"/>
          <w:marTop w:val="100"/>
          <w:marBottom w:val="0"/>
          <w:divBdr>
            <w:top w:val="none" w:sz="0" w:space="0" w:color="auto"/>
            <w:left w:val="none" w:sz="0" w:space="0" w:color="auto"/>
            <w:bottom w:val="none" w:sz="0" w:space="0" w:color="auto"/>
            <w:right w:val="none" w:sz="0" w:space="0" w:color="auto"/>
          </w:divBdr>
        </w:div>
        <w:div w:id="483200071">
          <w:marLeft w:val="1080"/>
          <w:marRight w:val="0"/>
          <w:marTop w:val="100"/>
          <w:marBottom w:val="0"/>
          <w:divBdr>
            <w:top w:val="none" w:sz="0" w:space="0" w:color="auto"/>
            <w:left w:val="none" w:sz="0" w:space="0" w:color="auto"/>
            <w:bottom w:val="none" w:sz="0" w:space="0" w:color="auto"/>
            <w:right w:val="none" w:sz="0" w:space="0" w:color="auto"/>
          </w:divBdr>
        </w:div>
        <w:div w:id="525753061">
          <w:marLeft w:val="1800"/>
          <w:marRight w:val="0"/>
          <w:marTop w:val="100"/>
          <w:marBottom w:val="0"/>
          <w:divBdr>
            <w:top w:val="none" w:sz="0" w:space="0" w:color="auto"/>
            <w:left w:val="none" w:sz="0" w:space="0" w:color="auto"/>
            <w:bottom w:val="none" w:sz="0" w:space="0" w:color="auto"/>
            <w:right w:val="none" w:sz="0" w:space="0" w:color="auto"/>
          </w:divBdr>
        </w:div>
        <w:div w:id="710153456">
          <w:marLeft w:val="806"/>
          <w:marRight w:val="0"/>
          <w:marTop w:val="200"/>
          <w:marBottom w:val="0"/>
          <w:divBdr>
            <w:top w:val="none" w:sz="0" w:space="0" w:color="auto"/>
            <w:left w:val="none" w:sz="0" w:space="0" w:color="auto"/>
            <w:bottom w:val="none" w:sz="0" w:space="0" w:color="auto"/>
            <w:right w:val="none" w:sz="0" w:space="0" w:color="auto"/>
          </w:divBdr>
        </w:div>
        <w:div w:id="1083523975">
          <w:marLeft w:val="1080"/>
          <w:marRight w:val="0"/>
          <w:marTop w:val="100"/>
          <w:marBottom w:val="0"/>
          <w:divBdr>
            <w:top w:val="none" w:sz="0" w:space="0" w:color="auto"/>
            <w:left w:val="none" w:sz="0" w:space="0" w:color="auto"/>
            <w:bottom w:val="none" w:sz="0" w:space="0" w:color="auto"/>
            <w:right w:val="none" w:sz="0" w:space="0" w:color="auto"/>
          </w:divBdr>
        </w:div>
        <w:div w:id="1269776148">
          <w:marLeft w:val="1080"/>
          <w:marRight w:val="0"/>
          <w:marTop w:val="100"/>
          <w:marBottom w:val="0"/>
          <w:divBdr>
            <w:top w:val="none" w:sz="0" w:space="0" w:color="auto"/>
            <w:left w:val="none" w:sz="0" w:space="0" w:color="auto"/>
            <w:bottom w:val="none" w:sz="0" w:space="0" w:color="auto"/>
            <w:right w:val="none" w:sz="0" w:space="0" w:color="auto"/>
          </w:divBdr>
        </w:div>
        <w:div w:id="1367483978">
          <w:marLeft w:val="806"/>
          <w:marRight w:val="0"/>
          <w:marTop w:val="200"/>
          <w:marBottom w:val="0"/>
          <w:divBdr>
            <w:top w:val="none" w:sz="0" w:space="0" w:color="auto"/>
            <w:left w:val="none" w:sz="0" w:space="0" w:color="auto"/>
            <w:bottom w:val="none" w:sz="0" w:space="0" w:color="auto"/>
            <w:right w:val="none" w:sz="0" w:space="0" w:color="auto"/>
          </w:divBdr>
        </w:div>
        <w:div w:id="1395932071">
          <w:marLeft w:val="806"/>
          <w:marRight w:val="0"/>
          <w:marTop w:val="200"/>
          <w:marBottom w:val="0"/>
          <w:divBdr>
            <w:top w:val="none" w:sz="0" w:space="0" w:color="auto"/>
            <w:left w:val="none" w:sz="0" w:space="0" w:color="auto"/>
            <w:bottom w:val="none" w:sz="0" w:space="0" w:color="auto"/>
            <w:right w:val="none" w:sz="0" w:space="0" w:color="auto"/>
          </w:divBdr>
        </w:div>
      </w:divsChild>
    </w:div>
    <w:div w:id="1813401921">
      <w:bodyDiv w:val="1"/>
      <w:marLeft w:val="0"/>
      <w:marRight w:val="0"/>
      <w:marTop w:val="0"/>
      <w:marBottom w:val="0"/>
      <w:divBdr>
        <w:top w:val="none" w:sz="0" w:space="0" w:color="auto"/>
        <w:left w:val="none" w:sz="0" w:space="0" w:color="auto"/>
        <w:bottom w:val="none" w:sz="0" w:space="0" w:color="auto"/>
        <w:right w:val="none" w:sz="0" w:space="0" w:color="auto"/>
      </w:divBdr>
      <w:divsChild>
        <w:div w:id="1710934">
          <w:marLeft w:val="0"/>
          <w:marRight w:val="0"/>
          <w:marTop w:val="0"/>
          <w:marBottom w:val="0"/>
          <w:divBdr>
            <w:top w:val="none" w:sz="0" w:space="0" w:color="auto"/>
            <w:left w:val="none" w:sz="0" w:space="0" w:color="auto"/>
            <w:bottom w:val="none" w:sz="0" w:space="0" w:color="auto"/>
            <w:right w:val="none" w:sz="0" w:space="0" w:color="auto"/>
          </w:divBdr>
          <w:divsChild>
            <w:div w:id="314796198">
              <w:marLeft w:val="0"/>
              <w:marRight w:val="0"/>
              <w:marTop w:val="0"/>
              <w:marBottom w:val="0"/>
              <w:divBdr>
                <w:top w:val="none" w:sz="0" w:space="0" w:color="auto"/>
                <w:left w:val="none" w:sz="0" w:space="0" w:color="auto"/>
                <w:bottom w:val="none" w:sz="0" w:space="0" w:color="auto"/>
                <w:right w:val="none" w:sz="0" w:space="0" w:color="auto"/>
              </w:divBdr>
            </w:div>
            <w:div w:id="545028714">
              <w:marLeft w:val="0"/>
              <w:marRight w:val="0"/>
              <w:marTop w:val="0"/>
              <w:marBottom w:val="0"/>
              <w:divBdr>
                <w:top w:val="none" w:sz="0" w:space="0" w:color="auto"/>
                <w:left w:val="none" w:sz="0" w:space="0" w:color="auto"/>
                <w:bottom w:val="none" w:sz="0" w:space="0" w:color="auto"/>
                <w:right w:val="none" w:sz="0" w:space="0" w:color="auto"/>
              </w:divBdr>
            </w:div>
            <w:div w:id="841042398">
              <w:marLeft w:val="0"/>
              <w:marRight w:val="0"/>
              <w:marTop w:val="0"/>
              <w:marBottom w:val="0"/>
              <w:divBdr>
                <w:top w:val="none" w:sz="0" w:space="0" w:color="auto"/>
                <w:left w:val="none" w:sz="0" w:space="0" w:color="auto"/>
                <w:bottom w:val="none" w:sz="0" w:space="0" w:color="auto"/>
                <w:right w:val="none" w:sz="0" w:space="0" w:color="auto"/>
              </w:divBdr>
            </w:div>
            <w:div w:id="863134370">
              <w:marLeft w:val="0"/>
              <w:marRight w:val="0"/>
              <w:marTop w:val="0"/>
              <w:marBottom w:val="0"/>
              <w:divBdr>
                <w:top w:val="none" w:sz="0" w:space="0" w:color="auto"/>
                <w:left w:val="none" w:sz="0" w:space="0" w:color="auto"/>
                <w:bottom w:val="none" w:sz="0" w:space="0" w:color="auto"/>
                <w:right w:val="none" w:sz="0" w:space="0" w:color="auto"/>
              </w:divBdr>
            </w:div>
            <w:div w:id="1422486039">
              <w:marLeft w:val="0"/>
              <w:marRight w:val="0"/>
              <w:marTop w:val="0"/>
              <w:marBottom w:val="0"/>
              <w:divBdr>
                <w:top w:val="none" w:sz="0" w:space="0" w:color="auto"/>
                <w:left w:val="none" w:sz="0" w:space="0" w:color="auto"/>
                <w:bottom w:val="none" w:sz="0" w:space="0" w:color="auto"/>
                <w:right w:val="none" w:sz="0" w:space="0" w:color="auto"/>
              </w:divBdr>
            </w:div>
            <w:div w:id="1564028752">
              <w:marLeft w:val="0"/>
              <w:marRight w:val="0"/>
              <w:marTop w:val="0"/>
              <w:marBottom w:val="0"/>
              <w:divBdr>
                <w:top w:val="none" w:sz="0" w:space="0" w:color="auto"/>
                <w:left w:val="none" w:sz="0" w:space="0" w:color="auto"/>
                <w:bottom w:val="none" w:sz="0" w:space="0" w:color="auto"/>
                <w:right w:val="none" w:sz="0" w:space="0" w:color="auto"/>
              </w:divBdr>
            </w:div>
            <w:div w:id="1609853178">
              <w:marLeft w:val="0"/>
              <w:marRight w:val="0"/>
              <w:marTop w:val="0"/>
              <w:marBottom w:val="0"/>
              <w:divBdr>
                <w:top w:val="none" w:sz="0" w:space="0" w:color="auto"/>
                <w:left w:val="none" w:sz="0" w:space="0" w:color="auto"/>
                <w:bottom w:val="none" w:sz="0" w:space="0" w:color="auto"/>
                <w:right w:val="none" w:sz="0" w:space="0" w:color="auto"/>
              </w:divBdr>
            </w:div>
            <w:div w:id="1627199751">
              <w:marLeft w:val="0"/>
              <w:marRight w:val="0"/>
              <w:marTop w:val="0"/>
              <w:marBottom w:val="0"/>
              <w:divBdr>
                <w:top w:val="none" w:sz="0" w:space="0" w:color="auto"/>
                <w:left w:val="none" w:sz="0" w:space="0" w:color="auto"/>
                <w:bottom w:val="none" w:sz="0" w:space="0" w:color="auto"/>
                <w:right w:val="none" w:sz="0" w:space="0" w:color="auto"/>
              </w:divBdr>
            </w:div>
          </w:divsChild>
        </w:div>
        <w:div w:id="73279136">
          <w:marLeft w:val="0"/>
          <w:marRight w:val="0"/>
          <w:marTop w:val="0"/>
          <w:marBottom w:val="0"/>
          <w:divBdr>
            <w:top w:val="none" w:sz="0" w:space="0" w:color="auto"/>
            <w:left w:val="none" w:sz="0" w:space="0" w:color="auto"/>
            <w:bottom w:val="none" w:sz="0" w:space="0" w:color="auto"/>
            <w:right w:val="none" w:sz="0" w:space="0" w:color="auto"/>
          </w:divBdr>
        </w:div>
        <w:div w:id="192767365">
          <w:marLeft w:val="0"/>
          <w:marRight w:val="0"/>
          <w:marTop w:val="0"/>
          <w:marBottom w:val="0"/>
          <w:divBdr>
            <w:top w:val="none" w:sz="0" w:space="0" w:color="auto"/>
            <w:left w:val="none" w:sz="0" w:space="0" w:color="auto"/>
            <w:bottom w:val="none" w:sz="0" w:space="0" w:color="auto"/>
            <w:right w:val="none" w:sz="0" w:space="0" w:color="auto"/>
          </w:divBdr>
          <w:divsChild>
            <w:div w:id="55277940">
              <w:marLeft w:val="0"/>
              <w:marRight w:val="0"/>
              <w:marTop w:val="0"/>
              <w:marBottom w:val="0"/>
              <w:divBdr>
                <w:top w:val="none" w:sz="0" w:space="0" w:color="auto"/>
                <w:left w:val="none" w:sz="0" w:space="0" w:color="auto"/>
                <w:bottom w:val="none" w:sz="0" w:space="0" w:color="auto"/>
                <w:right w:val="none" w:sz="0" w:space="0" w:color="auto"/>
              </w:divBdr>
            </w:div>
            <w:div w:id="382486015">
              <w:marLeft w:val="0"/>
              <w:marRight w:val="0"/>
              <w:marTop w:val="0"/>
              <w:marBottom w:val="0"/>
              <w:divBdr>
                <w:top w:val="none" w:sz="0" w:space="0" w:color="auto"/>
                <w:left w:val="none" w:sz="0" w:space="0" w:color="auto"/>
                <w:bottom w:val="none" w:sz="0" w:space="0" w:color="auto"/>
                <w:right w:val="none" w:sz="0" w:space="0" w:color="auto"/>
              </w:divBdr>
            </w:div>
            <w:div w:id="1783190254">
              <w:marLeft w:val="0"/>
              <w:marRight w:val="0"/>
              <w:marTop w:val="0"/>
              <w:marBottom w:val="0"/>
              <w:divBdr>
                <w:top w:val="none" w:sz="0" w:space="0" w:color="auto"/>
                <w:left w:val="none" w:sz="0" w:space="0" w:color="auto"/>
                <w:bottom w:val="none" w:sz="0" w:space="0" w:color="auto"/>
                <w:right w:val="none" w:sz="0" w:space="0" w:color="auto"/>
              </w:divBdr>
            </w:div>
            <w:div w:id="1960335420">
              <w:marLeft w:val="0"/>
              <w:marRight w:val="0"/>
              <w:marTop w:val="0"/>
              <w:marBottom w:val="0"/>
              <w:divBdr>
                <w:top w:val="none" w:sz="0" w:space="0" w:color="auto"/>
                <w:left w:val="none" w:sz="0" w:space="0" w:color="auto"/>
                <w:bottom w:val="none" w:sz="0" w:space="0" w:color="auto"/>
                <w:right w:val="none" w:sz="0" w:space="0" w:color="auto"/>
              </w:divBdr>
            </w:div>
          </w:divsChild>
        </w:div>
        <w:div w:id="315111275">
          <w:marLeft w:val="0"/>
          <w:marRight w:val="0"/>
          <w:marTop w:val="0"/>
          <w:marBottom w:val="0"/>
          <w:divBdr>
            <w:top w:val="none" w:sz="0" w:space="0" w:color="auto"/>
            <w:left w:val="none" w:sz="0" w:space="0" w:color="auto"/>
            <w:bottom w:val="none" w:sz="0" w:space="0" w:color="auto"/>
            <w:right w:val="none" w:sz="0" w:space="0" w:color="auto"/>
          </w:divBdr>
        </w:div>
        <w:div w:id="490756583">
          <w:marLeft w:val="0"/>
          <w:marRight w:val="0"/>
          <w:marTop w:val="0"/>
          <w:marBottom w:val="0"/>
          <w:divBdr>
            <w:top w:val="none" w:sz="0" w:space="0" w:color="auto"/>
            <w:left w:val="none" w:sz="0" w:space="0" w:color="auto"/>
            <w:bottom w:val="none" w:sz="0" w:space="0" w:color="auto"/>
            <w:right w:val="none" w:sz="0" w:space="0" w:color="auto"/>
          </w:divBdr>
        </w:div>
        <w:div w:id="647977091">
          <w:marLeft w:val="0"/>
          <w:marRight w:val="0"/>
          <w:marTop w:val="0"/>
          <w:marBottom w:val="0"/>
          <w:divBdr>
            <w:top w:val="none" w:sz="0" w:space="0" w:color="auto"/>
            <w:left w:val="none" w:sz="0" w:space="0" w:color="auto"/>
            <w:bottom w:val="none" w:sz="0" w:space="0" w:color="auto"/>
            <w:right w:val="none" w:sz="0" w:space="0" w:color="auto"/>
          </w:divBdr>
        </w:div>
        <w:div w:id="663584718">
          <w:marLeft w:val="0"/>
          <w:marRight w:val="0"/>
          <w:marTop w:val="0"/>
          <w:marBottom w:val="0"/>
          <w:divBdr>
            <w:top w:val="none" w:sz="0" w:space="0" w:color="auto"/>
            <w:left w:val="none" w:sz="0" w:space="0" w:color="auto"/>
            <w:bottom w:val="none" w:sz="0" w:space="0" w:color="auto"/>
            <w:right w:val="none" w:sz="0" w:space="0" w:color="auto"/>
          </w:divBdr>
        </w:div>
        <w:div w:id="683820439">
          <w:marLeft w:val="0"/>
          <w:marRight w:val="0"/>
          <w:marTop w:val="0"/>
          <w:marBottom w:val="0"/>
          <w:divBdr>
            <w:top w:val="none" w:sz="0" w:space="0" w:color="auto"/>
            <w:left w:val="none" w:sz="0" w:space="0" w:color="auto"/>
            <w:bottom w:val="none" w:sz="0" w:space="0" w:color="auto"/>
            <w:right w:val="none" w:sz="0" w:space="0" w:color="auto"/>
          </w:divBdr>
        </w:div>
        <w:div w:id="772476740">
          <w:marLeft w:val="0"/>
          <w:marRight w:val="0"/>
          <w:marTop w:val="0"/>
          <w:marBottom w:val="0"/>
          <w:divBdr>
            <w:top w:val="none" w:sz="0" w:space="0" w:color="auto"/>
            <w:left w:val="none" w:sz="0" w:space="0" w:color="auto"/>
            <w:bottom w:val="none" w:sz="0" w:space="0" w:color="auto"/>
            <w:right w:val="none" w:sz="0" w:space="0" w:color="auto"/>
          </w:divBdr>
        </w:div>
        <w:div w:id="876048047">
          <w:marLeft w:val="0"/>
          <w:marRight w:val="0"/>
          <w:marTop w:val="0"/>
          <w:marBottom w:val="0"/>
          <w:divBdr>
            <w:top w:val="none" w:sz="0" w:space="0" w:color="auto"/>
            <w:left w:val="none" w:sz="0" w:space="0" w:color="auto"/>
            <w:bottom w:val="none" w:sz="0" w:space="0" w:color="auto"/>
            <w:right w:val="none" w:sz="0" w:space="0" w:color="auto"/>
          </w:divBdr>
        </w:div>
        <w:div w:id="945305158">
          <w:marLeft w:val="0"/>
          <w:marRight w:val="0"/>
          <w:marTop w:val="0"/>
          <w:marBottom w:val="0"/>
          <w:divBdr>
            <w:top w:val="none" w:sz="0" w:space="0" w:color="auto"/>
            <w:left w:val="none" w:sz="0" w:space="0" w:color="auto"/>
            <w:bottom w:val="none" w:sz="0" w:space="0" w:color="auto"/>
            <w:right w:val="none" w:sz="0" w:space="0" w:color="auto"/>
          </w:divBdr>
        </w:div>
        <w:div w:id="987976950">
          <w:marLeft w:val="0"/>
          <w:marRight w:val="0"/>
          <w:marTop w:val="0"/>
          <w:marBottom w:val="0"/>
          <w:divBdr>
            <w:top w:val="none" w:sz="0" w:space="0" w:color="auto"/>
            <w:left w:val="none" w:sz="0" w:space="0" w:color="auto"/>
            <w:bottom w:val="none" w:sz="0" w:space="0" w:color="auto"/>
            <w:right w:val="none" w:sz="0" w:space="0" w:color="auto"/>
          </w:divBdr>
        </w:div>
        <w:div w:id="991450830">
          <w:marLeft w:val="0"/>
          <w:marRight w:val="0"/>
          <w:marTop w:val="0"/>
          <w:marBottom w:val="0"/>
          <w:divBdr>
            <w:top w:val="none" w:sz="0" w:space="0" w:color="auto"/>
            <w:left w:val="none" w:sz="0" w:space="0" w:color="auto"/>
            <w:bottom w:val="none" w:sz="0" w:space="0" w:color="auto"/>
            <w:right w:val="none" w:sz="0" w:space="0" w:color="auto"/>
          </w:divBdr>
        </w:div>
        <w:div w:id="1059324294">
          <w:marLeft w:val="0"/>
          <w:marRight w:val="0"/>
          <w:marTop w:val="0"/>
          <w:marBottom w:val="0"/>
          <w:divBdr>
            <w:top w:val="none" w:sz="0" w:space="0" w:color="auto"/>
            <w:left w:val="none" w:sz="0" w:space="0" w:color="auto"/>
            <w:bottom w:val="none" w:sz="0" w:space="0" w:color="auto"/>
            <w:right w:val="none" w:sz="0" w:space="0" w:color="auto"/>
          </w:divBdr>
        </w:div>
        <w:div w:id="1159272179">
          <w:marLeft w:val="0"/>
          <w:marRight w:val="0"/>
          <w:marTop w:val="0"/>
          <w:marBottom w:val="0"/>
          <w:divBdr>
            <w:top w:val="none" w:sz="0" w:space="0" w:color="auto"/>
            <w:left w:val="none" w:sz="0" w:space="0" w:color="auto"/>
            <w:bottom w:val="none" w:sz="0" w:space="0" w:color="auto"/>
            <w:right w:val="none" w:sz="0" w:space="0" w:color="auto"/>
          </w:divBdr>
        </w:div>
        <w:div w:id="1190794815">
          <w:marLeft w:val="0"/>
          <w:marRight w:val="0"/>
          <w:marTop w:val="0"/>
          <w:marBottom w:val="0"/>
          <w:divBdr>
            <w:top w:val="none" w:sz="0" w:space="0" w:color="auto"/>
            <w:left w:val="none" w:sz="0" w:space="0" w:color="auto"/>
            <w:bottom w:val="none" w:sz="0" w:space="0" w:color="auto"/>
            <w:right w:val="none" w:sz="0" w:space="0" w:color="auto"/>
          </w:divBdr>
        </w:div>
        <w:div w:id="1212618107">
          <w:marLeft w:val="0"/>
          <w:marRight w:val="0"/>
          <w:marTop w:val="0"/>
          <w:marBottom w:val="0"/>
          <w:divBdr>
            <w:top w:val="none" w:sz="0" w:space="0" w:color="auto"/>
            <w:left w:val="none" w:sz="0" w:space="0" w:color="auto"/>
            <w:bottom w:val="none" w:sz="0" w:space="0" w:color="auto"/>
            <w:right w:val="none" w:sz="0" w:space="0" w:color="auto"/>
          </w:divBdr>
        </w:div>
        <w:div w:id="1213076388">
          <w:marLeft w:val="0"/>
          <w:marRight w:val="0"/>
          <w:marTop w:val="0"/>
          <w:marBottom w:val="0"/>
          <w:divBdr>
            <w:top w:val="none" w:sz="0" w:space="0" w:color="auto"/>
            <w:left w:val="none" w:sz="0" w:space="0" w:color="auto"/>
            <w:bottom w:val="none" w:sz="0" w:space="0" w:color="auto"/>
            <w:right w:val="none" w:sz="0" w:space="0" w:color="auto"/>
          </w:divBdr>
        </w:div>
        <w:div w:id="1264151632">
          <w:marLeft w:val="0"/>
          <w:marRight w:val="0"/>
          <w:marTop w:val="0"/>
          <w:marBottom w:val="0"/>
          <w:divBdr>
            <w:top w:val="none" w:sz="0" w:space="0" w:color="auto"/>
            <w:left w:val="none" w:sz="0" w:space="0" w:color="auto"/>
            <w:bottom w:val="none" w:sz="0" w:space="0" w:color="auto"/>
            <w:right w:val="none" w:sz="0" w:space="0" w:color="auto"/>
          </w:divBdr>
          <w:divsChild>
            <w:div w:id="158084535">
              <w:marLeft w:val="-75"/>
              <w:marRight w:val="0"/>
              <w:marTop w:val="30"/>
              <w:marBottom w:val="30"/>
              <w:divBdr>
                <w:top w:val="none" w:sz="0" w:space="0" w:color="auto"/>
                <w:left w:val="none" w:sz="0" w:space="0" w:color="auto"/>
                <w:bottom w:val="none" w:sz="0" w:space="0" w:color="auto"/>
                <w:right w:val="none" w:sz="0" w:space="0" w:color="auto"/>
              </w:divBdr>
              <w:divsChild>
                <w:div w:id="383600792">
                  <w:marLeft w:val="0"/>
                  <w:marRight w:val="0"/>
                  <w:marTop w:val="0"/>
                  <w:marBottom w:val="0"/>
                  <w:divBdr>
                    <w:top w:val="none" w:sz="0" w:space="0" w:color="auto"/>
                    <w:left w:val="none" w:sz="0" w:space="0" w:color="auto"/>
                    <w:bottom w:val="none" w:sz="0" w:space="0" w:color="auto"/>
                    <w:right w:val="none" w:sz="0" w:space="0" w:color="auto"/>
                  </w:divBdr>
                  <w:divsChild>
                    <w:div w:id="477112010">
                      <w:marLeft w:val="0"/>
                      <w:marRight w:val="0"/>
                      <w:marTop w:val="0"/>
                      <w:marBottom w:val="0"/>
                      <w:divBdr>
                        <w:top w:val="none" w:sz="0" w:space="0" w:color="auto"/>
                        <w:left w:val="none" w:sz="0" w:space="0" w:color="auto"/>
                        <w:bottom w:val="none" w:sz="0" w:space="0" w:color="auto"/>
                        <w:right w:val="none" w:sz="0" w:space="0" w:color="auto"/>
                      </w:divBdr>
                    </w:div>
                  </w:divsChild>
                </w:div>
                <w:div w:id="502934276">
                  <w:marLeft w:val="0"/>
                  <w:marRight w:val="0"/>
                  <w:marTop w:val="0"/>
                  <w:marBottom w:val="0"/>
                  <w:divBdr>
                    <w:top w:val="none" w:sz="0" w:space="0" w:color="auto"/>
                    <w:left w:val="none" w:sz="0" w:space="0" w:color="auto"/>
                    <w:bottom w:val="none" w:sz="0" w:space="0" w:color="auto"/>
                    <w:right w:val="none" w:sz="0" w:space="0" w:color="auto"/>
                  </w:divBdr>
                  <w:divsChild>
                    <w:div w:id="387997260">
                      <w:marLeft w:val="0"/>
                      <w:marRight w:val="0"/>
                      <w:marTop w:val="0"/>
                      <w:marBottom w:val="0"/>
                      <w:divBdr>
                        <w:top w:val="none" w:sz="0" w:space="0" w:color="auto"/>
                        <w:left w:val="none" w:sz="0" w:space="0" w:color="auto"/>
                        <w:bottom w:val="none" w:sz="0" w:space="0" w:color="auto"/>
                        <w:right w:val="none" w:sz="0" w:space="0" w:color="auto"/>
                      </w:divBdr>
                    </w:div>
                  </w:divsChild>
                </w:div>
                <w:div w:id="1268274496">
                  <w:marLeft w:val="0"/>
                  <w:marRight w:val="0"/>
                  <w:marTop w:val="0"/>
                  <w:marBottom w:val="0"/>
                  <w:divBdr>
                    <w:top w:val="none" w:sz="0" w:space="0" w:color="auto"/>
                    <w:left w:val="none" w:sz="0" w:space="0" w:color="auto"/>
                    <w:bottom w:val="none" w:sz="0" w:space="0" w:color="auto"/>
                    <w:right w:val="none" w:sz="0" w:space="0" w:color="auto"/>
                  </w:divBdr>
                  <w:divsChild>
                    <w:div w:id="4889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92986">
          <w:marLeft w:val="0"/>
          <w:marRight w:val="0"/>
          <w:marTop w:val="0"/>
          <w:marBottom w:val="0"/>
          <w:divBdr>
            <w:top w:val="none" w:sz="0" w:space="0" w:color="auto"/>
            <w:left w:val="none" w:sz="0" w:space="0" w:color="auto"/>
            <w:bottom w:val="none" w:sz="0" w:space="0" w:color="auto"/>
            <w:right w:val="none" w:sz="0" w:space="0" w:color="auto"/>
          </w:divBdr>
        </w:div>
        <w:div w:id="1432505993">
          <w:marLeft w:val="0"/>
          <w:marRight w:val="0"/>
          <w:marTop w:val="0"/>
          <w:marBottom w:val="0"/>
          <w:divBdr>
            <w:top w:val="none" w:sz="0" w:space="0" w:color="auto"/>
            <w:left w:val="none" w:sz="0" w:space="0" w:color="auto"/>
            <w:bottom w:val="none" w:sz="0" w:space="0" w:color="auto"/>
            <w:right w:val="none" w:sz="0" w:space="0" w:color="auto"/>
          </w:divBdr>
          <w:divsChild>
            <w:div w:id="1194539164">
              <w:marLeft w:val="-75"/>
              <w:marRight w:val="0"/>
              <w:marTop w:val="30"/>
              <w:marBottom w:val="30"/>
              <w:divBdr>
                <w:top w:val="none" w:sz="0" w:space="0" w:color="auto"/>
                <w:left w:val="none" w:sz="0" w:space="0" w:color="auto"/>
                <w:bottom w:val="none" w:sz="0" w:space="0" w:color="auto"/>
                <w:right w:val="none" w:sz="0" w:space="0" w:color="auto"/>
              </w:divBdr>
              <w:divsChild>
                <w:div w:id="59717139">
                  <w:marLeft w:val="0"/>
                  <w:marRight w:val="0"/>
                  <w:marTop w:val="0"/>
                  <w:marBottom w:val="0"/>
                  <w:divBdr>
                    <w:top w:val="none" w:sz="0" w:space="0" w:color="auto"/>
                    <w:left w:val="none" w:sz="0" w:space="0" w:color="auto"/>
                    <w:bottom w:val="none" w:sz="0" w:space="0" w:color="auto"/>
                    <w:right w:val="none" w:sz="0" w:space="0" w:color="auto"/>
                  </w:divBdr>
                  <w:divsChild>
                    <w:div w:id="1791626301">
                      <w:marLeft w:val="0"/>
                      <w:marRight w:val="0"/>
                      <w:marTop w:val="0"/>
                      <w:marBottom w:val="0"/>
                      <w:divBdr>
                        <w:top w:val="none" w:sz="0" w:space="0" w:color="auto"/>
                        <w:left w:val="none" w:sz="0" w:space="0" w:color="auto"/>
                        <w:bottom w:val="none" w:sz="0" w:space="0" w:color="auto"/>
                        <w:right w:val="none" w:sz="0" w:space="0" w:color="auto"/>
                      </w:divBdr>
                    </w:div>
                  </w:divsChild>
                </w:div>
                <w:div w:id="86469349">
                  <w:marLeft w:val="0"/>
                  <w:marRight w:val="0"/>
                  <w:marTop w:val="0"/>
                  <w:marBottom w:val="0"/>
                  <w:divBdr>
                    <w:top w:val="none" w:sz="0" w:space="0" w:color="auto"/>
                    <w:left w:val="none" w:sz="0" w:space="0" w:color="auto"/>
                    <w:bottom w:val="none" w:sz="0" w:space="0" w:color="auto"/>
                    <w:right w:val="none" w:sz="0" w:space="0" w:color="auto"/>
                  </w:divBdr>
                  <w:divsChild>
                    <w:div w:id="2087023621">
                      <w:marLeft w:val="0"/>
                      <w:marRight w:val="0"/>
                      <w:marTop w:val="0"/>
                      <w:marBottom w:val="0"/>
                      <w:divBdr>
                        <w:top w:val="none" w:sz="0" w:space="0" w:color="auto"/>
                        <w:left w:val="none" w:sz="0" w:space="0" w:color="auto"/>
                        <w:bottom w:val="none" w:sz="0" w:space="0" w:color="auto"/>
                        <w:right w:val="none" w:sz="0" w:space="0" w:color="auto"/>
                      </w:divBdr>
                    </w:div>
                  </w:divsChild>
                </w:div>
                <w:div w:id="91560040">
                  <w:marLeft w:val="0"/>
                  <w:marRight w:val="0"/>
                  <w:marTop w:val="0"/>
                  <w:marBottom w:val="0"/>
                  <w:divBdr>
                    <w:top w:val="none" w:sz="0" w:space="0" w:color="auto"/>
                    <w:left w:val="none" w:sz="0" w:space="0" w:color="auto"/>
                    <w:bottom w:val="none" w:sz="0" w:space="0" w:color="auto"/>
                    <w:right w:val="none" w:sz="0" w:space="0" w:color="auto"/>
                  </w:divBdr>
                  <w:divsChild>
                    <w:div w:id="640380359">
                      <w:marLeft w:val="0"/>
                      <w:marRight w:val="0"/>
                      <w:marTop w:val="0"/>
                      <w:marBottom w:val="0"/>
                      <w:divBdr>
                        <w:top w:val="none" w:sz="0" w:space="0" w:color="auto"/>
                        <w:left w:val="none" w:sz="0" w:space="0" w:color="auto"/>
                        <w:bottom w:val="none" w:sz="0" w:space="0" w:color="auto"/>
                        <w:right w:val="none" w:sz="0" w:space="0" w:color="auto"/>
                      </w:divBdr>
                    </w:div>
                  </w:divsChild>
                </w:div>
                <w:div w:id="271011019">
                  <w:marLeft w:val="0"/>
                  <w:marRight w:val="0"/>
                  <w:marTop w:val="0"/>
                  <w:marBottom w:val="0"/>
                  <w:divBdr>
                    <w:top w:val="none" w:sz="0" w:space="0" w:color="auto"/>
                    <w:left w:val="none" w:sz="0" w:space="0" w:color="auto"/>
                    <w:bottom w:val="none" w:sz="0" w:space="0" w:color="auto"/>
                    <w:right w:val="none" w:sz="0" w:space="0" w:color="auto"/>
                  </w:divBdr>
                  <w:divsChild>
                    <w:div w:id="551038279">
                      <w:marLeft w:val="0"/>
                      <w:marRight w:val="0"/>
                      <w:marTop w:val="0"/>
                      <w:marBottom w:val="0"/>
                      <w:divBdr>
                        <w:top w:val="none" w:sz="0" w:space="0" w:color="auto"/>
                        <w:left w:val="none" w:sz="0" w:space="0" w:color="auto"/>
                        <w:bottom w:val="none" w:sz="0" w:space="0" w:color="auto"/>
                        <w:right w:val="none" w:sz="0" w:space="0" w:color="auto"/>
                      </w:divBdr>
                    </w:div>
                  </w:divsChild>
                </w:div>
                <w:div w:id="296690716">
                  <w:marLeft w:val="0"/>
                  <w:marRight w:val="0"/>
                  <w:marTop w:val="0"/>
                  <w:marBottom w:val="0"/>
                  <w:divBdr>
                    <w:top w:val="none" w:sz="0" w:space="0" w:color="auto"/>
                    <w:left w:val="none" w:sz="0" w:space="0" w:color="auto"/>
                    <w:bottom w:val="none" w:sz="0" w:space="0" w:color="auto"/>
                    <w:right w:val="none" w:sz="0" w:space="0" w:color="auto"/>
                  </w:divBdr>
                  <w:divsChild>
                    <w:div w:id="2140608277">
                      <w:marLeft w:val="0"/>
                      <w:marRight w:val="0"/>
                      <w:marTop w:val="0"/>
                      <w:marBottom w:val="0"/>
                      <w:divBdr>
                        <w:top w:val="none" w:sz="0" w:space="0" w:color="auto"/>
                        <w:left w:val="none" w:sz="0" w:space="0" w:color="auto"/>
                        <w:bottom w:val="none" w:sz="0" w:space="0" w:color="auto"/>
                        <w:right w:val="none" w:sz="0" w:space="0" w:color="auto"/>
                      </w:divBdr>
                    </w:div>
                  </w:divsChild>
                </w:div>
                <w:div w:id="376272289">
                  <w:marLeft w:val="0"/>
                  <w:marRight w:val="0"/>
                  <w:marTop w:val="0"/>
                  <w:marBottom w:val="0"/>
                  <w:divBdr>
                    <w:top w:val="none" w:sz="0" w:space="0" w:color="auto"/>
                    <w:left w:val="none" w:sz="0" w:space="0" w:color="auto"/>
                    <w:bottom w:val="none" w:sz="0" w:space="0" w:color="auto"/>
                    <w:right w:val="none" w:sz="0" w:space="0" w:color="auto"/>
                  </w:divBdr>
                  <w:divsChild>
                    <w:div w:id="1234312328">
                      <w:marLeft w:val="0"/>
                      <w:marRight w:val="0"/>
                      <w:marTop w:val="0"/>
                      <w:marBottom w:val="0"/>
                      <w:divBdr>
                        <w:top w:val="none" w:sz="0" w:space="0" w:color="auto"/>
                        <w:left w:val="none" w:sz="0" w:space="0" w:color="auto"/>
                        <w:bottom w:val="none" w:sz="0" w:space="0" w:color="auto"/>
                        <w:right w:val="none" w:sz="0" w:space="0" w:color="auto"/>
                      </w:divBdr>
                    </w:div>
                  </w:divsChild>
                </w:div>
                <w:div w:id="409886005">
                  <w:marLeft w:val="0"/>
                  <w:marRight w:val="0"/>
                  <w:marTop w:val="0"/>
                  <w:marBottom w:val="0"/>
                  <w:divBdr>
                    <w:top w:val="none" w:sz="0" w:space="0" w:color="auto"/>
                    <w:left w:val="none" w:sz="0" w:space="0" w:color="auto"/>
                    <w:bottom w:val="none" w:sz="0" w:space="0" w:color="auto"/>
                    <w:right w:val="none" w:sz="0" w:space="0" w:color="auto"/>
                  </w:divBdr>
                  <w:divsChild>
                    <w:div w:id="182522205">
                      <w:marLeft w:val="0"/>
                      <w:marRight w:val="0"/>
                      <w:marTop w:val="0"/>
                      <w:marBottom w:val="0"/>
                      <w:divBdr>
                        <w:top w:val="none" w:sz="0" w:space="0" w:color="auto"/>
                        <w:left w:val="none" w:sz="0" w:space="0" w:color="auto"/>
                        <w:bottom w:val="none" w:sz="0" w:space="0" w:color="auto"/>
                        <w:right w:val="none" w:sz="0" w:space="0" w:color="auto"/>
                      </w:divBdr>
                    </w:div>
                  </w:divsChild>
                </w:div>
                <w:div w:id="445542515">
                  <w:marLeft w:val="0"/>
                  <w:marRight w:val="0"/>
                  <w:marTop w:val="0"/>
                  <w:marBottom w:val="0"/>
                  <w:divBdr>
                    <w:top w:val="none" w:sz="0" w:space="0" w:color="auto"/>
                    <w:left w:val="none" w:sz="0" w:space="0" w:color="auto"/>
                    <w:bottom w:val="none" w:sz="0" w:space="0" w:color="auto"/>
                    <w:right w:val="none" w:sz="0" w:space="0" w:color="auto"/>
                  </w:divBdr>
                  <w:divsChild>
                    <w:div w:id="1818256001">
                      <w:marLeft w:val="0"/>
                      <w:marRight w:val="0"/>
                      <w:marTop w:val="0"/>
                      <w:marBottom w:val="0"/>
                      <w:divBdr>
                        <w:top w:val="none" w:sz="0" w:space="0" w:color="auto"/>
                        <w:left w:val="none" w:sz="0" w:space="0" w:color="auto"/>
                        <w:bottom w:val="none" w:sz="0" w:space="0" w:color="auto"/>
                        <w:right w:val="none" w:sz="0" w:space="0" w:color="auto"/>
                      </w:divBdr>
                    </w:div>
                  </w:divsChild>
                </w:div>
                <w:div w:id="521669760">
                  <w:marLeft w:val="0"/>
                  <w:marRight w:val="0"/>
                  <w:marTop w:val="0"/>
                  <w:marBottom w:val="0"/>
                  <w:divBdr>
                    <w:top w:val="none" w:sz="0" w:space="0" w:color="auto"/>
                    <w:left w:val="none" w:sz="0" w:space="0" w:color="auto"/>
                    <w:bottom w:val="none" w:sz="0" w:space="0" w:color="auto"/>
                    <w:right w:val="none" w:sz="0" w:space="0" w:color="auto"/>
                  </w:divBdr>
                  <w:divsChild>
                    <w:div w:id="1870484180">
                      <w:marLeft w:val="0"/>
                      <w:marRight w:val="0"/>
                      <w:marTop w:val="0"/>
                      <w:marBottom w:val="0"/>
                      <w:divBdr>
                        <w:top w:val="none" w:sz="0" w:space="0" w:color="auto"/>
                        <w:left w:val="none" w:sz="0" w:space="0" w:color="auto"/>
                        <w:bottom w:val="none" w:sz="0" w:space="0" w:color="auto"/>
                        <w:right w:val="none" w:sz="0" w:space="0" w:color="auto"/>
                      </w:divBdr>
                    </w:div>
                  </w:divsChild>
                </w:div>
                <w:div w:id="529146517">
                  <w:marLeft w:val="0"/>
                  <w:marRight w:val="0"/>
                  <w:marTop w:val="0"/>
                  <w:marBottom w:val="0"/>
                  <w:divBdr>
                    <w:top w:val="none" w:sz="0" w:space="0" w:color="auto"/>
                    <w:left w:val="none" w:sz="0" w:space="0" w:color="auto"/>
                    <w:bottom w:val="none" w:sz="0" w:space="0" w:color="auto"/>
                    <w:right w:val="none" w:sz="0" w:space="0" w:color="auto"/>
                  </w:divBdr>
                </w:div>
                <w:div w:id="761069935">
                  <w:marLeft w:val="0"/>
                  <w:marRight w:val="0"/>
                  <w:marTop w:val="0"/>
                  <w:marBottom w:val="0"/>
                  <w:divBdr>
                    <w:top w:val="none" w:sz="0" w:space="0" w:color="auto"/>
                    <w:left w:val="none" w:sz="0" w:space="0" w:color="auto"/>
                    <w:bottom w:val="none" w:sz="0" w:space="0" w:color="auto"/>
                    <w:right w:val="none" w:sz="0" w:space="0" w:color="auto"/>
                  </w:divBdr>
                  <w:divsChild>
                    <w:div w:id="1029457155">
                      <w:marLeft w:val="0"/>
                      <w:marRight w:val="0"/>
                      <w:marTop w:val="0"/>
                      <w:marBottom w:val="0"/>
                      <w:divBdr>
                        <w:top w:val="none" w:sz="0" w:space="0" w:color="auto"/>
                        <w:left w:val="none" w:sz="0" w:space="0" w:color="auto"/>
                        <w:bottom w:val="none" w:sz="0" w:space="0" w:color="auto"/>
                        <w:right w:val="none" w:sz="0" w:space="0" w:color="auto"/>
                      </w:divBdr>
                    </w:div>
                  </w:divsChild>
                </w:div>
                <w:div w:id="922295031">
                  <w:marLeft w:val="0"/>
                  <w:marRight w:val="0"/>
                  <w:marTop w:val="0"/>
                  <w:marBottom w:val="0"/>
                  <w:divBdr>
                    <w:top w:val="none" w:sz="0" w:space="0" w:color="auto"/>
                    <w:left w:val="none" w:sz="0" w:space="0" w:color="auto"/>
                    <w:bottom w:val="none" w:sz="0" w:space="0" w:color="auto"/>
                    <w:right w:val="none" w:sz="0" w:space="0" w:color="auto"/>
                  </w:divBdr>
                  <w:divsChild>
                    <w:div w:id="1551961574">
                      <w:marLeft w:val="0"/>
                      <w:marRight w:val="0"/>
                      <w:marTop w:val="0"/>
                      <w:marBottom w:val="0"/>
                      <w:divBdr>
                        <w:top w:val="none" w:sz="0" w:space="0" w:color="auto"/>
                        <w:left w:val="none" w:sz="0" w:space="0" w:color="auto"/>
                        <w:bottom w:val="none" w:sz="0" w:space="0" w:color="auto"/>
                        <w:right w:val="none" w:sz="0" w:space="0" w:color="auto"/>
                      </w:divBdr>
                    </w:div>
                  </w:divsChild>
                </w:div>
                <w:div w:id="1102456234">
                  <w:marLeft w:val="0"/>
                  <w:marRight w:val="0"/>
                  <w:marTop w:val="0"/>
                  <w:marBottom w:val="0"/>
                  <w:divBdr>
                    <w:top w:val="none" w:sz="0" w:space="0" w:color="auto"/>
                    <w:left w:val="none" w:sz="0" w:space="0" w:color="auto"/>
                    <w:bottom w:val="none" w:sz="0" w:space="0" w:color="auto"/>
                    <w:right w:val="none" w:sz="0" w:space="0" w:color="auto"/>
                  </w:divBdr>
                  <w:divsChild>
                    <w:div w:id="805052203">
                      <w:marLeft w:val="0"/>
                      <w:marRight w:val="0"/>
                      <w:marTop w:val="0"/>
                      <w:marBottom w:val="0"/>
                      <w:divBdr>
                        <w:top w:val="none" w:sz="0" w:space="0" w:color="auto"/>
                        <w:left w:val="none" w:sz="0" w:space="0" w:color="auto"/>
                        <w:bottom w:val="none" w:sz="0" w:space="0" w:color="auto"/>
                        <w:right w:val="none" w:sz="0" w:space="0" w:color="auto"/>
                      </w:divBdr>
                    </w:div>
                  </w:divsChild>
                </w:div>
                <w:div w:id="1164707987">
                  <w:marLeft w:val="0"/>
                  <w:marRight w:val="0"/>
                  <w:marTop w:val="0"/>
                  <w:marBottom w:val="0"/>
                  <w:divBdr>
                    <w:top w:val="none" w:sz="0" w:space="0" w:color="auto"/>
                    <w:left w:val="none" w:sz="0" w:space="0" w:color="auto"/>
                    <w:bottom w:val="none" w:sz="0" w:space="0" w:color="auto"/>
                    <w:right w:val="none" w:sz="0" w:space="0" w:color="auto"/>
                  </w:divBdr>
                  <w:divsChild>
                    <w:div w:id="202450091">
                      <w:marLeft w:val="0"/>
                      <w:marRight w:val="0"/>
                      <w:marTop w:val="0"/>
                      <w:marBottom w:val="0"/>
                      <w:divBdr>
                        <w:top w:val="none" w:sz="0" w:space="0" w:color="auto"/>
                        <w:left w:val="none" w:sz="0" w:space="0" w:color="auto"/>
                        <w:bottom w:val="none" w:sz="0" w:space="0" w:color="auto"/>
                        <w:right w:val="none" w:sz="0" w:space="0" w:color="auto"/>
                      </w:divBdr>
                    </w:div>
                    <w:div w:id="1120032747">
                      <w:marLeft w:val="0"/>
                      <w:marRight w:val="0"/>
                      <w:marTop w:val="0"/>
                      <w:marBottom w:val="0"/>
                      <w:divBdr>
                        <w:top w:val="none" w:sz="0" w:space="0" w:color="auto"/>
                        <w:left w:val="none" w:sz="0" w:space="0" w:color="auto"/>
                        <w:bottom w:val="none" w:sz="0" w:space="0" w:color="auto"/>
                        <w:right w:val="none" w:sz="0" w:space="0" w:color="auto"/>
                      </w:divBdr>
                    </w:div>
                    <w:div w:id="1452628383">
                      <w:marLeft w:val="0"/>
                      <w:marRight w:val="0"/>
                      <w:marTop w:val="0"/>
                      <w:marBottom w:val="0"/>
                      <w:divBdr>
                        <w:top w:val="none" w:sz="0" w:space="0" w:color="auto"/>
                        <w:left w:val="none" w:sz="0" w:space="0" w:color="auto"/>
                        <w:bottom w:val="none" w:sz="0" w:space="0" w:color="auto"/>
                        <w:right w:val="none" w:sz="0" w:space="0" w:color="auto"/>
                      </w:divBdr>
                    </w:div>
                  </w:divsChild>
                </w:div>
                <w:div w:id="1230535451">
                  <w:marLeft w:val="0"/>
                  <w:marRight w:val="0"/>
                  <w:marTop w:val="0"/>
                  <w:marBottom w:val="0"/>
                  <w:divBdr>
                    <w:top w:val="none" w:sz="0" w:space="0" w:color="auto"/>
                    <w:left w:val="none" w:sz="0" w:space="0" w:color="auto"/>
                    <w:bottom w:val="none" w:sz="0" w:space="0" w:color="auto"/>
                    <w:right w:val="none" w:sz="0" w:space="0" w:color="auto"/>
                  </w:divBdr>
                  <w:divsChild>
                    <w:div w:id="419760037">
                      <w:marLeft w:val="0"/>
                      <w:marRight w:val="0"/>
                      <w:marTop w:val="0"/>
                      <w:marBottom w:val="0"/>
                      <w:divBdr>
                        <w:top w:val="none" w:sz="0" w:space="0" w:color="auto"/>
                        <w:left w:val="none" w:sz="0" w:space="0" w:color="auto"/>
                        <w:bottom w:val="none" w:sz="0" w:space="0" w:color="auto"/>
                        <w:right w:val="none" w:sz="0" w:space="0" w:color="auto"/>
                      </w:divBdr>
                    </w:div>
                  </w:divsChild>
                </w:div>
                <w:div w:id="1242446644">
                  <w:marLeft w:val="0"/>
                  <w:marRight w:val="0"/>
                  <w:marTop w:val="0"/>
                  <w:marBottom w:val="0"/>
                  <w:divBdr>
                    <w:top w:val="none" w:sz="0" w:space="0" w:color="auto"/>
                    <w:left w:val="none" w:sz="0" w:space="0" w:color="auto"/>
                    <w:bottom w:val="none" w:sz="0" w:space="0" w:color="auto"/>
                    <w:right w:val="none" w:sz="0" w:space="0" w:color="auto"/>
                  </w:divBdr>
                </w:div>
                <w:div w:id="1305888870">
                  <w:marLeft w:val="0"/>
                  <w:marRight w:val="0"/>
                  <w:marTop w:val="0"/>
                  <w:marBottom w:val="0"/>
                  <w:divBdr>
                    <w:top w:val="none" w:sz="0" w:space="0" w:color="auto"/>
                    <w:left w:val="none" w:sz="0" w:space="0" w:color="auto"/>
                    <w:bottom w:val="none" w:sz="0" w:space="0" w:color="auto"/>
                    <w:right w:val="none" w:sz="0" w:space="0" w:color="auto"/>
                  </w:divBdr>
                  <w:divsChild>
                    <w:div w:id="686180753">
                      <w:marLeft w:val="0"/>
                      <w:marRight w:val="0"/>
                      <w:marTop w:val="0"/>
                      <w:marBottom w:val="0"/>
                      <w:divBdr>
                        <w:top w:val="none" w:sz="0" w:space="0" w:color="auto"/>
                        <w:left w:val="none" w:sz="0" w:space="0" w:color="auto"/>
                        <w:bottom w:val="none" w:sz="0" w:space="0" w:color="auto"/>
                        <w:right w:val="none" w:sz="0" w:space="0" w:color="auto"/>
                      </w:divBdr>
                    </w:div>
                  </w:divsChild>
                </w:div>
                <w:div w:id="1372338201">
                  <w:marLeft w:val="0"/>
                  <w:marRight w:val="0"/>
                  <w:marTop w:val="0"/>
                  <w:marBottom w:val="0"/>
                  <w:divBdr>
                    <w:top w:val="none" w:sz="0" w:space="0" w:color="auto"/>
                    <w:left w:val="none" w:sz="0" w:space="0" w:color="auto"/>
                    <w:bottom w:val="none" w:sz="0" w:space="0" w:color="auto"/>
                    <w:right w:val="none" w:sz="0" w:space="0" w:color="auto"/>
                  </w:divBdr>
                  <w:divsChild>
                    <w:div w:id="119106236">
                      <w:marLeft w:val="0"/>
                      <w:marRight w:val="0"/>
                      <w:marTop w:val="0"/>
                      <w:marBottom w:val="0"/>
                      <w:divBdr>
                        <w:top w:val="none" w:sz="0" w:space="0" w:color="auto"/>
                        <w:left w:val="none" w:sz="0" w:space="0" w:color="auto"/>
                        <w:bottom w:val="none" w:sz="0" w:space="0" w:color="auto"/>
                        <w:right w:val="none" w:sz="0" w:space="0" w:color="auto"/>
                      </w:divBdr>
                    </w:div>
                  </w:divsChild>
                </w:div>
                <w:div w:id="1374698031">
                  <w:marLeft w:val="0"/>
                  <w:marRight w:val="0"/>
                  <w:marTop w:val="0"/>
                  <w:marBottom w:val="0"/>
                  <w:divBdr>
                    <w:top w:val="none" w:sz="0" w:space="0" w:color="auto"/>
                    <w:left w:val="none" w:sz="0" w:space="0" w:color="auto"/>
                    <w:bottom w:val="none" w:sz="0" w:space="0" w:color="auto"/>
                    <w:right w:val="none" w:sz="0" w:space="0" w:color="auto"/>
                  </w:divBdr>
                  <w:divsChild>
                    <w:div w:id="1920014707">
                      <w:marLeft w:val="0"/>
                      <w:marRight w:val="0"/>
                      <w:marTop w:val="0"/>
                      <w:marBottom w:val="0"/>
                      <w:divBdr>
                        <w:top w:val="none" w:sz="0" w:space="0" w:color="auto"/>
                        <w:left w:val="none" w:sz="0" w:space="0" w:color="auto"/>
                        <w:bottom w:val="none" w:sz="0" w:space="0" w:color="auto"/>
                        <w:right w:val="none" w:sz="0" w:space="0" w:color="auto"/>
                      </w:divBdr>
                    </w:div>
                  </w:divsChild>
                </w:div>
                <w:div w:id="1389299555">
                  <w:marLeft w:val="0"/>
                  <w:marRight w:val="0"/>
                  <w:marTop w:val="0"/>
                  <w:marBottom w:val="0"/>
                  <w:divBdr>
                    <w:top w:val="none" w:sz="0" w:space="0" w:color="auto"/>
                    <w:left w:val="none" w:sz="0" w:space="0" w:color="auto"/>
                    <w:bottom w:val="none" w:sz="0" w:space="0" w:color="auto"/>
                    <w:right w:val="none" w:sz="0" w:space="0" w:color="auto"/>
                  </w:divBdr>
                  <w:divsChild>
                    <w:div w:id="1781989718">
                      <w:marLeft w:val="0"/>
                      <w:marRight w:val="0"/>
                      <w:marTop w:val="0"/>
                      <w:marBottom w:val="0"/>
                      <w:divBdr>
                        <w:top w:val="none" w:sz="0" w:space="0" w:color="auto"/>
                        <w:left w:val="none" w:sz="0" w:space="0" w:color="auto"/>
                        <w:bottom w:val="none" w:sz="0" w:space="0" w:color="auto"/>
                        <w:right w:val="none" w:sz="0" w:space="0" w:color="auto"/>
                      </w:divBdr>
                    </w:div>
                  </w:divsChild>
                </w:div>
                <w:div w:id="1490973794">
                  <w:marLeft w:val="0"/>
                  <w:marRight w:val="0"/>
                  <w:marTop w:val="0"/>
                  <w:marBottom w:val="0"/>
                  <w:divBdr>
                    <w:top w:val="none" w:sz="0" w:space="0" w:color="auto"/>
                    <w:left w:val="none" w:sz="0" w:space="0" w:color="auto"/>
                    <w:bottom w:val="none" w:sz="0" w:space="0" w:color="auto"/>
                    <w:right w:val="none" w:sz="0" w:space="0" w:color="auto"/>
                  </w:divBdr>
                  <w:divsChild>
                    <w:div w:id="691152367">
                      <w:marLeft w:val="0"/>
                      <w:marRight w:val="0"/>
                      <w:marTop w:val="0"/>
                      <w:marBottom w:val="0"/>
                      <w:divBdr>
                        <w:top w:val="none" w:sz="0" w:space="0" w:color="auto"/>
                        <w:left w:val="none" w:sz="0" w:space="0" w:color="auto"/>
                        <w:bottom w:val="none" w:sz="0" w:space="0" w:color="auto"/>
                        <w:right w:val="none" w:sz="0" w:space="0" w:color="auto"/>
                      </w:divBdr>
                    </w:div>
                  </w:divsChild>
                </w:div>
                <w:div w:id="1509253132">
                  <w:marLeft w:val="0"/>
                  <w:marRight w:val="0"/>
                  <w:marTop w:val="0"/>
                  <w:marBottom w:val="0"/>
                  <w:divBdr>
                    <w:top w:val="none" w:sz="0" w:space="0" w:color="auto"/>
                    <w:left w:val="none" w:sz="0" w:space="0" w:color="auto"/>
                    <w:bottom w:val="none" w:sz="0" w:space="0" w:color="auto"/>
                    <w:right w:val="none" w:sz="0" w:space="0" w:color="auto"/>
                  </w:divBdr>
                  <w:divsChild>
                    <w:div w:id="655452193">
                      <w:marLeft w:val="0"/>
                      <w:marRight w:val="0"/>
                      <w:marTop w:val="0"/>
                      <w:marBottom w:val="0"/>
                      <w:divBdr>
                        <w:top w:val="none" w:sz="0" w:space="0" w:color="auto"/>
                        <w:left w:val="none" w:sz="0" w:space="0" w:color="auto"/>
                        <w:bottom w:val="none" w:sz="0" w:space="0" w:color="auto"/>
                        <w:right w:val="none" w:sz="0" w:space="0" w:color="auto"/>
                      </w:divBdr>
                    </w:div>
                  </w:divsChild>
                </w:div>
                <w:div w:id="1620991314">
                  <w:marLeft w:val="0"/>
                  <w:marRight w:val="0"/>
                  <w:marTop w:val="0"/>
                  <w:marBottom w:val="0"/>
                  <w:divBdr>
                    <w:top w:val="none" w:sz="0" w:space="0" w:color="auto"/>
                    <w:left w:val="none" w:sz="0" w:space="0" w:color="auto"/>
                    <w:bottom w:val="none" w:sz="0" w:space="0" w:color="auto"/>
                    <w:right w:val="none" w:sz="0" w:space="0" w:color="auto"/>
                  </w:divBdr>
                  <w:divsChild>
                    <w:div w:id="1333024723">
                      <w:marLeft w:val="0"/>
                      <w:marRight w:val="0"/>
                      <w:marTop w:val="0"/>
                      <w:marBottom w:val="0"/>
                      <w:divBdr>
                        <w:top w:val="none" w:sz="0" w:space="0" w:color="auto"/>
                        <w:left w:val="none" w:sz="0" w:space="0" w:color="auto"/>
                        <w:bottom w:val="none" w:sz="0" w:space="0" w:color="auto"/>
                        <w:right w:val="none" w:sz="0" w:space="0" w:color="auto"/>
                      </w:divBdr>
                    </w:div>
                  </w:divsChild>
                </w:div>
                <w:div w:id="1736515124">
                  <w:marLeft w:val="0"/>
                  <w:marRight w:val="0"/>
                  <w:marTop w:val="0"/>
                  <w:marBottom w:val="0"/>
                  <w:divBdr>
                    <w:top w:val="none" w:sz="0" w:space="0" w:color="auto"/>
                    <w:left w:val="none" w:sz="0" w:space="0" w:color="auto"/>
                    <w:bottom w:val="none" w:sz="0" w:space="0" w:color="auto"/>
                    <w:right w:val="none" w:sz="0" w:space="0" w:color="auto"/>
                  </w:divBdr>
                  <w:divsChild>
                    <w:div w:id="157617339">
                      <w:marLeft w:val="0"/>
                      <w:marRight w:val="0"/>
                      <w:marTop w:val="0"/>
                      <w:marBottom w:val="0"/>
                      <w:divBdr>
                        <w:top w:val="none" w:sz="0" w:space="0" w:color="auto"/>
                        <w:left w:val="none" w:sz="0" w:space="0" w:color="auto"/>
                        <w:bottom w:val="none" w:sz="0" w:space="0" w:color="auto"/>
                        <w:right w:val="none" w:sz="0" w:space="0" w:color="auto"/>
                      </w:divBdr>
                    </w:div>
                  </w:divsChild>
                </w:div>
                <w:div w:id="1751271330">
                  <w:marLeft w:val="0"/>
                  <w:marRight w:val="0"/>
                  <w:marTop w:val="0"/>
                  <w:marBottom w:val="0"/>
                  <w:divBdr>
                    <w:top w:val="none" w:sz="0" w:space="0" w:color="auto"/>
                    <w:left w:val="none" w:sz="0" w:space="0" w:color="auto"/>
                    <w:bottom w:val="none" w:sz="0" w:space="0" w:color="auto"/>
                    <w:right w:val="none" w:sz="0" w:space="0" w:color="auto"/>
                  </w:divBdr>
                  <w:divsChild>
                    <w:div w:id="1980921153">
                      <w:marLeft w:val="0"/>
                      <w:marRight w:val="0"/>
                      <w:marTop w:val="0"/>
                      <w:marBottom w:val="0"/>
                      <w:divBdr>
                        <w:top w:val="none" w:sz="0" w:space="0" w:color="auto"/>
                        <w:left w:val="none" w:sz="0" w:space="0" w:color="auto"/>
                        <w:bottom w:val="none" w:sz="0" w:space="0" w:color="auto"/>
                        <w:right w:val="none" w:sz="0" w:space="0" w:color="auto"/>
                      </w:divBdr>
                    </w:div>
                  </w:divsChild>
                </w:div>
                <w:div w:id="1751467437">
                  <w:marLeft w:val="0"/>
                  <w:marRight w:val="0"/>
                  <w:marTop w:val="0"/>
                  <w:marBottom w:val="0"/>
                  <w:divBdr>
                    <w:top w:val="none" w:sz="0" w:space="0" w:color="auto"/>
                    <w:left w:val="none" w:sz="0" w:space="0" w:color="auto"/>
                    <w:bottom w:val="none" w:sz="0" w:space="0" w:color="auto"/>
                    <w:right w:val="none" w:sz="0" w:space="0" w:color="auto"/>
                  </w:divBdr>
                  <w:divsChild>
                    <w:div w:id="1171870088">
                      <w:marLeft w:val="0"/>
                      <w:marRight w:val="0"/>
                      <w:marTop w:val="0"/>
                      <w:marBottom w:val="0"/>
                      <w:divBdr>
                        <w:top w:val="none" w:sz="0" w:space="0" w:color="auto"/>
                        <w:left w:val="none" w:sz="0" w:space="0" w:color="auto"/>
                        <w:bottom w:val="none" w:sz="0" w:space="0" w:color="auto"/>
                        <w:right w:val="none" w:sz="0" w:space="0" w:color="auto"/>
                      </w:divBdr>
                    </w:div>
                  </w:divsChild>
                </w:div>
                <w:div w:id="1959603698">
                  <w:marLeft w:val="0"/>
                  <w:marRight w:val="0"/>
                  <w:marTop w:val="0"/>
                  <w:marBottom w:val="0"/>
                  <w:divBdr>
                    <w:top w:val="none" w:sz="0" w:space="0" w:color="auto"/>
                    <w:left w:val="none" w:sz="0" w:space="0" w:color="auto"/>
                    <w:bottom w:val="none" w:sz="0" w:space="0" w:color="auto"/>
                    <w:right w:val="none" w:sz="0" w:space="0" w:color="auto"/>
                  </w:divBdr>
                  <w:divsChild>
                    <w:div w:id="1542478797">
                      <w:marLeft w:val="0"/>
                      <w:marRight w:val="0"/>
                      <w:marTop w:val="0"/>
                      <w:marBottom w:val="0"/>
                      <w:divBdr>
                        <w:top w:val="none" w:sz="0" w:space="0" w:color="auto"/>
                        <w:left w:val="none" w:sz="0" w:space="0" w:color="auto"/>
                        <w:bottom w:val="none" w:sz="0" w:space="0" w:color="auto"/>
                        <w:right w:val="none" w:sz="0" w:space="0" w:color="auto"/>
                      </w:divBdr>
                    </w:div>
                  </w:divsChild>
                </w:div>
                <w:div w:id="2089763034">
                  <w:marLeft w:val="0"/>
                  <w:marRight w:val="0"/>
                  <w:marTop w:val="0"/>
                  <w:marBottom w:val="0"/>
                  <w:divBdr>
                    <w:top w:val="none" w:sz="0" w:space="0" w:color="auto"/>
                    <w:left w:val="none" w:sz="0" w:space="0" w:color="auto"/>
                    <w:bottom w:val="none" w:sz="0" w:space="0" w:color="auto"/>
                    <w:right w:val="none" w:sz="0" w:space="0" w:color="auto"/>
                  </w:divBdr>
                  <w:divsChild>
                    <w:div w:id="190728767">
                      <w:marLeft w:val="0"/>
                      <w:marRight w:val="0"/>
                      <w:marTop w:val="0"/>
                      <w:marBottom w:val="0"/>
                      <w:divBdr>
                        <w:top w:val="none" w:sz="0" w:space="0" w:color="auto"/>
                        <w:left w:val="none" w:sz="0" w:space="0" w:color="auto"/>
                        <w:bottom w:val="none" w:sz="0" w:space="0" w:color="auto"/>
                        <w:right w:val="none" w:sz="0" w:space="0" w:color="auto"/>
                      </w:divBdr>
                    </w:div>
                  </w:divsChild>
                </w:div>
                <w:div w:id="2131699682">
                  <w:marLeft w:val="0"/>
                  <w:marRight w:val="0"/>
                  <w:marTop w:val="0"/>
                  <w:marBottom w:val="0"/>
                  <w:divBdr>
                    <w:top w:val="none" w:sz="0" w:space="0" w:color="auto"/>
                    <w:left w:val="none" w:sz="0" w:space="0" w:color="auto"/>
                    <w:bottom w:val="none" w:sz="0" w:space="0" w:color="auto"/>
                    <w:right w:val="none" w:sz="0" w:space="0" w:color="auto"/>
                  </w:divBdr>
                  <w:divsChild>
                    <w:div w:id="2234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88524">
          <w:marLeft w:val="0"/>
          <w:marRight w:val="0"/>
          <w:marTop w:val="0"/>
          <w:marBottom w:val="0"/>
          <w:divBdr>
            <w:top w:val="none" w:sz="0" w:space="0" w:color="auto"/>
            <w:left w:val="none" w:sz="0" w:space="0" w:color="auto"/>
            <w:bottom w:val="none" w:sz="0" w:space="0" w:color="auto"/>
            <w:right w:val="none" w:sz="0" w:space="0" w:color="auto"/>
          </w:divBdr>
        </w:div>
        <w:div w:id="1782724085">
          <w:marLeft w:val="0"/>
          <w:marRight w:val="0"/>
          <w:marTop w:val="0"/>
          <w:marBottom w:val="0"/>
          <w:divBdr>
            <w:top w:val="none" w:sz="0" w:space="0" w:color="auto"/>
            <w:left w:val="none" w:sz="0" w:space="0" w:color="auto"/>
            <w:bottom w:val="none" w:sz="0" w:space="0" w:color="auto"/>
            <w:right w:val="none" w:sz="0" w:space="0" w:color="auto"/>
          </w:divBdr>
        </w:div>
        <w:div w:id="1823934209">
          <w:marLeft w:val="0"/>
          <w:marRight w:val="0"/>
          <w:marTop w:val="0"/>
          <w:marBottom w:val="0"/>
          <w:divBdr>
            <w:top w:val="none" w:sz="0" w:space="0" w:color="auto"/>
            <w:left w:val="none" w:sz="0" w:space="0" w:color="auto"/>
            <w:bottom w:val="none" w:sz="0" w:space="0" w:color="auto"/>
            <w:right w:val="none" w:sz="0" w:space="0" w:color="auto"/>
          </w:divBdr>
          <w:divsChild>
            <w:div w:id="309410346">
              <w:marLeft w:val="0"/>
              <w:marRight w:val="0"/>
              <w:marTop w:val="0"/>
              <w:marBottom w:val="0"/>
              <w:divBdr>
                <w:top w:val="none" w:sz="0" w:space="0" w:color="auto"/>
                <w:left w:val="none" w:sz="0" w:space="0" w:color="auto"/>
                <w:bottom w:val="none" w:sz="0" w:space="0" w:color="auto"/>
                <w:right w:val="none" w:sz="0" w:space="0" w:color="auto"/>
              </w:divBdr>
            </w:div>
            <w:div w:id="706570230">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
            <w:div w:id="1429887306">
              <w:marLeft w:val="0"/>
              <w:marRight w:val="0"/>
              <w:marTop w:val="0"/>
              <w:marBottom w:val="0"/>
              <w:divBdr>
                <w:top w:val="none" w:sz="0" w:space="0" w:color="auto"/>
                <w:left w:val="none" w:sz="0" w:space="0" w:color="auto"/>
                <w:bottom w:val="none" w:sz="0" w:space="0" w:color="auto"/>
                <w:right w:val="none" w:sz="0" w:space="0" w:color="auto"/>
              </w:divBdr>
            </w:div>
            <w:div w:id="2128963525">
              <w:marLeft w:val="0"/>
              <w:marRight w:val="0"/>
              <w:marTop w:val="0"/>
              <w:marBottom w:val="0"/>
              <w:divBdr>
                <w:top w:val="none" w:sz="0" w:space="0" w:color="auto"/>
                <w:left w:val="none" w:sz="0" w:space="0" w:color="auto"/>
                <w:bottom w:val="none" w:sz="0" w:space="0" w:color="auto"/>
                <w:right w:val="none" w:sz="0" w:space="0" w:color="auto"/>
              </w:divBdr>
            </w:div>
          </w:divsChild>
        </w:div>
        <w:div w:id="1856311344">
          <w:marLeft w:val="0"/>
          <w:marRight w:val="0"/>
          <w:marTop w:val="0"/>
          <w:marBottom w:val="0"/>
          <w:divBdr>
            <w:top w:val="none" w:sz="0" w:space="0" w:color="auto"/>
            <w:left w:val="none" w:sz="0" w:space="0" w:color="auto"/>
            <w:bottom w:val="none" w:sz="0" w:space="0" w:color="auto"/>
            <w:right w:val="none" w:sz="0" w:space="0" w:color="auto"/>
          </w:divBdr>
        </w:div>
        <w:div w:id="1935477939">
          <w:marLeft w:val="0"/>
          <w:marRight w:val="0"/>
          <w:marTop w:val="0"/>
          <w:marBottom w:val="0"/>
          <w:divBdr>
            <w:top w:val="none" w:sz="0" w:space="0" w:color="auto"/>
            <w:left w:val="none" w:sz="0" w:space="0" w:color="auto"/>
            <w:bottom w:val="none" w:sz="0" w:space="0" w:color="auto"/>
            <w:right w:val="none" w:sz="0" w:space="0" w:color="auto"/>
          </w:divBdr>
        </w:div>
        <w:div w:id="1950044203">
          <w:marLeft w:val="0"/>
          <w:marRight w:val="0"/>
          <w:marTop w:val="0"/>
          <w:marBottom w:val="0"/>
          <w:divBdr>
            <w:top w:val="none" w:sz="0" w:space="0" w:color="auto"/>
            <w:left w:val="none" w:sz="0" w:space="0" w:color="auto"/>
            <w:bottom w:val="none" w:sz="0" w:space="0" w:color="auto"/>
            <w:right w:val="none" w:sz="0" w:space="0" w:color="auto"/>
          </w:divBdr>
        </w:div>
        <w:div w:id="2024046401">
          <w:marLeft w:val="0"/>
          <w:marRight w:val="0"/>
          <w:marTop w:val="0"/>
          <w:marBottom w:val="0"/>
          <w:divBdr>
            <w:top w:val="none" w:sz="0" w:space="0" w:color="auto"/>
            <w:left w:val="none" w:sz="0" w:space="0" w:color="auto"/>
            <w:bottom w:val="none" w:sz="0" w:space="0" w:color="auto"/>
            <w:right w:val="none" w:sz="0" w:space="0" w:color="auto"/>
          </w:divBdr>
        </w:div>
        <w:div w:id="2045668603">
          <w:marLeft w:val="0"/>
          <w:marRight w:val="0"/>
          <w:marTop w:val="0"/>
          <w:marBottom w:val="0"/>
          <w:divBdr>
            <w:top w:val="none" w:sz="0" w:space="0" w:color="auto"/>
            <w:left w:val="none" w:sz="0" w:space="0" w:color="auto"/>
            <w:bottom w:val="none" w:sz="0" w:space="0" w:color="auto"/>
            <w:right w:val="none" w:sz="0" w:space="0" w:color="auto"/>
          </w:divBdr>
        </w:div>
        <w:div w:id="2073385938">
          <w:marLeft w:val="0"/>
          <w:marRight w:val="0"/>
          <w:marTop w:val="0"/>
          <w:marBottom w:val="0"/>
          <w:divBdr>
            <w:top w:val="none" w:sz="0" w:space="0" w:color="auto"/>
            <w:left w:val="none" w:sz="0" w:space="0" w:color="auto"/>
            <w:bottom w:val="none" w:sz="0" w:space="0" w:color="auto"/>
            <w:right w:val="none" w:sz="0" w:space="0" w:color="auto"/>
          </w:divBdr>
          <w:divsChild>
            <w:div w:id="739258348">
              <w:marLeft w:val="0"/>
              <w:marRight w:val="0"/>
              <w:marTop w:val="0"/>
              <w:marBottom w:val="0"/>
              <w:divBdr>
                <w:top w:val="none" w:sz="0" w:space="0" w:color="auto"/>
                <w:left w:val="none" w:sz="0" w:space="0" w:color="auto"/>
                <w:bottom w:val="none" w:sz="0" w:space="0" w:color="auto"/>
                <w:right w:val="none" w:sz="0" w:space="0" w:color="auto"/>
              </w:divBdr>
            </w:div>
            <w:div w:id="1125389146">
              <w:marLeft w:val="0"/>
              <w:marRight w:val="0"/>
              <w:marTop w:val="0"/>
              <w:marBottom w:val="0"/>
              <w:divBdr>
                <w:top w:val="none" w:sz="0" w:space="0" w:color="auto"/>
                <w:left w:val="none" w:sz="0" w:space="0" w:color="auto"/>
                <w:bottom w:val="none" w:sz="0" w:space="0" w:color="auto"/>
                <w:right w:val="none" w:sz="0" w:space="0" w:color="auto"/>
              </w:divBdr>
            </w:div>
            <w:div w:id="137134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85402">
      <w:bodyDiv w:val="1"/>
      <w:marLeft w:val="0"/>
      <w:marRight w:val="0"/>
      <w:marTop w:val="0"/>
      <w:marBottom w:val="0"/>
      <w:divBdr>
        <w:top w:val="none" w:sz="0" w:space="0" w:color="auto"/>
        <w:left w:val="none" w:sz="0" w:space="0" w:color="auto"/>
        <w:bottom w:val="none" w:sz="0" w:space="0" w:color="auto"/>
        <w:right w:val="none" w:sz="0" w:space="0" w:color="auto"/>
      </w:divBdr>
    </w:div>
    <w:div w:id="1914268449">
      <w:bodyDiv w:val="1"/>
      <w:marLeft w:val="0"/>
      <w:marRight w:val="0"/>
      <w:marTop w:val="0"/>
      <w:marBottom w:val="0"/>
      <w:divBdr>
        <w:top w:val="none" w:sz="0" w:space="0" w:color="auto"/>
        <w:left w:val="none" w:sz="0" w:space="0" w:color="auto"/>
        <w:bottom w:val="none" w:sz="0" w:space="0" w:color="auto"/>
        <w:right w:val="none" w:sz="0" w:space="0" w:color="auto"/>
      </w:divBdr>
    </w:div>
    <w:div w:id="1956596658">
      <w:bodyDiv w:val="1"/>
      <w:marLeft w:val="0"/>
      <w:marRight w:val="0"/>
      <w:marTop w:val="0"/>
      <w:marBottom w:val="0"/>
      <w:divBdr>
        <w:top w:val="none" w:sz="0" w:space="0" w:color="auto"/>
        <w:left w:val="none" w:sz="0" w:space="0" w:color="auto"/>
        <w:bottom w:val="none" w:sz="0" w:space="0" w:color="auto"/>
        <w:right w:val="none" w:sz="0" w:space="0" w:color="auto"/>
      </w:divBdr>
    </w:div>
    <w:div w:id="1956860607">
      <w:bodyDiv w:val="1"/>
      <w:marLeft w:val="0"/>
      <w:marRight w:val="0"/>
      <w:marTop w:val="0"/>
      <w:marBottom w:val="0"/>
      <w:divBdr>
        <w:top w:val="none" w:sz="0" w:space="0" w:color="auto"/>
        <w:left w:val="none" w:sz="0" w:space="0" w:color="auto"/>
        <w:bottom w:val="none" w:sz="0" w:space="0" w:color="auto"/>
        <w:right w:val="none" w:sz="0" w:space="0" w:color="auto"/>
      </w:divBdr>
    </w:div>
    <w:div w:id="1966227115">
      <w:bodyDiv w:val="1"/>
      <w:marLeft w:val="0"/>
      <w:marRight w:val="0"/>
      <w:marTop w:val="0"/>
      <w:marBottom w:val="0"/>
      <w:divBdr>
        <w:top w:val="none" w:sz="0" w:space="0" w:color="auto"/>
        <w:left w:val="none" w:sz="0" w:space="0" w:color="auto"/>
        <w:bottom w:val="none" w:sz="0" w:space="0" w:color="auto"/>
        <w:right w:val="none" w:sz="0" w:space="0" w:color="auto"/>
      </w:divBdr>
    </w:div>
    <w:div w:id="1977251176">
      <w:bodyDiv w:val="1"/>
      <w:marLeft w:val="0"/>
      <w:marRight w:val="0"/>
      <w:marTop w:val="0"/>
      <w:marBottom w:val="0"/>
      <w:divBdr>
        <w:top w:val="none" w:sz="0" w:space="0" w:color="auto"/>
        <w:left w:val="none" w:sz="0" w:space="0" w:color="auto"/>
        <w:bottom w:val="none" w:sz="0" w:space="0" w:color="auto"/>
        <w:right w:val="none" w:sz="0" w:space="0" w:color="auto"/>
      </w:divBdr>
    </w:div>
    <w:div w:id="2016878079">
      <w:bodyDiv w:val="1"/>
      <w:marLeft w:val="0"/>
      <w:marRight w:val="0"/>
      <w:marTop w:val="0"/>
      <w:marBottom w:val="0"/>
      <w:divBdr>
        <w:top w:val="none" w:sz="0" w:space="0" w:color="auto"/>
        <w:left w:val="none" w:sz="0" w:space="0" w:color="auto"/>
        <w:bottom w:val="none" w:sz="0" w:space="0" w:color="auto"/>
        <w:right w:val="none" w:sz="0" w:space="0" w:color="auto"/>
      </w:divBdr>
    </w:div>
    <w:div w:id="2025351903">
      <w:bodyDiv w:val="1"/>
      <w:marLeft w:val="0"/>
      <w:marRight w:val="0"/>
      <w:marTop w:val="0"/>
      <w:marBottom w:val="0"/>
      <w:divBdr>
        <w:top w:val="none" w:sz="0" w:space="0" w:color="auto"/>
        <w:left w:val="none" w:sz="0" w:space="0" w:color="auto"/>
        <w:bottom w:val="none" w:sz="0" w:space="0" w:color="auto"/>
        <w:right w:val="none" w:sz="0" w:space="0" w:color="auto"/>
      </w:divBdr>
    </w:div>
    <w:div w:id="206367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eter.janoska@trinomics.eu" TargetMode="External"/><Relationship Id="rId18" Type="http://schemas.openxmlformats.org/officeDocument/2006/relationships/image" Target="media/image3.png"/><Relationship Id="rId26" Type="http://schemas.openxmlformats.org/officeDocument/2006/relationships/hyperlink" Target="https://www.lamoncloa.gob.es/temas/fondos-recuperacion/Documents/16062021-Componente6.pdf" TargetMode="Externa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1.xml"/><Relationship Id="rId29" Type="http://schemas.openxmlformats.org/officeDocument/2006/relationships/hyperlink" Target="http://www.trinomics.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events.teams.microsoft.com/event/4878ff37-941e-4195-ba47-6a8afdb0ecc3@37f28d1f-1362-4eeb-8453-629b5f57f1ae"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mailto:jeroen.vanderlaan@trinomics.eu" TargetMode="External"/><Relationship Id="rId23" Type="http://schemas.openxmlformats.org/officeDocument/2006/relationships/hyperlink" Target="https://teams.microsoft.com/registration/H43yN2IT606EU2KbX1fxrg,FvojlU4N9kK19_NAaSVv6Q,gJkdIXB3_UWWA38xSLCRTQ,Cv7mzWPtGE67GM9uLvZOZA,ClizDtnhNkCyQPxvn6MQFQ,nbY96jXgwkuKf7BBaSFRzA?mode=read&amp;tenantId=37f28d1f-1362-4eeb-8453-629b5f57f1ae"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www.trinomics.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vla.cihlarova@trinomics.eu" TargetMode="External"/><Relationship Id="rId22" Type="http://schemas.openxmlformats.org/officeDocument/2006/relationships/hyperlink" Target="https://teams.microsoft.com/registration/H43yN2IT606EU2KbX1fxrg,FvojlU4N9kK19_NAaSVv6Q,gJkdIXB3_UWWA38xSLCRTQ,u7tnOwcd9ECZ2Z0bQcLNQQ,5UVJI-SP8kaXyzl3tR2E6A,yCFru2NAX0W7qhw998ltdA?mode=read&amp;tenantId=37f28d1f-1362-4eeb-8453-629b5f57f1ae" TargetMode="External"/><Relationship Id="rId27" Type="http://schemas.openxmlformats.org/officeDocument/2006/relationships/hyperlink" Target="https://www.adaptecca.es" TargetMode="Externa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sustainabledevelopment.un.org/memberstates/czechrepubli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002C54"/>
      </a:dk2>
      <a:lt2>
        <a:srgbClr val="EEECE1"/>
      </a:lt2>
      <a:accent1>
        <a:srgbClr val="005962"/>
      </a:accent1>
      <a:accent2>
        <a:srgbClr val="F04E30"/>
      </a:accent2>
      <a:accent3>
        <a:srgbClr val="B2CFCD"/>
      </a:accent3>
      <a:accent4>
        <a:srgbClr val="FFE3A5"/>
      </a:accent4>
      <a:accent5>
        <a:srgbClr val="002C54"/>
      </a:accent5>
      <a:accent6>
        <a:srgbClr val="ECEBE1"/>
      </a:accent6>
      <a:hlink>
        <a:srgbClr val="005962"/>
      </a:hlink>
      <a:folHlink>
        <a:srgbClr val="F04E3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befe56a-03ab-4bc7-ab52-4c54346a4e05">
      <UserInfo>
        <DisplayName/>
        <AccountId xsi:nil="true"/>
        <AccountType/>
      </UserInfo>
    </SharedWithUsers>
    <MediaLengthInSeconds xmlns="78d703fb-01d8-4643-8d91-943788335c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4838B464AC91499AA09F4C55BE8D43" ma:contentTypeVersion="8" ma:contentTypeDescription="Create a new document." ma:contentTypeScope="" ma:versionID="b396deec30164d5614a29665b12c0074">
  <xsd:schema xmlns:xsd="http://www.w3.org/2001/XMLSchema" xmlns:xs="http://www.w3.org/2001/XMLSchema" xmlns:p="http://schemas.microsoft.com/office/2006/metadata/properties" xmlns:ns2="78d703fb-01d8-4643-8d91-943788335c7e" xmlns:ns3="abefe56a-03ab-4bc7-ab52-4c54346a4e05" targetNamespace="http://schemas.microsoft.com/office/2006/metadata/properties" ma:root="true" ma:fieldsID="028926108f1821e4ec7fb24d1c38faa2" ns2:_="" ns3:_="">
    <xsd:import namespace="78d703fb-01d8-4643-8d91-943788335c7e"/>
    <xsd:import namespace="abefe56a-03ab-4bc7-ab52-4c54346a4e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703fb-01d8-4643-8d91-943788335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efe56a-03ab-4bc7-ab52-4c54346a4e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2325A-ADCF-4944-8A6A-0E277955C4F6}">
  <ds:schemaRefs>
    <ds:schemaRef ds:uri="http://schemas.microsoft.com/sharepoint/v3/contenttype/forms"/>
  </ds:schemaRefs>
</ds:datastoreItem>
</file>

<file path=customXml/itemProps2.xml><?xml version="1.0" encoding="utf-8"?>
<ds:datastoreItem xmlns:ds="http://schemas.openxmlformats.org/officeDocument/2006/customXml" ds:itemID="{BCAE5FB1-C31F-417D-A155-86E7B903DF01}">
  <ds:schemaRefs>
    <ds:schemaRef ds:uri="http://schemas.microsoft.com/office/2006/metadata/properties"/>
    <ds:schemaRef ds:uri="http://schemas.microsoft.com/office/infopath/2007/PartnerControls"/>
    <ds:schemaRef ds:uri="abefe56a-03ab-4bc7-ab52-4c54346a4e05"/>
    <ds:schemaRef ds:uri="78d703fb-01d8-4643-8d91-943788335c7e"/>
  </ds:schemaRefs>
</ds:datastoreItem>
</file>

<file path=customXml/itemProps3.xml><?xml version="1.0" encoding="utf-8"?>
<ds:datastoreItem xmlns:ds="http://schemas.openxmlformats.org/officeDocument/2006/customXml" ds:itemID="{585ECB49-A2D3-4F31-898D-B7F363987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703fb-01d8-4643-8d91-943788335c7e"/>
    <ds:schemaRef ds:uri="abefe56a-03ab-4bc7-ab52-4c54346a4e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847948-C135-4C55-B35F-C40E0A673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67</Pages>
  <Words>25311</Words>
  <Characters>149338</Characters>
  <Application>Microsoft Office Word</Application>
  <DocSecurity>0</DocSecurity>
  <Lines>1244</Lines>
  <Paragraphs>348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Microsoft</Company>
  <LinksUpToDate>false</LinksUpToDate>
  <CharactersWithSpaces>174301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docId:E6A00460BCA87AA249F41A5EA51CC20C</cp:keywords>
  <dc:description/>
  <cp:lastModifiedBy>Maděra Milan</cp:lastModifiedBy>
  <cp:revision>3</cp:revision>
  <cp:lastPrinted>2015-09-15T07:14:00Z</cp:lastPrinted>
  <dcterms:created xsi:type="dcterms:W3CDTF">2023-06-27T15:50:00Z</dcterms:created>
  <dcterms:modified xsi:type="dcterms:W3CDTF">2024-08-09T16:46:00Z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0x010100B44838B464AC91499AA09F4C55BE8D43</vt:lpwstr>
  </property>
  <property fmtid="{D5CDD505-2E9C-101B-9397-08002B2CF9AE}" pid="3" name="AuthorIds_UIVersion_25600">
    <vt:lpwstr>18</vt:lpwstr>
  </property>
  <property fmtid="{D5CDD505-2E9C-101B-9397-08002B2CF9AE}" pid="4" name="Order">
    <vt:r8>417500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