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9E155F" w14:textId="77777777" w:rsidR="00D900DC" w:rsidRPr="009D40C1" w:rsidRDefault="00D900DC" w:rsidP="0021780D">
      <w:pPr>
        <w:pStyle w:val="Nadpis5"/>
      </w:pPr>
      <w:r w:rsidRPr="00446DB1">
        <w:rPr>
          <w:noProof/>
          <w:lang w:val="cs-CZ" w:eastAsia="cs-CZ"/>
        </w:rPr>
        <mc:AlternateContent>
          <mc:Choice Requires="wps">
            <w:drawing>
              <wp:anchor distT="0" distB="0" distL="114300" distR="114300" simplePos="0" relativeHeight="251658241" behindDoc="1" locked="0" layoutInCell="1" allowOverlap="1" wp14:anchorId="21246C0A" wp14:editId="0D51885D">
                <wp:simplePos x="0" y="0"/>
                <wp:positionH relativeFrom="margin">
                  <wp:align>center</wp:align>
                </wp:positionH>
                <wp:positionV relativeFrom="page">
                  <wp:posOffset>201930</wp:posOffset>
                </wp:positionV>
                <wp:extent cx="7200000" cy="7920000"/>
                <wp:effectExtent l="0" t="0" r="20320" b="241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0" cy="7920000"/>
                        </a:xfrm>
                        <a:prstGeom prst="rect">
                          <a:avLst/>
                        </a:prstGeom>
                        <a:solidFill>
                          <a:srgbClr val="005962"/>
                        </a:solidFill>
                        <a:ln w="9525">
                          <a:solidFill>
                            <a:srgbClr val="4A7EBB"/>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rect w14:anchorId="5F87EA73" id="Rectangle 1" o:spid="_x0000_s1026" style="position:absolute;margin-left:0;margin-top:15.9pt;width:566.95pt;height:623.6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" fillcolor="#005962" strokecolor="#4a7ebb">
                <w10:wrap anchorx="margin" anchory="page"/>
              </v:rect>
            </w:pict>
          </mc:Fallback>
        </mc:AlternateContent>
      </w:r>
    </w:p>
    <w:p w14:paraId="17A6A42C" w14:textId="77777777" w:rsidR="003D10CE" w:rsidRPr="009D40C1" w:rsidRDefault="003D10CE" w:rsidP="008059BC">
      <w:r w:rsidRPr="00446DB1">
        <w:rPr>
          <w:noProof/>
          <w:lang w:val="cs-CZ" w:eastAsia="cs-CZ"/>
        </w:rPr>
        <w:drawing>
          <wp:anchor distT="0" distB="0" distL="114300" distR="114300" simplePos="0" relativeHeight="251658250" behindDoc="1" locked="0" layoutInCell="1" allowOverlap="1" wp14:anchorId="0BE90B44" wp14:editId="0661DB04">
            <wp:simplePos x="0" y="0"/>
            <wp:positionH relativeFrom="margin">
              <wp:posOffset>2691130</wp:posOffset>
            </wp:positionH>
            <wp:positionV relativeFrom="paragraph">
              <wp:posOffset>5715</wp:posOffset>
            </wp:positionV>
            <wp:extent cx="768350" cy="768350"/>
            <wp:effectExtent l="0" t="0" r="0" b="0"/>
            <wp:wrapTight wrapText="bothSides">
              <wp:wrapPolygon edited="0">
                <wp:start x="6962" y="0"/>
                <wp:lineTo x="0" y="3213"/>
                <wp:lineTo x="0" y="13924"/>
                <wp:lineTo x="1071" y="17137"/>
                <wp:lineTo x="5355" y="20886"/>
                <wp:lineTo x="14995" y="20886"/>
                <wp:lineTo x="19815" y="17137"/>
                <wp:lineTo x="20886" y="12317"/>
                <wp:lineTo x="20886" y="6426"/>
                <wp:lineTo x="17137" y="1607"/>
                <wp:lineTo x="13388" y="0"/>
                <wp:lineTo x="6962" y="0"/>
              </wp:wrapPolygon>
            </wp:wrapTight>
            <wp:docPr id="20" name="Picture 20" descr="Macintosh HD:Users:fraukeeversmann:Dropbox:PROJEKTE:TRIPLE E:DELIVERABLES:ICONS:earth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ukeeversmann:Dropbox:PROJEKTE:TRIPLE E:DELIVERABLES:ICONS:earth_whit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4EA79" w14:textId="77777777" w:rsidR="00D900DC" w:rsidRPr="009D40C1" w:rsidRDefault="00D900DC" w:rsidP="008059BC"/>
    <w:p w14:paraId="44D41087" w14:textId="77777777" w:rsidR="00235FB4" w:rsidRPr="009D40C1" w:rsidRDefault="00235FB4" w:rsidP="008059BC"/>
    <w:p w14:paraId="168AEC87" w14:textId="77777777" w:rsidR="00235FB4" w:rsidRPr="009D40C1" w:rsidRDefault="00235FB4" w:rsidP="008059BC"/>
    <w:p w14:paraId="6AA0B694" w14:textId="77777777" w:rsidR="00235FB4" w:rsidRPr="009D40C1" w:rsidRDefault="007F22F2" w:rsidP="008059BC">
      <w:r w:rsidRPr="00446DB1">
        <w:rPr>
          <w:noProof/>
          <w:lang w:val="cs-CZ" w:eastAsia="cs-CZ"/>
        </w:rPr>
        <mc:AlternateContent>
          <mc:Choice Requires="wps">
            <w:drawing>
              <wp:anchor distT="0" distB="0" distL="114300" distR="114300" simplePos="0" relativeHeight="251658244" behindDoc="0" locked="0" layoutInCell="1" allowOverlap="1" wp14:anchorId="731BDB7A" wp14:editId="0EBFCBE9">
                <wp:simplePos x="0" y="0"/>
                <wp:positionH relativeFrom="column">
                  <wp:posOffset>4536374</wp:posOffset>
                </wp:positionH>
                <wp:positionV relativeFrom="paragraph">
                  <wp:posOffset>13030</wp:posOffset>
                </wp:positionV>
                <wp:extent cx="1365662"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1403985"/>
                        </a:xfrm>
                        <a:prstGeom prst="rect">
                          <a:avLst/>
                        </a:prstGeom>
                        <a:noFill/>
                        <a:ln w="9525">
                          <a:noFill/>
                          <a:miter lim="800000"/>
                          <a:headEnd/>
                          <a:tailEnd/>
                        </a:ln>
                      </wps:spPr>
                      <wps:txbx>
                        <w:txbxContent>
                          <w:p w14:paraId="6B8DB250" w14:textId="77777777" w:rsidR="00C54943" w:rsidRDefault="00C54943"/>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731BDB7A" id="_x0000_t202" coordsize="21600,21600" o:spt="202" path="m,l,21600r21600,l21600,xe">
                <v:stroke joinstyle="miter"/>
                <v:path gradientshapeok="t" o:connecttype="rect"/>
              </v:shapetype>
              <v:shape id="Text Box 3" o:spid="_x0000_s1026" type="#_x0000_t202" style="position:absolute;left:0;text-align:left;margin-left:357.2pt;margin-top:1.05pt;width:107.55pt;height:110.5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" filled="f" stroked="f">
                <v:textbox style="mso-fit-shape-to-text:t">
                  <w:txbxContent>
                    <w:p w14:paraId="6B8DB250" w14:textId="77777777" w:rsidR="00C54943" w:rsidRDefault="00C54943"/>
                  </w:txbxContent>
                </v:textbox>
              </v:shape>
            </w:pict>
          </mc:Fallback>
        </mc:AlternateContent>
      </w:r>
    </w:p>
    <w:p w14:paraId="32894D2B" w14:textId="77777777" w:rsidR="00007DF2" w:rsidRPr="009D40C1" w:rsidRDefault="00007DF2" w:rsidP="008059BC"/>
    <w:p w14:paraId="586238B2" w14:textId="77777777" w:rsidR="00007DF2" w:rsidRPr="009D40C1" w:rsidRDefault="00007DF2" w:rsidP="008059BC"/>
    <w:p w14:paraId="4B25E8D8" w14:textId="77777777" w:rsidR="00833BB1" w:rsidRPr="003367E5" w:rsidRDefault="00833BB1" w:rsidP="003367E5">
      <w:pPr>
        <w:pStyle w:val="Frontpagetitle"/>
      </w:pPr>
    </w:p>
    <w:p w14:paraId="2FA11713" w14:textId="77777777" w:rsidR="00B539D4" w:rsidRPr="00587565" w:rsidRDefault="00B539D4" w:rsidP="00B539D4">
      <w:pPr>
        <w:pStyle w:val="Frontpagetitle"/>
      </w:pPr>
      <w:r w:rsidRPr="00587565">
        <w:t>Methodology for the application of the DNSH principle at the national level in Czechia</w:t>
      </w:r>
    </w:p>
    <w:p w14:paraId="45099212" w14:textId="105EC64A" w:rsidR="00F33643" w:rsidRDefault="00F33643" w:rsidP="003367E5">
      <w:pPr>
        <w:pStyle w:val="Frontpagetitle"/>
      </w:pPr>
    </w:p>
    <w:p w14:paraId="0E93F1BB" w14:textId="5CAD3B9E" w:rsidR="00E0659E" w:rsidRDefault="00587565" w:rsidP="003367E5">
      <w:pPr>
        <w:pStyle w:val="Frontpagetitle"/>
        <w:rPr>
          <w:sz w:val="48"/>
          <w:szCs w:val="48"/>
        </w:rPr>
      </w:pPr>
      <w:r w:rsidRPr="00E0659E">
        <w:rPr>
          <w:sz w:val="48"/>
          <w:szCs w:val="48"/>
        </w:rPr>
        <w:t>DLV</w:t>
      </w:r>
      <w:r w:rsidR="00E0659E" w:rsidRPr="00E0659E">
        <w:rPr>
          <w:sz w:val="48"/>
          <w:szCs w:val="48"/>
        </w:rPr>
        <w:t>3:</w:t>
      </w:r>
    </w:p>
    <w:p w14:paraId="1EE9B870" w14:textId="2666C5BE" w:rsidR="00B539D4" w:rsidRPr="00E0659E" w:rsidRDefault="00EC73C1" w:rsidP="003B261A">
      <w:pPr>
        <w:pStyle w:val="Frontpagetitle"/>
        <w:rPr>
          <w:sz w:val="48"/>
          <w:szCs w:val="48"/>
        </w:rPr>
      </w:pPr>
      <w:r>
        <w:rPr>
          <w:sz w:val="48"/>
          <w:szCs w:val="48"/>
        </w:rPr>
        <w:t xml:space="preserve">Report on the existing practices - </w:t>
      </w:r>
      <w:r w:rsidR="00E0659E" w:rsidRPr="00E0659E">
        <w:rPr>
          <w:sz w:val="48"/>
          <w:szCs w:val="48"/>
        </w:rPr>
        <w:t xml:space="preserve">application of DNSH principle by </w:t>
      </w:r>
      <w:r>
        <w:rPr>
          <w:sz w:val="48"/>
          <w:szCs w:val="48"/>
        </w:rPr>
        <w:t>EU</w:t>
      </w:r>
      <w:r w:rsidR="00E0659E" w:rsidRPr="00E0659E">
        <w:rPr>
          <w:sz w:val="48"/>
          <w:szCs w:val="48"/>
        </w:rPr>
        <w:t xml:space="preserve"> </w:t>
      </w:r>
      <w:r w:rsidR="003A7D40">
        <w:rPr>
          <w:sz w:val="48"/>
          <w:szCs w:val="48"/>
        </w:rPr>
        <w:t xml:space="preserve">peer </w:t>
      </w:r>
      <w:r w:rsidR="00E0659E" w:rsidRPr="00E0659E">
        <w:rPr>
          <w:sz w:val="48"/>
          <w:szCs w:val="48"/>
        </w:rPr>
        <w:t>Member States</w:t>
      </w:r>
    </w:p>
    <w:p w14:paraId="1B35981B" w14:textId="77777777" w:rsidR="00213E5B" w:rsidRPr="003367E5" w:rsidRDefault="00213E5B" w:rsidP="003367E5">
      <w:pPr>
        <w:pStyle w:val="Frontpagetitle"/>
      </w:pPr>
    </w:p>
    <w:p w14:paraId="7218F5EF" w14:textId="77777777" w:rsidR="00213E5B" w:rsidRPr="003367E5" w:rsidRDefault="00213E5B" w:rsidP="003367E5">
      <w:pPr>
        <w:pStyle w:val="Frontpagetitle"/>
      </w:pPr>
    </w:p>
    <w:p w14:paraId="429FBF85" w14:textId="77777777" w:rsidR="00D900DC" w:rsidRPr="009D40C1" w:rsidRDefault="00D900DC" w:rsidP="008059BC"/>
    <w:p w14:paraId="0583282A" w14:textId="77777777" w:rsidR="00D900DC" w:rsidRPr="009D40C1" w:rsidRDefault="00D900DC" w:rsidP="008059BC"/>
    <w:p w14:paraId="13A87461" w14:textId="77777777" w:rsidR="00D900DC" w:rsidRPr="009D40C1" w:rsidRDefault="00D900DC" w:rsidP="008059BC"/>
    <w:p w14:paraId="40856BA7" w14:textId="77777777" w:rsidR="00D900DC" w:rsidRPr="009D40C1" w:rsidRDefault="00D900DC" w:rsidP="008059BC">
      <w:pPr>
        <w:sectPr w:rsidR="00D900DC" w:rsidRPr="009D40C1" w:rsidSect="003D10CE">
          <w:footerReference w:type="default" r:id="rId12"/>
          <w:pgSz w:w="11906" w:h="16838"/>
          <w:pgMar w:top="1440" w:right="1440" w:bottom="1440" w:left="1440" w:header="708" w:footer="1958" w:gutter="0"/>
          <w:cols w:space="708"/>
          <w:docGrid w:linePitch="360"/>
        </w:sectPr>
      </w:pPr>
    </w:p>
    <w:p w14:paraId="597FCB45" w14:textId="77777777" w:rsidR="002B011A" w:rsidRPr="009D40C1" w:rsidRDefault="00124C0D" w:rsidP="008059BC">
      <w:r w:rsidRPr="00446DB1">
        <w:rPr>
          <w:noProof/>
          <w:lang w:val="cs-CZ" w:eastAsia="cs-CZ"/>
        </w:rPr>
        <w:lastRenderedPageBreak/>
        <mc:AlternateContent>
          <mc:Choice Requires="wps">
            <w:drawing>
              <wp:anchor distT="0" distB="0" distL="114300" distR="114300" simplePos="0" relativeHeight="251658240" behindDoc="1" locked="0" layoutInCell="1" allowOverlap="1" wp14:anchorId="6EFE7565" wp14:editId="0B31A4C4">
                <wp:simplePos x="0" y="0"/>
                <wp:positionH relativeFrom="margin">
                  <wp:posOffset>-706377</wp:posOffset>
                </wp:positionH>
                <wp:positionV relativeFrom="page">
                  <wp:posOffset>217805</wp:posOffset>
                </wp:positionV>
                <wp:extent cx="7077600" cy="10027104"/>
                <wp:effectExtent l="0" t="0" r="28575" b="12700"/>
                <wp:wrapNone/>
                <wp:docPr id="31" name="Rectangle 31"/>
                <wp:cNvGraphicFramePr/>
                <a:graphic xmlns:a="http://schemas.openxmlformats.org/drawingml/2006/main">
                  <a:graphicData uri="http://schemas.microsoft.com/office/word/2010/wordprocessingShape">
                    <wps:wsp>
                      <wps:cNvSpPr/>
                      <wps:spPr>
                        <a:xfrm>
                          <a:off x="0" y="0"/>
                          <a:ext cx="7077600" cy="10027104"/>
                        </a:xfrm>
                        <a:prstGeom prst="rect">
                          <a:avLst/>
                        </a:prstGeom>
                        <a:solidFill>
                          <a:srgbClr val="ECEBE1"/>
                        </a:solidFill>
                        <a:ln>
                          <a:solidFill>
                            <a:srgbClr val="ECEBE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16FF9C76" id="Rectangle 31" o:spid="_x0000_s1026" style="position:absolute;margin-left:-55.6pt;margin-top:17.15pt;width:557.3pt;height:78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" fillcolor="#ecebe1" strokecolor="#ecebe1" strokeweight="2pt">
                <w10:wrap anchorx="margin" anchory="page"/>
              </v:rect>
            </w:pict>
          </mc:Fallback>
        </mc:AlternateContent>
      </w:r>
    </w:p>
    <w:p w14:paraId="78B1D4C6" w14:textId="77777777" w:rsidR="00AC6062" w:rsidRPr="00B241E9" w:rsidRDefault="00AC6062" w:rsidP="00943F71">
      <w:pPr>
        <w:pStyle w:val="Nadpis4"/>
        <w:ind w:firstLine="0"/>
      </w:pPr>
      <w:r w:rsidRPr="00B241E9">
        <w:t>Contract</w:t>
      </w:r>
      <w:r w:rsidR="00BC3C79" w:rsidRPr="00B241E9">
        <w:t xml:space="preserve"> details</w:t>
      </w:r>
    </w:p>
    <w:p w14:paraId="62318A5E" w14:textId="3F8897C3" w:rsidR="00266307" w:rsidRPr="00266307" w:rsidRDefault="00266307" w:rsidP="00943F71">
      <w:pPr>
        <w:ind w:left="0"/>
        <w:rPr>
          <w:lang w:val="en-IE"/>
        </w:rPr>
      </w:pPr>
      <w:r w:rsidRPr="00266307">
        <w:rPr>
          <w:lang w:val="en-IE"/>
        </w:rPr>
        <w:t>REFORM/SC2022/112 - Methodology for the application of the DNSH principle at the national level in Czechia</w:t>
      </w:r>
    </w:p>
    <w:p w14:paraId="1C59A08A" w14:textId="77777777" w:rsidR="00AC6062" w:rsidRDefault="00AC6062" w:rsidP="008059BC"/>
    <w:p w14:paraId="07B34B70" w14:textId="77777777" w:rsidR="00FD55EA" w:rsidRPr="009D40C1" w:rsidRDefault="00FD55EA" w:rsidP="008059BC"/>
    <w:p w14:paraId="4B4C26AA" w14:textId="3D8A38C1" w:rsidR="00646DFC" w:rsidRPr="00C11301" w:rsidRDefault="00646DFC" w:rsidP="00943F71">
      <w:pPr>
        <w:pStyle w:val="Nadpis4"/>
        <w:ind w:firstLine="0"/>
        <w:rPr>
          <w:lang w:val="nl-NL"/>
        </w:rPr>
      </w:pPr>
      <w:r w:rsidRPr="00B0528D">
        <w:rPr>
          <w:lang w:val="nl-NL"/>
        </w:rPr>
        <w:t>Authors</w:t>
      </w:r>
    </w:p>
    <w:p w14:paraId="4DAB0364" w14:textId="03AC7426" w:rsidR="00646DFC" w:rsidRPr="00646DFC" w:rsidRDefault="00646DFC" w:rsidP="00943F71">
      <w:pPr>
        <w:ind w:left="0"/>
        <w:rPr>
          <w:lang w:val="nl-NL"/>
        </w:rPr>
      </w:pPr>
      <w:r w:rsidRPr="00646DFC">
        <w:rPr>
          <w:lang w:val="nl-NL"/>
        </w:rPr>
        <w:t>Jeroen van der Laan</w:t>
      </w:r>
    </w:p>
    <w:p w14:paraId="6A53F1E6" w14:textId="1CF0C7FB" w:rsidR="00646DFC" w:rsidRPr="007E511F" w:rsidRDefault="00646DFC" w:rsidP="00943F71">
      <w:pPr>
        <w:ind w:left="0"/>
        <w:rPr>
          <w:lang w:val="nl-NL"/>
        </w:rPr>
      </w:pPr>
      <w:r w:rsidRPr="007E511F">
        <w:rPr>
          <w:lang w:val="nl-NL"/>
        </w:rPr>
        <w:t>Rachel Lamothe</w:t>
      </w:r>
    </w:p>
    <w:p w14:paraId="6DAE213D" w14:textId="0CAF8B04" w:rsidR="00646DFC" w:rsidRPr="00E96A0A" w:rsidRDefault="00646DFC" w:rsidP="00943F71">
      <w:pPr>
        <w:ind w:left="0"/>
        <w:rPr>
          <w:lang w:val="pt-PT"/>
        </w:rPr>
      </w:pPr>
      <w:r w:rsidRPr="00E96A0A">
        <w:rPr>
          <w:lang w:val="pt-PT"/>
        </w:rPr>
        <w:t xml:space="preserve">Catarina </w:t>
      </w:r>
      <w:r w:rsidR="00EE3129" w:rsidRPr="00E96A0A">
        <w:rPr>
          <w:lang w:val="pt-PT"/>
        </w:rPr>
        <w:t>Alves</w:t>
      </w:r>
    </w:p>
    <w:p w14:paraId="2EE4B874" w14:textId="3A1599B5" w:rsidR="00EE3129" w:rsidRPr="00C11301" w:rsidRDefault="00EE3129" w:rsidP="00943F71">
      <w:pPr>
        <w:ind w:left="0"/>
        <w:rPr>
          <w:lang w:val="pt-PT"/>
        </w:rPr>
      </w:pPr>
      <w:r w:rsidRPr="00E96A0A">
        <w:rPr>
          <w:lang w:val="pt-PT"/>
        </w:rPr>
        <w:t>Pavla Cihlarova</w:t>
      </w:r>
    </w:p>
    <w:p w14:paraId="35709E15" w14:textId="77777777" w:rsidR="00D350A4" w:rsidRPr="00E96A0A" w:rsidRDefault="00D350A4" w:rsidP="008059BC">
      <w:pPr>
        <w:rPr>
          <w:lang w:val="pt-PT"/>
        </w:rPr>
      </w:pPr>
    </w:p>
    <w:p w14:paraId="33C37287" w14:textId="77777777" w:rsidR="00FD55EA" w:rsidRPr="00F22FD9" w:rsidRDefault="00FD55EA" w:rsidP="008059BC">
      <w:pPr>
        <w:rPr>
          <w:lang w:val="pt-PT"/>
        </w:rPr>
      </w:pPr>
    </w:p>
    <w:p w14:paraId="3C6D5E33" w14:textId="77777777" w:rsidR="00530049" w:rsidRPr="00E96A0A" w:rsidRDefault="00530049" w:rsidP="00943F71">
      <w:pPr>
        <w:pStyle w:val="Nadpis4"/>
        <w:ind w:firstLine="0"/>
        <w:rPr>
          <w:lang w:val="pt-PT"/>
        </w:rPr>
      </w:pPr>
      <w:r w:rsidRPr="00E96A0A">
        <w:rPr>
          <w:lang w:val="pt-PT"/>
        </w:rPr>
        <w:t>Presented by</w:t>
      </w:r>
    </w:p>
    <w:p w14:paraId="4AC3AACF" w14:textId="77777777" w:rsidR="00235FB4" w:rsidRPr="00AD0FB6" w:rsidRDefault="00F40A09" w:rsidP="00943F71">
      <w:pPr>
        <w:ind w:left="0"/>
        <w:rPr>
          <w:lang w:val="nl-NL"/>
        </w:rPr>
      </w:pPr>
      <w:r w:rsidRPr="00AD0FB6">
        <w:rPr>
          <w:lang w:val="nl-NL"/>
        </w:rPr>
        <w:t>Trinomics</w:t>
      </w:r>
      <w:r w:rsidR="00430C4F" w:rsidRPr="00AD0FB6">
        <w:rPr>
          <w:lang w:val="nl-NL"/>
        </w:rPr>
        <w:t xml:space="preserve"> </w:t>
      </w:r>
      <w:r w:rsidR="00235FB4" w:rsidRPr="00AD0FB6">
        <w:rPr>
          <w:lang w:val="nl-NL"/>
        </w:rPr>
        <w:t>B.V.</w:t>
      </w:r>
    </w:p>
    <w:p w14:paraId="4F7CB0B3" w14:textId="77777777" w:rsidR="00235FB4" w:rsidRPr="00AD0FB6" w:rsidRDefault="00235FB4" w:rsidP="00943F71">
      <w:pPr>
        <w:ind w:left="0"/>
        <w:rPr>
          <w:lang w:val="nl-NL"/>
        </w:rPr>
      </w:pPr>
      <w:r w:rsidRPr="00AD0FB6">
        <w:rPr>
          <w:lang w:val="nl-NL"/>
        </w:rPr>
        <w:t>Westersingel 3</w:t>
      </w:r>
      <w:r w:rsidR="00317A82" w:rsidRPr="00AD0FB6">
        <w:rPr>
          <w:lang w:val="nl-NL"/>
        </w:rPr>
        <w:t>4</w:t>
      </w:r>
    </w:p>
    <w:p w14:paraId="7D939346" w14:textId="77777777" w:rsidR="00235FB4" w:rsidRPr="00AD0FB6" w:rsidRDefault="00235FB4" w:rsidP="00943F71">
      <w:pPr>
        <w:ind w:left="0"/>
        <w:rPr>
          <w:lang w:val="nl-NL"/>
        </w:rPr>
      </w:pPr>
      <w:r w:rsidRPr="00AD0FB6">
        <w:rPr>
          <w:lang w:val="nl-NL"/>
        </w:rPr>
        <w:t>3014 GS Rotterdam</w:t>
      </w:r>
    </w:p>
    <w:p w14:paraId="2185D2E0" w14:textId="77777777" w:rsidR="00235FB4" w:rsidRPr="009D40C1" w:rsidRDefault="00E964EF" w:rsidP="00943F71">
      <w:pPr>
        <w:ind w:left="0"/>
      </w:pPr>
      <w:r w:rsidRPr="009D40C1">
        <w:t>T</w:t>
      </w:r>
      <w:r w:rsidR="00235FB4" w:rsidRPr="009D40C1">
        <w:t>he Netherlands</w:t>
      </w:r>
    </w:p>
    <w:p w14:paraId="25F7AB53" w14:textId="77777777" w:rsidR="00235FB4" w:rsidRPr="009D40C1" w:rsidRDefault="00235FB4" w:rsidP="008059BC"/>
    <w:p w14:paraId="297461BA" w14:textId="77777777" w:rsidR="00D350A4" w:rsidRPr="009D40C1" w:rsidRDefault="00D350A4" w:rsidP="008059BC"/>
    <w:p w14:paraId="70D5D67D" w14:textId="77777777" w:rsidR="00235FB4" w:rsidRPr="009D40C1" w:rsidRDefault="002B011A" w:rsidP="00943F71">
      <w:pPr>
        <w:pStyle w:val="Nadpis4"/>
        <w:ind w:firstLine="0"/>
      </w:pPr>
      <w:r w:rsidRPr="009D40C1">
        <w:t xml:space="preserve">Contact </w:t>
      </w:r>
      <w:r w:rsidR="009D3B6B" w:rsidRPr="009D40C1">
        <w:t>person</w:t>
      </w:r>
    </w:p>
    <w:p w14:paraId="728F1AC5" w14:textId="77777777" w:rsidR="001C5C7A" w:rsidRPr="00AC234B" w:rsidRDefault="001C5C7A" w:rsidP="00943F71">
      <w:pPr>
        <w:ind w:left="0"/>
        <w:rPr>
          <w:lang w:val="en-IE"/>
        </w:rPr>
      </w:pPr>
      <w:r w:rsidRPr="00AC234B">
        <w:rPr>
          <w:lang w:val="en-IE"/>
        </w:rPr>
        <w:t>Mr. Peter Janoska</w:t>
      </w:r>
      <w:r w:rsidRPr="00724CEB">
        <w:rPr>
          <w:lang w:val="en-IE"/>
        </w:rPr>
        <w:t xml:space="preserve"> (Project Manager)</w:t>
      </w:r>
      <w:r w:rsidRPr="00AC234B">
        <w:rPr>
          <w:lang w:val="en-IE"/>
        </w:rPr>
        <w:t xml:space="preserve"> </w:t>
      </w:r>
    </w:p>
    <w:p w14:paraId="7702E123" w14:textId="77777777" w:rsidR="001C5C7A" w:rsidRPr="00E96A0A" w:rsidRDefault="001C5C7A" w:rsidP="00943F71">
      <w:pPr>
        <w:ind w:left="0"/>
        <w:rPr>
          <w:rStyle w:val="Hypertextovodkaz"/>
          <w:lang w:val="pt-PT"/>
        </w:rPr>
      </w:pPr>
      <w:r w:rsidRPr="00E96A0A">
        <w:rPr>
          <w:lang w:val="pt-PT"/>
        </w:rPr>
        <w:t xml:space="preserve">E: </w:t>
      </w:r>
      <w:hyperlink r:id="rId13" w:history="1">
        <w:r w:rsidRPr="00E96A0A">
          <w:rPr>
            <w:rStyle w:val="Hypertextovodkaz"/>
            <w:lang w:val="pt-PT"/>
          </w:rPr>
          <w:t>peter.janoska@trinomics.eu</w:t>
        </w:r>
      </w:hyperlink>
    </w:p>
    <w:p w14:paraId="4483F95F" w14:textId="77777777" w:rsidR="001C5C7A" w:rsidRPr="00E96A0A" w:rsidRDefault="001C5C7A" w:rsidP="001C5C7A">
      <w:pPr>
        <w:rPr>
          <w:lang w:val="pt-PT"/>
        </w:rPr>
      </w:pPr>
    </w:p>
    <w:p w14:paraId="16027C85" w14:textId="77777777" w:rsidR="001C5C7A" w:rsidRPr="00724CEB" w:rsidRDefault="001C5C7A" w:rsidP="00943F71">
      <w:pPr>
        <w:ind w:left="0"/>
        <w:rPr>
          <w:lang w:val="fi-FI"/>
        </w:rPr>
      </w:pPr>
      <w:r w:rsidRPr="00724CEB">
        <w:rPr>
          <w:lang w:val="fi-FI"/>
        </w:rPr>
        <w:t>Ms. Pavla Cihlarova</w:t>
      </w:r>
      <w:r>
        <w:rPr>
          <w:lang w:val="fi-FI"/>
        </w:rPr>
        <w:t xml:space="preserve"> (Project Coordinator)</w:t>
      </w:r>
    </w:p>
    <w:p w14:paraId="786FA6F8" w14:textId="77777777" w:rsidR="001C5C7A" w:rsidRPr="00724CEB" w:rsidRDefault="001C5C7A" w:rsidP="00943F71">
      <w:pPr>
        <w:ind w:left="0"/>
        <w:rPr>
          <w:lang w:val="fi-FI"/>
        </w:rPr>
      </w:pPr>
      <w:r w:rsidRPr="00724CEB">
        <w:rPr>
          <w:lang w:val="fi-FI"/>
        </w:rPr>
        <w:t xml:space="preserve">E: </w:t>
      </w:r>
      <w:hyperlink r:id="rId14" w:history="1">
        <w:r w:rsidRPr="00724CEB">
          <w:rPr>
            <w:rStyle w:val="Hypertextovodkaz"/>
            <w:lang w:val="fi-FI"/>
          </w:rPr>
          <w:t>pavla.cihlarova@trinomics.eu</w:t>
        </w:r>
      </w:hyperlink>
      <w:r w:rsidRPr="00724CEB">
        <w:rPr>
          <w:lang w:val="fi-FI"/>
        </w:rPr>
        <w:t xml:space="preserve">  </w:t>
      </w:r>
    </w:p>
    <w:p w14:paraId="0ACD51EA" w14:textId="77777777" w:rsidR="001C5C7A" w:rsidRPr="00AD0FB6" w:rsidRDefault="001C5C7A" w:rsidP="009D3B6B">
      <w:pPr>
        <w:rPr>
          <w:lang w:val="es-ES"/>
        </w:rPr>
      </w:pPr>
    </w:p>
    <w:p w14:paraId="311769CD" w14:textId="489B5F1D" w:rsidR="001C5C7A" w:rsidRPr="001C5C7A" w:rsidRDefault="001C5C7A" w:rsidP="00943F71">
      <w:pPr>
        <w:ind w:left="0"/>
        <w:rPr>
          <w:lang w:val="nl-NL"/>
        </w:rPr>
      </w:pPr>
      <w:r w:rsidRPr="001C5C7A">
        <w:rPr>
          <w:lang w:val="nl-NL"/>
        </w:rPr>
        <w:t>Mr. Jeroen van d</w:t>
      </w:r>
      <w:r>
        <w:rPr>
          <w:lang w:val="nl-NL"/>
        </w:rPr>
        <w:t>er Laan (</w:t>
      </w:r>
      <w:r w:rsidR="007E511F">
        <w:rPr>
          <w:lang w:val="nl-NL"/>
        </w:rPr>
        <w:t>Technical L</w:t>
      </w:r>
      <w:r>
        <w:rPr>
          <w:lang w:val="nl-NL"/>
        </w:rPr>
        <w:t>ead)</w:t>
      </w:r>
    </w:p>
    <w:p w14:paraId="1BCFF1A0" w14:textId="14FC987E" w:rsidR="001C5C7A" w:rsidRPr="00EA2D8D" w:rsidRDefault="001C5C7A" w:rsidP="00943F71">
      <w:pPr>
        <w:ind w:left="0"/>
        <w:rPr>
          <w:lang w:val="it-IT"/>
        </w:rPr>
      </w:pPr>
      <w:r w:rsidRPr="00EA2D8D">
        <w:rPr>
          <w:lang w:val="it-IT"/>
        </w:rPr>
        <w:t xml:space="preserve">E: </w:t>
      </w:r>
      <w:hyperlink r:id="rId15" w:history="1">
        <w:r w:rsidRPr="00EA2D8D">
          <w:rPr>
            <w:rStyle w:val="Hypertextovodkaz"/>
            <w:lang w:val="it-IT"/>
          </w:rPr>
          <w:t>jeroen.vanderlaan@trinomics.eu</w:t>
        </w:r>
      </w:hyperlink>
      <w:r w:rsidRPr="00EA2D8D">
        <w:rPr>
          <w:lang w:val="it-IT"/>
        </w:rPr>
        <w:t xml:space="preserve"> </w:t>
      </w:r>
    </w:p>
    <w:p w14:paraId="1E98DA12" w14:textId="77777777" w:rsidR="00D350A4" w:rsidRPr="00EA2D8D" w:rsidRDefault="00D350A4" w:rsidP="008059BC">
      <w:pPr>
        <w:rPr>
          <w:lang w:val="it-IT"/>
        </w:rPr>
      </w:pPr>
    </w:p>
    <w:p w14:paraId="50D16A7C" w14:textId="77777777" w:rsidR="001C5C7A" w:rsidRPr="00EA2D8D" w:rsidRDefault="001C5C7A" w:rsidP="008059BC">
      <w:pPr>
        <w:rPr>
          <w:lang w:val="it-IT"/>
        </w:rPr>
      </w:pPr>
    </w:p>
    <w:p w14:paraId="68F2A6B3" w14:textId="77777777" w:rsidR="00235FB4" w:rsidRPr="00EA2D8D" w:rsidRDefault="00235FB4" w:rsidP="00943F71">
      <w:pPr>
        <w:ind w:left="0"/>
        <w:rPr>
          <w:b/>
          <w:color w:val="F04E30"/>
          <w:lang w:val="it-IT"/>
        </w:rPr>
      </w:pPr>
      <w:r w:rsidRPr="00EA2D8D">
        <w:rPr>
          <w:b/>
          <w:color w:val="F04E30"/>
          <w:lang w:val="it-IT"/>
        </w:rPr>
        <w:t>Date</w:t>
      </w:r>
    </w:p>
    <w:p w14:paraId="3FF209C7" w14:textId="10ADDBB2" w:rsidR="009D3B6B" w:rsidRPr="005C7F35" w:rsidRDefault="009D3B6B" w:rsidP="00943F71">
      <w:pPr>
        <w:spacing w:line="276" w:lineRule="auto"/>
        <w:ind w:left="0"/>
      </w:pPr>
      <w:r w:rsidRPr="00F1560E">
        <w:rPr>
          <w:lang w:val="en-GB"/>
        </w:rPr>
        <w:t>Rotterdam</w:t>
      </w:r>
      <w:r w:rsidR="00AA0896" w:rsidRPr="00F1560E">
        <w:rPr>
          <w:lang w:val="en-GB"/>
        </w:rPr>
        <w:t xml:space="preserve">, </w:t>
      </w:r>
      <w:r w:rsidR="00E36C42">
        <w:rPr>
          <w:lang w:val="en-GB"/>
        </w:rPr>
        <w:t xml:space="preserve">7 April </w:t>
      </w:r>
      <w:r w:rsidR="001C5C7A" w:rsidRPr="00F1560E">
        <w:rPr>
          <w:lang w:val="en-GB"/>
        </w:rPr>
        <w:t>2023</w:t>
      </w:r>
    </w:p>
    <w:p w14:paraId="436DEE96" w14:textId="77777777" w:rsidR="00235FB4" w:rsidRPr="00F1560E" w:rsidRDefault="00235FB4" w:rsidP="008059BC">
      <w:pPr>
        <w:rPr>
          <w:lang w:val="en-GB"/>
        </w:rPr>
      </w:pPr>
    </w:p>
    <w:p w14:paraId="5F06B0B3" w14:textId="77777777" w:rsidR="00EF30D1" w:rsidRPr="00F1560E" w:rsidRDefault="00EF30D1" w:rsidP="008059BC">
      <w:pPr>
        <w:rPr>
          <w:lang w:val="en-GB"/>
        </w:rPr>
      </w:pPr>
    </w:p>
    <w:p w14:paraId="1EB5BF56" w14:textId="77777777" w:rsidR="00EF30D1" w:rsidRPr="00F1560E" w:rsidRDefault="00EF30D1" w:rsidP="008059BC">
      <w:pPr>
        <w:rPr>
          <w:lang w:val="en-GB"/>
        </w:rPr>
      </w:pPr>
    </w:p>
    <w:p w14:paraId="3D7A06D5" w14:textId="77777777" w:rsidR="00EF30D1" w:rsidRPr="00F1560E" w:rsidRDefault="00EF30D1" w:rsidP="008059BC">
      <w:pPr>
        <w:rPr>
          <w:lang w:val="en-GB"/>
        </w:rPr>
      </w:pPr>
    </w:p>
    <w:p w14:paraId="0D64E2E3" w14:textId="77777777" w:rsidR="00EF30D1" w:rsidRPr="00F1560E" w:rsidRDefault="00EF30D1" w:rsidP="008059BC">
      <w:pPr>
        <w:rPr>
          <w:lang w:val="en-GB"/>
        </w:rPr>
      </w:pPr>
    </w:p>
    <w:p w14:paraId="7260D935" w14:textId="77777777" w:rsidR="00EF30D1" w:rsidRPr="00F1560E" w:rsidRDefault="00EF30D1" w:rsidP="008059BC">
      <w:pPr>
        <w:rPr>
          <w:lang w:val="en-GB"/>
        </w:rPr>
      </w:pPr>
    </w:p>
    <w:p w14:paraId="0879AFAF" w14:textId="77777777" w:rsidR="00235FB4" w:rsidRPr="00F1560E" w:rsidRDefault="00235FB4" w:rsidP="008059BC">
      <w:pPr>
        <w:rPr>
          <w:lang w:val="en-GB"/>
        </w:rPr>
      </w:pPr>
    </w:p>
    <w:p w14:paraId="3F556F91" w14:textId="77777777" w:rsidR="003D10CE" w:rsidRPr="00F1560E" w:rsidRDefault="003D10CE" w:rsidP="008059BC">
      <w:pPr>
        <w:rPr>
          <w:lang w:val="en-GB"/>
        </w:rPr>
      </w:pPr>
    </w:p>
    <w:p w14:paraId="4BA5E0D9" w14:textId="77777777" w:rsidR="00AC6062" w:rsidRPr="00F1560E" w:rsidRDefault="00AC6062" w:rsidP="008059BC">
      <w:pPr>
        <w:rPr>
          <w:lang w:val="en-GB"/>
        </w:rPr>
      </w:pPr>
    </w:p>
    <w:p w14:paraId="35AFB023" w14:textId="77777777" w:rsidR="00AC6062" w:rsidRPr="00F1560E" w:rsidRDefault="00AC6062" w:rsidP="008059BC">
      <w:pPr>
        <w:rPr>
          <w:lang w:val="en-GB"/>
        </w:rPr>
      </w:pPr>
    </w:p>
    <w:p w14:paraId="3004F73F" w14:textId="77777777" w:rsidR="003D10CE" w:rsidRPr="00F1560E" w:rsidRDefault="003D10CE" w:rsidP="008059BC">
      <w:pPr>
        <w:rPr>
          <w:lang w:val="en-GB"/>
        </w:rPr>
      </w:pPr>
    </w:p>
    <w:p w14:paraId="498DFF22" w14:textId="77777777" w:rsidR="003D10CE" w:rsidRPr="00F1560E" w:rsidRDefault="003D10CE" w:rsidP="008059BC">
      <w:pPr>
        <w:rPr>
          <w:lang w:val="en-GB"/>
        </w:rPr>
        <w:sectPr w:rsidR="003D10CE" w:rsidRPr="00F1560E">
          <w:footerReference w:type="default" r:id="rId16"/>
          <w:pgSz w:w="11906" w:h="16838"/>
          <w:pgMar w:top="1440" w:right="1440" w:bottom="1440" w:left="1440" w:header="708" w:footer="708" w:gutter="0"/>
          <w:cols w:space="708"/>
          <w:docGrid w:linePitch="360"/>
        </w:sectPr>
      </w:pPr>
    </w:p>
    <w:p w14:paraId="67818D9F" w14:textId="5E8581F1" w:rsidR="00B539D4" w:rsidRPr="00F1560E" w:rsidRDefault="00B539D4" w:rsidP="008059BC">
      <w:pPr>
        <w:rPr>
          <w:lang w:val="en-GB"/>
        </w:rPr>
      </w:pPr>
    </w:p>
    <w:p w14:paraId="0E8AC915" w14:textId="77777777" w:rsidR="00CB7234" w:rsidRPr="00F1560E" w:rsidRDefault="00CB7234" w:rsidP="008059BC">
      <w:pPr>
        <w:rPr>
          <w:lang w:val="en-GB"/>
        </w:rPr>
      </w:pPr>
    </w:p>
    <w:p w14:paraId="0402570E" w14:textId="77777777" w:rsidR="00F4101B" w:rsidRPr="00F1560E" w:rsidRDefault="00F4101B" w:rsidP="008059BC">
      <w:pPr>
        <w:rPr>
          <w:lang w:val="en-GB"/>
        </w:rPr>
      </w:pPr>
    </w:p>
    <w:p w14:paraId="7D50DA6E" w14:textId="77777777" w:rsidR="00CB7234" w:rsidRPr="00F1560E" w:rsidRDefault="00CB7234" w:rsidP="008059BC">
      <w:pPr>
        <w:rPr>
          <w:lang w:val="en-GB"/>
        </w:rPr>
      </w:pPr>
    </w:p>
    <w:p w14:paraId="21D8A9D2" w14:textId="77777777" w:rsidR="00CB7234" w:rsidRPr="00F1560E" w:rsidRDefault="00CB7234" w:rsidP="008059BC">
      <w:pPr>
        <w:rPr>
          <w:lang w:val="en-GB"/>
        </w:rPr>
      </w:pPr>
    </w:p>
    <w:p w14:paraId="0FF79A82" w14:textId="77777777" w:rsidR="003D10CE" w:rsidRPr="00F1560E" w:rsidRDefault="003D10CE" w:rsidP="008059BC">
      <w:pPr>
        <w:rPr>
          <w:lang w:val="en-GB"/>
        </w:rPr>
      </w:pPr>
    </w:p>
    <w:p w14:paraId="28EF3010" w14:textId="77777777" w:rsidR="003D10CE" w:rsidRPr="00F1560E" w:rsidRDefault="003D10CE" w:rsidP="008059BC">
      <w:pPr>
        <w:rPr>
          <w:lang w:val="en-GB"/>
        </w:rPr>
      </w:pPr>
    </w:p>
    <w:p w14:paraId="7B13B08C" w14:textId="77777777" w:rsidR="003D10CE" w:rsidRPr="00F1560E" w:rsidRDefault="00A94808" w:rsidP="008059BC">
      <w:pPr>
        <w:rPr>
          <w:lang w:val="en-GB"/>
        </w:rPr>
      </w:pPr>
      <w:r w:rsidRPr="00446DB1">
        <w:rPr>
          <w:noProof/>
          <w:lang w:val="cs-CZ" w:eastAsia="cs-CZ"/>
        </w:rPr>
        <w:drawing>
          <wp:anchor distT="0" distB="0" distL="114300" distR="114300" simplePos="0" relativeHeight="251658246" behindDoc="1" locked="0" layoutInCell="1" allowOverlap="1" wp14:anchorId="6C8A91F0" wp14:editId="1B0D86A5">
            <wp:simplePos x="0" y="0"/>
            <wp:positionH relativeFrom="margin">
              <wp:align>center</wp:align>
            </wp:positionH>
            <wp:positionV relativeFrom="paragraph">
              <wp:posOffset>-429260</wp:posOffset>
            </wp:positionV>
            <wp:extent cx="3718560" cy="1352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18560" cy="1352550"/>
                    </a:xfrm>
                    <a:prstGeom prst="rect">
                      <a:avLst/>
                    </a:prstGeom>
                  </pic:spPr>
                </pic:pic>
              </a:graphicData>
            </a:graphic>
            <wp14:sizeRelH relativeFrom="page">
              <wp14:pctWidth>0</wp14:pctWidth>
            </wp14:sizeRelH>
            <wp14:sizeRelV relativeFrom="page">
              <wp14:pctHeight>0</wp14:pctHeight>
            </wp14:sizeRelV>
          </wp:anchor>
        </w:drawing>
      </w:r>
    </w:p>
    <w:p w14:paraId="3D68E9CA" w14:textId="77777777" w:rsidR="003D10CE" w:rsidRPr="00F1560E" w:rsidRDefault="003D10CE" w:rsidP="008059BC">
      <w:pPr>
        <w:rPr>
          <w:lang w:val="en-GB"/>
        </w:rPr>
      </w:pPr>
    </w:p>
    <w:p w14:paraId="7CDDB8D4" w14:textId="77777777" w:rsidR="003D10CE" w:rsidRPr="00F1560E" w:rsidRDefault="003D10CE" w:rsidP="008059BC">
      <w:pPr>
        <w:rPr>
          <w:lang w:val="en-GB"/>
        </w:rPr>
      </w:pPr>
    </w:p>
    <w:p w14:paraId="6108A409" w14:textId="77777777" w:rsidR="003D10CE" w:rsidRPr="00F1560E" w:rsidRDefault="003D10CE" w:rsidP="008059BC">
      <w:pPr>
        <w:rPr>
          <w:lang w:val="en-GB"/>
        </w:rPr>
      </w:pPr>
    </w:p>
    <w:p w14:paraId="2389D366" w14:textId="77777777" w:rsidR="003D10CE" w:rsidRPr="00F1560E" w:rsidRDefault="003D10CE" w:rsidP="008059BC">
      <w:pPr>
        <w:rPr>
          <w:lang w:val="en-GB"/>
        </w:rPr>
      </w:pPr>
    </w:p>
    <w:p w14:paraId="797FB9A2" w14:textId="77777777" w:rsidR="00530049" w:rsidRPr="00F1560E" w:rsidRDefault="00530049" w:rsidP="008059BC">
      <w:pPr>
        <w:rPr>
          <w:lang w:val="en-GB"/>
        </w:rPr>
      </w:pPr>
    </w:p>
    <w:p w14:paraId="340163EE" w14:textId="28670B38" w:rsidR="00AC6062" w:rsidRPr="00446DB1" w:rsidRDefault="009D3B6B" w:rsidP="00BC3C79">
      <w:pPr>
        <w:jc w:val="center"/>
        <w:rPr>
          <w:b/>
          <w:color w:val="F04E30"/>
          <w:sz w:val="24"/>
          <w:szCs w:val="24"/>
        </w:rPr>
      </w:pPr>
      <w:r w:rsidRPr="00446DB1">
        <w:rPr>
          <w:b/>
          <w:color w:val="F04E30"/>
          <w:sz w:val="24"/>
          <w:szCs w:val="24"/>
        </w:rPr>
        <w:t>Rotterda</w:t>
      </w:r>
      <w:r w:rsidR="00AA0896" w:rsidRPr="00446DB1">
        <w:rPr>
          <w:b/>
          <w:color w:val="F04E30"/>
          <w:sz w:val="24"/>
          <w:szCs w:val="24"/>
        </w:rPr>
        <w:t xml:space="preserve">m, </w:t>
      </w:r>
      <w:r w:rsidR="00DA5D7E" w:rsidRPr="00DA5D7E">
        <w:rPr>
          <w:b/>
          <w:color w:val="F04E30"/>
          <w:sz w:val="24"/>
          <w:szCs w:val="24"/>
        </w:rPr>
        <w:t>7</w:t>
      </w:r>
      <w:r w:rsidR="003F7E40" w:rsidRPr="00DA5D7E">
        <w:rPr>
          <w:b/>
          <w:color w:val="F04E30"/>
          <w:sz w:val="24"/>
          <w:szCs w:val="24"/>
        </w:rPr>
        <w:t xml:space="preserve"> </w:t>
      </w:r>
      <w:r w:rsidR="00E36C42">
        <w:rPr>
          <w:b/>
          <w:color w:val="F04E30"/>
          <w:sz w:val="24"/>
          <w:szCs w:val="24"/>
        </w:rPr>
        <w:t xml:space="preserve">April </w:t>
      </w:r>
      <w:r w:rsidR="003F7E40" w:rsidRPr="00DA5D7E">
        <w:rPr>
          <w:b/>
          <w:color w:val="F04E30"/>
          <w:sz w:val="24"/>
          <w:szCs w:val="24"/>
        </w:rPr>
        <w:t>2023</w:t>
      </w:r>
    </w:p>
    <w:p w14:paraId="3463607A" w14:textId="77777777" w:rsidR="00AC6062" w:rsidRPr="00446DB1" w:rsidRDefault="00AC6062" w:rsidP="00BC3C79">
      <w:pPr>
        <w:jc w:val="center"/>
        <w:rPr>
          <w:b/>
          <w:color w:val="F04E30"/>
          <w:sz w:val="24"/>
          <w:szCs w:val="24"/>
        </w:rPr>
      </w:pPr>
    </w:p>
    <w:p w14:paraId="6378F8F1" w14:textId="640F1CE0" w:rsidR="009D3B6B" w:rsidRPr="00446DB1" w:rsidRDefault="00AC6062" w:rsidP="009D3B6B">
      <w:pPr>
        <w:jc w:val="center"/>
        <w:rPr>
          <w:b/>
          <w:color w:val="F04E30"/>
          <w:sz w:val="24"/>
          <w:szCs w:val="24"/>
        </w:rPr>
      </w:pPr>
      <w:r w:rsidRPr="00446DB1">
        <w:rPr>
          <w:b/>
          <w:color w:val="F04E30"/>
          <w:sz w:val="24"/>
          <w:szCs w:val="24"/>
        </w:rPr>
        <w:t xml:space="preserve">Client: </w:t>
      </w:r>
      <w:r w:rsidR="00614FD8">
        <w:rPr>
          <w:b/>
          <w:color w:val="F04E30"/>
          <w:sz w:val="24"/>
          <w:szCs w:val="24"/>
        </w:rPr>
        <w:t>Office of the Government of the Czech Republic (OoG) and DG REFORM</w:t>
      </w:r>
    </w:p>
    <w:p w14:paraId="32F32079" w14:textId="77777777" w:rsidR="008D1E50" w:rsidRPr="00446DB1" w:rsidRDefault="008D1E50" w:rsidP="009D3B6B">
      <w:pPr>
        <w:jc w:val="center"/>
        <w:rPr>
          <w:b/>
          <w:color w:val="F04E30"/>
          <w:sz w:val="24"/>
          <w:szCs w:val="24"/>
        </w:rPr>
      </w:pPr>
    </w:p>
    <w:p w14:paraId="6F5AC575" w14:textId="77777777" w:rsidR="008D1E50" w:rsidRPr="00446DB1" w:rsidRDefault="008D1E50" w:rsidP="009D3B6B">
      <w:pPr>
        <w:jc w:val="center"/>
        <w:rPr>
          <w:b/>
          <w:color w:val="F04E30"/>
          <w:sz w:val="24"/>
          <w:szCs w:val="24"/>
        </w:rPr>
      </w:pPr>
    </w:p>
    <w:p w14:paraId="7DB6A369" w14:textId="0920B13D" w:rsidR="00187CA4" w:rsidRPr="00187CA4" w:rsidRDefault="00187CA4" w:rsidP="00187CA4">
      <w:pPr>
        <w:jc w:val="center"/>
        <w:rPr>
          <w:b/>
          <w:color w:val="F04E30"/>
          <w:sz w:val="24"/>
          <w:szCs w:val="24"/>
          <w:lang w:val="en-IE"/>
        </w:rPr>
      </w:pPr>
      <w:r w:rsidRPr="00187CA4">
        <w:rPr>
          <w:b/>
          <w:color w:val="F04E30"/>
          <w:sz w:val="24"/>
          <w:szCs w:val="24"/>
          <w:lang w:val="en-IE"/>
        </w:rPr>
        <w:t>Methodology for the application of the DNSH principle at the national level in Czechia</w:t>
      </w:r>
    </w:p>
    <w:p w14:paraId="085616CA" w14:textId="62A7FE6F" w:rsidR="008D1E50" w:rsidRPr="00187CA4" w:rsidRDefault="008D1E50" w:rsidP="009D3B6B">
      <w:pPr>
        <w:jc w:val="center"/>
        <w:rPr>
          <w:b/>
          <w:color w:val="F04E30"/>
          <w:sz w:val="24"/>
          <w:szCs w:val="24"/>
          <w:lang w:val="en-IE"/>
        </w:rPr>
      </w:pPr>
    </w:p>
    <w:p w14:paraId="69B4EB78" w14:textId="77777777" w:rsidR="00365CA7" w:rsidRPr="009D40C1" w:rsidRDefault="00365CA7" w:rsidP="008F78C8">
      <w:pPr>
        <w:jc w:val="center"/>
        <w:rPr>
          <w:b/>
          <w:color w:val="F04E30"/>
          <w:sz w:val="24"/>
          <w:szCs w:val="24"/>
        </w:rPr>
      </w:pPr>
    </w:p>
    <w:p w14:paraId="5CBA3B40" w14:textId="77777777" w:rsidR="003D10CE" w:rsidRPr="009D40C1" w:rsidRDefault="003D10CE" w:rsidP="008059BC"/>
    <w:p w14:paraId="6F7FEC3A" w14:textId="36EA54D3" w:rsidR="00FF3218" w:rsidRPr="009D40C1" w:rsidRDefault="00FF3218" w:rsidP="00DA5D7E">
      <w:pPr>
        <w:jc w:val="center"/>
        <w:rPr>
          <w:b/>
          <w:color w:val="002C54"/>
          <w:sz w:val="24"/>
          <w:szCs w:val="24"/>
        </w:rPr>
      </w:pPr>
      <w:r w:rsidRPr="009D40C1">
        <w:rPr>
          <w:b/>
          <w:color w:val="002C54"/>
          <w:sz w:val="24"/>
          <w:szCs w:val="24"/>
        </w:rPr>
        <w:t>In association with:</w:t>
      </w:r>
    </w:p>
    <w:p w14:paraId="19964F14" w14:textId="1CD54205" w:rsidR="00FF3218" w:rsidRPr="009D40C1" w:rsidRDefault="00EC73C1" w:rsidP="008059BC">
      <w:r>
        <w:rPr>
          <w:noProof/>
          <w:lang w:val="cs-CZ" w:eastAsia="cs-CZ"/>
        </w:rPr>
        <w:drawing>
          <wp:anchor distT="0" distB="0" distL="114300" distR="114300" simplePos="0" relativeHeight="251658249" behindDoc="1" locked="0" layoutInCell="1" allowOverlap="1" wp14:anchorId="5105BD28" wp14:editId="7247CC4A">
            <wp:simplePos x="0" y="0"/>
            <wp:positionH relativeFrom="column">
              <wp:posOffset>2520152</wp:posOffset>
            </wp:positionH>
            <wp:positionV relativeFrom="paragraph">
              <wp:posOffset>181610</wp:posOffset>
            </wp:positionV>
            <wp:extent cx="1061085" cy="1061085"/>
            <wp:effectExtent l="0" t="0" r="5715" b="5715"/>
            <wp:wrapThrough wrapText="bothSides">
              <wp:wrapPolygon edited="0">
                <wp:start x="7368" y="0"/>
                <wp:lineTo x="5041" y="776"/>
                <wp:lineTo x="0" y="5041"/>
                <wp:lineTo x="0" y="13961"/>
                <wp:lineTo x="2327" y="18614"/>
                <wp:lineTo x="2327" y="19002"/>
                <wp:lineTo x="6980" y="21329"/>
                <wp:lineTo x="7368" y="21329"/>
                <wp:lineTo x="13961" y="21329"/>
                <wp:lineTo x="14736" y="21329"/>
                <wp:lineTo x="18614" y="19002"/>
                <wp:lineTo x="18614" y="18614"/>
                <wp:lineTo x="21329" y="14736"/>
                <wp:lineTo x="21329" y="5041"/>
                <wp:lineTo x="16675" y="1163"/>
                <wp:lineTo x="13961" y="0"/>
                <wp:lineTo x="7368" y="0"/>
              </wp:wrapPolygon>
            </wp:wrapThrough>
            <wp:docPr id="11" name="Picture 11" descr="ISFC - Leveraging finance for positive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FC - Leveraging finance for positive impa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47C39" w14:textId="33F6C44B" w:rsidR="00381452" w:rsidRPr="009D40C1" w:rsidRDefault="00381452" w:rsidP="008059BC"/>
    <w:p w14:paraId="47FE54E6" w14:textId="29DCE8C9" w:rsidR="00381452" w:rsidRPr="00AA1D30" w:rsidRDefault="00381452" w:rsidP="008059BC"/>
    <w:p w14:paraId="030BCC42" w14:textId="77777777" w:rsidR="00381452" w:rsidRPr="009D40C1" w:rsidRDefault="00381452" w:rsidP="008059BC"/>
    <w:p w14:paraId="76A7A523" w14:textId="4FBC490D" w:rsidR="00381452" w:rsidRPr="009D40C1" w:rsidRDefault="00381452" w:rsidP="008059BC"/>
    <w:p w14:paraId="18773385" w14:textId="1985D48F" w:rsidR="00381452" w:rsidRPr="009D40C1" w:rsidRDefault="00381452" w:rsidP="008059BC"/>
    <w:p w14:paraId="30002CD7" w14:textId="6E6FFD21" w:rsidR="003D10CE" w:rsidRPr="009D40C1" w:rsidRDefault="003D10CE" w:rsidP="008059BC"/>
    <w:p w14:paraId="11C4FE70" w14:textId="77777777" w:rsidR="008D1E50" w:rsidRPr="009D40C1" w:rsidRDefault="008D1E50" w:rsidP="008059BC"/>
    <w:p w14:paraId="4D61C95B" w14:textId="77777777" w:rsidR="008D1E50" w:rsidRPr="009D40C1" w:rsidRDefault="008D1E50" w:rsidP="008059BC"/>
    <w:p w14:paraId="3B768A84" w14:textId="77777777" w:rsidR="008D1E50" w:rsidRPr="009D40C1" w:rsidRDefault="008D1E50" w:rsidP="008059BC"/>
    <w:p w14:paraId="4DACB75B" w14:textId="77777777" w:rsidR="008D1E50" w:rsidRPr="009D40C1" w:rsidRDefault="008D1E50" w:rsidP="008059BC"/>
    <w:p w14:paraId="7602E9E2" w14:textId="77777777" w:rsidR="008D1E50" w:rsidRPr="009D40C1" w:rsidRDefault="008D1E50" w:rsidP="008059BC"/>
    <w:p w14:paraId="68D37C69" w14:textId="77777777" w:rsidR="00381452" w:rsidRPr="009D40C1" w:rsidRDefault="00381452" w:rsidP="008059BC"/>
    <w:p w14:paraId="1458A4FC" w14:textId="142CC790" w:rsidR="006F3313" w:rsidRPr="009D40C1" w:rsidRDefault="00F1519D" w:rsidP="00672FB1">
      <w:r>
        <w:rPr>
          <w:noProof/>
          <w:lang w:val="cs-CZ" w:eastAsia="cs-CZ"/>
        </w:rPr>
        <mc:AlternateContent>
          <mc:Choice Requires="wps">
            <w:drawing>
              <wp:anchor distT="0" distB="0" distL="114300" distR="114300" simplePos="0" relativeHeight="251658248" behindDoc="1" locked="0" layoutInCell="1" allowOverlap="1" wp14:anchorId="03994CC7" wp14:editId="354BE4B0">
                <wp:simplePos x="0" y="0"/>
                <wp:positionH relativeFrom="column">
                  <wp:posOffset>1695450</wp:posOffset>
                </wp:positionH>
                <wp:positionV relativeFrom="paragraph">
                  <wp:posOffset>806450</wp:posOffset>
                </wp:positionV>
                <wp:extent cx="3918585" cy="721360"/>
                <wp:effectExtent l="0" t="0" r="5715" b="2540"/>
                <wp:wrapTight wrapText="bothSides">
                  <wp:wrapPolygon edited="0">
                    <wp:start x="0" y="0"/>
                    <wp:lineTo x="0" y="21106"/>
                    <wp:lineTo x="21526" y="21106"/>
                    <wp:lineTo x="21526"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3918585" cy="7213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53E7CB0" w14:textId="58F7DAC7" w:rsidR="00C54943" w:rsidRPr="00F1519D" w:rsidRDefault="00C54943" w:rsidP="00B539D4">
                            <w:pPr>
                              <w:autoSpaceDE w:val="0"/>
                              <w:autoSpaceDN w:val="0"/>
                              <w:adjustRightInd w:val="0"/>
                              <w:spacing w:line="240" w:lineRule="auto"/>
                              <w:ind w:left="0"/>
                              <w:rPr>
                                <w:rFonts w:cs="ÍH_"/>
                                <w:szCs w:val="18"/>
                                <w:lang w:val="en-GB"/>
                              </w:rPr>
                            </w:pPr>
                            <w:r w:rsidRPr="00F1519D">
                              <w:rPr>
                                <w:rFonts w:cs="ÍH_"/>
                                <w:szCs w:val="18"/>
                                <w:lang w:val="en-GB"/>
                              </w:rPr>
                              <w:t xml:space="preserve">This project is carried out with funding by the European Union via the </w:t>
                            </w:r>
                            <w:r>
                              <w:rPr>
                                <w:rFonts w:cs="ÍH_"/>
                                <w:szCs w:val="18"/>
                                <w:lang w:val="en-GB"/>
                              </w:rPr>
                              <w:t xml:space="preserve">Technical Support Instrument </w:t>
                            </w:r>
                            <w:r w:rsidRPr="00F1519D">
                              <w:rPr>
                                <w:rFonts w:cs="ÍH_"/>
                                <w:szCs w:val="18"/>
                                <w:lang w:val="en-GB"/>
                              </w:rPr>
                              <w:t>and in cooperation with the Directorate General for Structural Reform Support of the European Commission</w:t>
                            </w:r>
                            <w:r>
                              <w:rPr>
                                <w:rFonts w:cs="ÍH_"/>
                                <w:szCs w:val="1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3994CC7" id="Text Box 8" o:spid="_x0000_s1027" type="#_x0000_t202" style="position:absolute;left:0;text-align:left;margin-left:133.5pt;margin-top:63.5pt;width:308.55pt;height:56.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" fillcolor="white [3201]" stroked="f" strokeweight="2pt">
                <v:textbox>
                  <w:txbxContent>
                    <w:p w14:paraId="353E7CB0" w14:textId="58F7DAC7" w:rsidR="00C54943" w:rsidRPr="00F1519D" w:rsidRDefault="00C54943" w:rsidP="00B539D4">
                      <w:pPr>
                        <w:autoSpaceDE w:val="0"/>
                        <w:autoSpaceDN w:val="0"/>
                        <w:adjustRightInd w:val="0"/>
                        <w:spacing w:line="240" w:lineRule="auto"/>
                        <w:ind w:left="0"/>
                        <w:rPr>
                          <w:rFonts w:cs="ÍH_"/>
                          <w:szCs w:val="18"/>
                          <w:lang w:val="en-GB"/>
                        </w:rPr>
                      </w:pPr>
                      <w:r w:rsidRPr="00F1519D">
                        <w:rPr>
                          <w:rFonts w:cs="ÍH_"/>
                          <w:szCs w:val="18"/>
                          <w:lang w:val="en-GB"/>
                        </w:rPr>
                        <w:t xml:space="preserve">This project is carried out with funding by the European Union via the </w:t>
                      </w:r>
                      <w:r>
                        <w:rPr>
                          <w:rFonts w:cs="ÍH_"/>
                          <w:szCs w:val="18"/>
                          <w:lang w:val="en-GB"/>
                        </w:rPr>
                        <w:t xml:space="preserve">Technical Support Instrument </w:t>
                      </w:r>
                      <w:r w:rsidRPr="00F1519D">
                        <w:rPr>
                          <w:rFonts w:cs="ÍH_"/>
                          <w:szCs w:val="18"/>
                          <w:lang w:val="en-GB"/>
                        </w:rPr>
                        <w:t>and in cooperation with the Directorate General for Structural Reform Support of the European Commission</w:t>
                      </w:r>
                      <w:r>
                        <w:rPr>
                          <w:rFonts w:cs="ÍH_"/>
                          <w:szCs w:val="18"/>
                          <w:lang w:val="en-GB"/>
                        </w:rPr>
                        <w:t xml:space="preserve"> </w:t>
                      </w:r>
                    </w:p>
                  </w:txbxContent>
                </v:textbox>
                <w10:wrap type="tight"/>
              </v:shape>
            </w:pict>
          </mc:Fallback>
        </mc:AlternateContent>
      </w:r>
      <w:r>
        <w:rPr>
          <w:rFonts w:cs="ÍH_"/>
          <w:noProof/>
          <w:sz w:val="22"/>
          <w:szCs w:val="25"/>
          <w:lang w:val="cs-CZ" w:eastAsia="cs-CZ"/>
        </w:rPr>
        <w:drawing>
          <wp:anchor distT="0" distB="0" distL="114300" distR="114300" simplePos="0" relativeHeight="251658247" behindDoc="1" locked="0" layoutInCell="1" allowOverlap="1" wp14:anchorId="45200085" wp14:editId="4CE15022">
            <wp:simplePos x="0" y="0"/>
            <wp:positionH relativeFrom="column">
              <wp:posOffset>389890</wp:posOffset>
            </wp:positionH>
            <wp:positionV relativeFrom="paragraph">
              <wp:posOffset>748030</wp:posOffset>
            </wp:positionV>
            <wp:extent cx="1175385" cy="777875"/>
            <wp:effectExtent l="0" t="0" r="5715" b="3175"/>
            <wp:wrapThrough wrapText="bothSides">
              <wp:wrapPolygon edited="0">
                <wp:start x="0" y="0"/>
                <wp:lineTo x="0" y="21159"/>
                <wp:lineTo x="21355" y="21159"/>
                <wp:lineTo x="21355" y="0"/>
                <wp:lineTo x="0" y="0"/>
              </wp:wrapPolygon>
            </wp:wrapThrough>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538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313" w:rsidRPr="009D40C1">
        <w:br w:type="page"/>
      </w:r>
    </w:p>
    <w:p w14:paraId="744D4F5A" w14:textId="77777777" w:rsidR="000A3FCD" w:rsidRPr="009D40C1" w:rsidRDefault="00D35B53" w:rsidP="003367E5">
      <w:pPr>
        <w:pStyle w:val="Nadpis4"/>
        <w:ind w:firstLine="0"/>
      </w:pPr>
      <w:r w:rsidRPr="003367E5">
        <w:rPr>
          <w:sz w:val="24"/>
          <w:szCs w:val="32"/>
        </w:rPr>
        <w:lastRenderedPageBreak/>
        <w:t>CONTENT</w:t>
      </w:r>
      <w:r w:rsidR="005B4132" w:rsidRPr="003367E5">
        <w:rPr>
          <w:sz w:val="24"/>
          <w:szCs w:val="32"/>
        </w:rPr>
        <w:t>S</w:t>
      </w:r>
    </w:p>
    <w:p w14:paraId="54EA20FC" w14:textId="77777777" w:rsidR="003367E5" w:rsidRPr="009D40C1" w:rsidRDefault="003367E5" w:rsidP="00DB51A2"/>
    <w:p w14:paraId="5A81694C" w14:textId="3EDCEED8" w:rsidR="00DC58BE" w:rsidRDefault="00DB51A2">
      <w:pPr>
        <w:pStyle w:val="Obsah1"/>
        <w:rPr>
          <w:rFonts w:asciiTheme="minorHAnsi" w:eastAsiaTheme="minorEastAsia" w:hAnsiTheme="minorHAnsi"/>
          <w:b w:val="0"/>
          <w:bCs w:val="0"/>
          <w:noProof/>
          <w:color w:val="auto"/>
          <w:sz w:val="24"/>
          <w:lang w:eastAsia="en-GB"/>
        </w:rPr>
      </w:pPr>
      <w:r w:rsidRPr="009D40C1">
        <w:rPr>
          <w:sz w:val="28"/>
        </w:rPr>
        <w:fldChar w:fldCharType="begin"/>
      </w:r>
      <w:r w:rsidRPr="009D40C1">
        <w:rPr>
          <w:sz w:val="28"/>
        </w:rPr>
        <w:instrText xml:space="preserve"> TOC \o "1-3" \h \z \u </w:instrText>
      </w:r>
      <w:r w:rsidRPr="009D40C1">
        <w:rPr>
          <w:sz w:val="28"/>
        </w:rPr>
        <w:fldChar w:fldCharType="separate"/>
      </w:r>
      <w:hyperlink w:anchor="_Toc131775823" w:history="1">
        <w:r w:rsidR="00DC58BE" w:rsidRPr="00827462">
          <w:rPr>
            <w:rStyle w:val="Hypertextovodkaz"/>
            <w:noProof/>
          </w:rPr>
          <w:t>Executive Summary</w:t>
        </w:r>
        <w:r w:rsidR="00DC58BE">
          <w:rPr>
            <w:noProof/>
            <w:webHidden/>
          </w:rPr>
          <w:tab/>
        </w:r>
        <w:r w:rsidR="00DC58BE">
          <w:rPr>
            <w:noProof/>
            <w:webHidden/>
          </w:rPr>
          <w:fldChar w:fldCharType="begin"/>
        </w:r>
        <w:r w:rsidR="00DC58BE">
          <w:rPr>
            <w:noProof/>
            <w:webHidden/>
          </w:rPr>
          <w:instrText xml:space="preserve"> PAGEREF _Toc131775823 \h </w:instrText>
        </w:r>
        <w:r w:rsidR="00DC58BE">
          <w:rPr>
            <w:noProof/>
            <w:webHidden/>
          </w:rPr>
        </w:r>
        <w:r w:rsidR="00DC58BE">
          <w:rPr>
            <w:noProof/>
            <w:webHidden/>
          </w:rPr>
          <w:fldChar w:fldCharType="separate"/>
        </w:r>
        <w:r w:rsidR="0031368D">
          <w:rPr>
            <w:noProof/>
            <w:webHidden/>
          </w:rPr>
          <w:t>1</w:t>
        </w:r>
        <w:r w:rsidR="00DC58BE">
          <w:rPr>
            <w:noProof/>
            <w:webHidden/>
          </w:rPr>
          <w:fldChar w:fldCharType="end"/>
        </w:r>
      </w:hyperlink>
    </w:p>
    <w:p w14:paraId="31B16359" w14:textId="18C2237A" w:rsidR="00DC58BE" w:rsidRDefault="0031368D">
      <w:pPr>
        <w:pStyle w:val="Obsah1"/>
        <w:rPr>
          <w:rFonts w:asciiTheme="minorHAnsi" w:eastAsiaTheme="minorEastAsia" w:hAnsiTheme="minorHAnsi"/>
          <w:b w:val="0"/>
          <w:bCs w:val="0"/>
          <w:noProof/>
          <w:color w:val="auto"/>
          <w:sz w:val="24"/>
          <w:lang w:eastAsia="en-GB"/>
        </w:rPr>
      </w:pPr>
      <w:hyperlink w:anchor="_Toc131775824" w:history="1">
        <w:r w:rsidR="00DC58BE" w:rsidRPr="00827462">
          <w:rPr>
            <w:rStyle w:val="Hypertextovodkaz"/>
            <w:noProof/>
          </w:rPr>
          <w:t>1</w:t>
        </w:r>
        <w:r w:rsidR="00DC58BE">
          <w:rPr>
            <w:rFonts w:asciiTheme="minorHAnsi" w:eastAsiaTheme="minorEastAsia" w:hAnsiTheme="minorHAnsi"/>
            <w:b w:val="0"/>
            <w:bCs w:val="0"/>
            <w:noProof/>
            <w:color w:val="auto"/>
            <w:sz w:val="24"/>
            <w:lang w:eastAsia="en-GB"/>
          </w:rPr>
          <w:tab/>
        </w:r>
        <w:r w:rsidR="00DC58BE" w:rsidRPr="00827462">
          <w:rPr>
            <w:rStyle w:val="Hypertextovodkaz"/>
            <w:noProof/>
          </w:rPr>
          <w:t>Introduction</w:t>
        </w:r>
        <w:r w:rsidR="00DC58BE">
          <w:rPr>
            <w:noProof/>
            <w:webHidden/>
          </w:rPr>
          <w:tab/>
        </w:r>
        <w:r w:rsidR="00DC58BE">
          <w:rPr>
            <w:noProof/>
            <w:webHidden/>
          </w:rPr>
          <w:fldChar w:fldCharType="begin"/>
        </w:r>
        <w:r w:rsidR="00DC58BE">
          <w:rPr>
            <w:noProof/>
            <w:webHidden/>
          </w:rPr>
          <w:instrText xml:space="preserve"> PAGEREF _Toc131775824 \h </w:instrText>
        </w:r>
        <w:r w:rsidR="00DC58BE">
          <w:rPr>
            <w:noProof/>
            <w:webHidden/>
          </w:rPr>
        </w:r>
        <w:r w:rsidR="00DC58BE">
          <w:rPr>
            <w:noProof/>
            <w:webHidden/>
          </w:rPr>
          <w:fldChar w:fldCharType="separate"/>
        </w:r>
        <w:r>
          <w:rPr>
            <w:noProof/>
            <w:webHidden/>
          </w:rPr>
          <w:t>4</w:t>
        </w:r>
        <w:r w:rsidR="00DC58BE">
          <w:rPr>
            <w:noProof/>
            <w:webHidden/>
          </w:rPr>
          <w:fldChar w:fldCharType="end"/>
        </w:r>
      </w:hyperlink>
    </w:p>
    <w:p w14:paraId="7D3D25E5" w14:textId="7442DC1E"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25" w:history="1">
        <w:r w:rsidR="00DC58BE" w:rsidRPr="00827462">
          <w:rPr>
            <w:rStyle w:val="Hypertextovodkaz"/>
            <w:noProof/>
          </w:rPr>
          <w:t>1.1</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Developing DNSH guidelines in Czechia</w:t>
        </w:r>
        <w:r w:rsidR="00DC58BE">
          <w:rPr>
            <w:noProof/>
            <w:webHidden/>
          </w:rPr>
          <w:tab/>
        </w:r>
        <w:r w:rsidR="00DC58BE">
          <w:rPr>
            <w:noProof/>
            <w:webHidden/>
          </w:rPr>
          <w:fldChar w:fldCharType="begin"/>
        </w:r>
        <w:r w:rsidR="00DC58BE">
          <w:rPr>
            <w:noProof/>
            <w:webHidden/>
          </w:rPr>
          <w:instrText xml:space="preserve"> PAGEREF _Toc131775825 \h </w:instrText>
        </w:r>
        <w:r w:rsidR="00DC58BE">
          <w:rPr>
            <w:noProof/>
            <w:webHidden/>
          </w:rPr>
        </w:r>
        <w:r w:rsidR="00DC58BE">
          <w:rPr>
            <w:noProof/>
            <w:webHidden/>
          </w:rPr>
          <w:fldChar w:fldCharType="separate"/>
        </w:r>
        <w:r>
          <w:rPr>
            <w:noProof/>
            <w:webHidden/>
          </w:rPr>
          <w:t>4</w:t>
        </w:r>
        <w:r w:rsidR="00DC58BE">
          <w:rPr>
            <w:noProof/>
            <w:webHidden/>
          </w:rPr>
          <w:fldChar w:fldCharType="end"/>
        </w:r>
      </w:hyperlink>
    </w:p>
    <w:p w14:paraId="2DE3B6DB" w14:textId="50B52743"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26" w:history="1">
        <w:r w:rsidR="00DC58BE" w:rsidRPr="00827462">
          <w:rPr>
            <w:rStyle w:val="Hypertextovodkaz"/>
            <w:noProof/>
          </w:rPr>
          <w:t>1.2</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Objectives and structure of this report</w:t>
        </w:r>
        <w:r w:rsidR="00DC58BE">
          <w:rPr>
            <w:noProof/>
            <w:webHidden/>
          </w:rPr>
          <w:tab/>
        </w:r>
        <w:r w:rsidR="00DC58BE">
          <w:rPr>
            <w:noProof/>
            <w:webHidden/>
          </w:rPr>
          <w:fldChar w:fldCharType="begin"/>
        </w:r>
        <w:r w:rsidR="00DC58BE">
          <w:rPr>
            <w:noProof/>
            <w:webHidden/>
          </w:rPr>
          <w:instrText xml:space="preserve"> PAGEREF _Toc131775826 \h </w:instrText>
        </w:r>
        <w:r w:rsidR="00DC58BE">
          <w:rPr>
            <w:noProof/>
            <w:webHidden/>
          </w:rPr>
        </w:r>
        <w:r w:rsidR="00DC58BE">
          <w:rPr>
            <w:noProof/>
            <w:webHidden/>
          </w:rPr>
          <w:fldChar w:fldCharType="separate"/>
        </w:r>
        <w:r>
          <w:rPr>
            <w:noProof/>
            <w:webHidden/>
          </w:rPr>
          <w:t>5</w:t>
        </w:r>
        <w:r w:rsidR="00DC58BE">
          <w:rPr>
            <w:noProof/>
            <w:webHidden/>
          </w:rPr>
          <w:fldChar w:fldCharType="end"/>
        </w:r>
      </w:hyperlink>
    </w:p>
    <w:p w14:paraId="13EAC25B" w14:textId="0F45B23D" w:rsidR="00DC58BE" w:rsidRDefault="0031368D">
      <w:pPr>
        <w:pStyle w:val="Obsah1"/>
        <w:rPr>
          <w:rFonts w:asciiTheme="minorHAnsi" w:eastAsiaTheme="minorEastAsia" w:hAnsiTheme="minorHAnsi"/>
          <w:b w:val="0"/>
          <w:bCs w:val="0"/>
          <w:noProof/>
          <w:color w:val="auto"/>
          <w:sz w:val="24"/>
          <w:lang w:eastAsia="en-GB"/>
        </w:rPr>
      </w:pPr>
      <w:hyperlink w:anchor="_Toc131775827" w:history="1">
        <w:r w:rsidR="00DC58BE" w:rsidRPr="00827462">
          <w:rPr>
            <w:rStyle w:val="Hypertextovodkaz"/>
            <w:noProof/>
          </w:rPr>
          <w:t>2</w:t>
        </w:r>
        <w:r w:rsidR="00DC58BE">
          <w:rPr>
            <w:rFonts w:asciiTheme="minorHAnsi" w:eastAsiaTheme="minorEastAsia" w:hAnsiTheme="minorHAnsi"/>
            <w:b w:val="0"/>
            <w:bCs w:val="0"/>
            <w:noProof/>
            <w:color w:val="auto"/>
            <w:sz w:val="24"/>
            <w:lang w:eastAsia="en-GB"/>
          </w:rPr>
          <w:tab/>
        </w:r>
        <w:r w:rsidR="00DC58BE" w:rsidRPr="00827462">
          <w:rPr>
            <w:rStyle w:val="Hypertextovodkaz"/>
            <w:noProof/>
          </w:rPr>
          <w:t>Identification of good practices and lessons learned</w:t>
        </w:r>
        <w:r w:rsidR="00DC58BE">
          <w:rPr>
            <w:noProof/>
            <w:webHidden/>
          </w:rPr>
          <w:tab/>
        </w:r>
        <w:r w:rsidR="00DC58BE">
          <w:rPr>
            <w:noProof/>
            <w:webHidden/>
          </w:rPr>
          <w:fldChar w:fldCharType="begin"/>
        </w:r>
        <w:r w:rsidR="00DC58BE">
          <w:rPr>
            <w:noProof/>
            <w:webHidden/>
          </w:rPr>
          <w:instrText xml:space="preserve"> PAGEREF _Toc131775827 \h </w:instrText>
        </w:r>
        <w:r w:rsidR="00DC58BE">
          <w:rPr>
            <w:noProof/>
            <w:webHidden/>
          </w:rPr>
        </w:r>
        <w:r w:rsidR="00DC58BE">
          <w:rPr>
            <w:noProof/>
            <w:webHidden/>
          </w:rPr>
          <w:fldChar w:fldCharType="separate"/>
        </w:r>
        <w:r>
          <w:rPr>
            <w:noProof/>
            <w:webHidden/>
          </w:rPr>
          <w:t>6</w:t>
        </w:r>
        <w:r w:rsidR="00DC58BE">
          <w:rPr>
            <w:noProof/>
            <w:webHidden/>
          </w:rPr>
          <w:fldChar w:fldCharType="end"/>
        </w:r>
      </w:hyperlink>
    </w:p>
    <w:p w14:paraId="302EEBE2" w14:textId="6EBF8BCB"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28" w:history="1">
        <w:r w:rsidR="00DC58BE" w:rsidRPr="00827462">
          <w:rPr>
            <w:rStyle w:val="Hypertextovodkaz"/>
            <w:noProof/>
          </w:rPr>
          <w:t>2.1</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Approach</w:t>
        </w:r>
        <w:r w:rsidR="00DC58BE">
          <w:rPr>
            <w:noProof/>
            <w:webHidden/>
          </w:rPr>
          <w:tab/>
        </w:r>
        <w:r w:rsidR="00DC58BE">
          <w:rPr>
            <w:noProof/>
            <w:webHidden/>
          </w:rPr>
          <w:fldChar w:fldCharType="begin"/>
        </w:r>
        <w:r w:rsidR="00DC58BE">
          <w:rPr>
            <w:noProof/>
            <w:webHidden/>
          </w:rPr>
          <w:instrText xml:space="preserve"> PAGEREF _Toc131775828 \h </w:instrText>
        </w:r>
        <w:r w:rsidR="00DC58BE">
          <w:rPr>
            <w:noProof/>
            <w:webHidden/>
          </w:rPr>
        </w:r>
        <w:r w:rsidR="00DC58BE">
          <w:rPr>
            <w:noProof/>
            <w:webHidden/>
          </w:rPr>
          <w:fldChar w:fldCharType="separate"/>
        </w:r>
        <w:r>
          <w:rPr>
            <w:noProof/>
            <w:webHidden/>
          </w:rPr>
          <w:t>6</w:t>
        </w:r>
        <w:r w:rsidR="00DC58BE">
          <w:rPr>
            <w:noProof/>
            <w:webHidden/>
          </w:rPr>
          <w:fldChar w:fldCharType="end"/>
        </w:r>
      </w:hyperlink>
    </w:p>
    <w:p w14:paraId="131C1A3E" w14:textId="7A4772C9"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29" w:history="1">
        <w:r w:rsidR="00DC58BE" w:rsidRPr="00827462">
          <w:rPr>
            <w:rStyle w:val="Hypertextovodkaz"/>
            <w:noProof/>
          </w:rPr>
          <w:t>2.2</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Consolidated selection criteria matrix</w:t>
        </w:r>
        <w:r w:rsidR="00DC58BE">
          <w:rPr>
            <w:noProof/>
            <w:webHidden/>
          </w:rPr>
          <w:tab/>
        </w:r>
        <w:r w:rsidR="00DC58BE">
          <w:rPr>
            <w:noProof/>
            <w:webHidden/>
          </w:rPr>
          <w:fldChar w:fldCharType="begin"/>
        </w:r>
        <w:r w:rsidR="00DC58BE">
          <w:rPr>
            <w:noProof/>
            <w:webHidden/>
          </w:rPr>
          <w:instrText xml:space="preserve"> PAGEREF _Toc131775829 \h </w:instrText>
        </w:r>
        <w:r w:rsidR="00DC58BE">
          <w:rPr>
            <w:noProof/>
            <w:webHidden/>
          </w:rPr>
        </w:r>
        <w:r w:rsidR="00DC58BE">
          <w:rPr>
            <w:noProof/>
            <w:webHidden/>
          </w:rPr>
          <w:fldChar w:fldCharType="separate"/>
        </w:r>
        <w:r>
          <w:rPr>
            <w:noProof/>
            <w:webHidden/>
          </w:rPr>
          <w:t>7</w:t>
        </w:r>
        <w:r w:rsidR="00DC58BE">
          <w:rPr>
            <w:noProof/>
            <w:webHidden/>
          </w:rPr>
          <w:fldChar w:fldCharType="end"/>
        </w:r>
      </w:hyperlink>
    </w:p>
    <w:p w14:paraId="38276788" w14:textId="2F9941A9"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30" w:history="1">
        <w:r w:rsidR="00DC58BE" w:rsidRPr="00827462">
          <w:rPr>
            <w:rStyle w:val="Hypertextovodkaz"/>
            <w:noProof/>
          </w:rPr>
          <w:t>2.3</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Selection of DNSH practices and peer EU Member States</w:t>
        </w:r>
        <w:r w:rsidR="00DC58BE">
          <w:rPr>
            <w:noProof/>
            <w:webHidden/>
          </w:rPr>
          <w:tab/>
        </w:r>
        <w:r w:rsidR="00DC58BE">
          <w:rPr>
            <w:noProof/>
            <w:webHidden/>
          </w:rPr>
          <w:fldChar w:fldCharType="begin"/>
        </w:r>
        <w:r w:rsidR="00DC58BE">
          <w:rPr>
            <w:noProof/>
            <w:webHidden/>
          </w:rPr>
          <w:instrText xml:space="preserve"> PAGEREF _Toc131775830 \h </w:instrText>
        </w:r>
        <w:r w:rsidR="00DC58BE">
          <w:rPr>
            <w:noProof/>
            <w:webHidden/>
          </w:rPr>
        </w:r>
        <w:r w:rsidR="00DC58BE">
          <w:rPr>
            <w:noProof/>
            <w:webHidden/>
          </w:rPr>
          <w:fldChar w:fldCharType="separate"/>
        </w:r>
        <w:r>
          <w:rPr>
            <w:noProof/>
            <w:webHidden/>
          </w:rPr>
          <w:t>8</w:t>
        </w:r>
        <w:r w:rsidR="00DC58BE">
          <w:rPr>
            <w:noProof/>
            <w:webHidden/>
          </w:rPr>
          <w:fldChar w:fldCharType="end"/>
        </w:r>
      </w:hyperlink>
    </w:p>
    <w:p w14:paraId="5ABBB049" w14:textId="22D6F54B" w:rsidR="00DC58BE" w:rsidRDefault="0031368D">
      <w:pPr>
        <w:pStyle w:val="Obsah1"/>
        <w:rPr>
          <w:rFonts w:asciiTheme="minorHAnsi" w:eastAsiaTheme="minorEastAsia" w:hAnsiTheme="minorHAnsi"/>
          <w:b w:val="0"/>
          <w:bCs w:val="0"/>
          <w:noProof/>
          <w:color w:val="auto"/>
          <w:sz w:val="24"/>
          <w:lang w:eastAsia="en-GB"/>
        </w:rPr>
      </w:pPr>
      <w:hyperlink w:anchor="_Toc131775831" w:history="1">
        <w:r w:rsidR="00DC58BE" w:rsidRPr="00827462">
          <w:rPr>
            <w:rStyle w:val="Hypertextovodkaz"/>
            <w:noProof/>
          </w:rPr>
          <w:t>3</w:t>
        </w:r>
        <w:r w:rsidR="00DC58BE">
          <w:rPr>
            <w:rFonts w:asciiTheme="minorHAnsi" w:eastAsiaTheme="minorEastAsia" w:hAnsiTheme="minorHAnsi"/>
            <w:b w:val="0"/>
            <w:bCs w:val="0"/>
            <w:noProof/>
            <w:color w:val="auto"/>
            <w:sz w:val="24"/>
            <w:lang w:eastAsia="en-GB"/>
          </w:rPr>
          <w:tab/>
        </w:r>
        <w:r w:rsidR="00DC58BE" w:rsidRPr="00827462">
          <w:rPr>
            <w:rStyle w:val="Hypertextovodkaz"/>
            <w:noProof/>
          </w:rPr>
          <w:t>Analysis of good practices and lessons learned</w:t>
        </w:r>
        <w:r w:rsidR="00DC58BE">
          <w:rPr>
            <w:noProof/>
            <w:webHidden/>
          </w:rPr>
          <w:tab/>
        </w:r>
        <w:r w:rsidR="00DC58BE">
          <w:rPr>
            <w:noProof/>
            <w:webHidden/>
          </w:rPr>
          <w:fldChar w:fldCharType="begin"/>
        </w:r>
        <w:r w:rsidR="00DC58BE">
          <w:rPr>
            <w:noProof/>
            <w:webHidden/>
          </w:rPr>
          <w:instrText xml:space="preserve"> PAGEREF _Toc131775831 \h </w:instrText>
        </w:r>
        <w:r w:rsidR="00DC58BE">
          <w:rPr>
            <w:noProof/>
            <w:webHidden/>
          </w:rPr>
        </w:r>
        <w:r w:rsidR="00DC58BE">
          <w:rPr>
            <w:noProof/>
            <w:webHidden/>
          </w:rPr>
          <w:fldChar w:fldCharType="separate"/>
        </w:r>
        <w:r>
          <w:rPr>
            <w:noProof/>
            <w:webHidden/>
          </w:rPr>
          <w:t>10</w:t>
        </w:r>
        <w:r w:rsidR="00DC58BE">
          <w:rPr>
            <w:noProof/>
            <w:webHidden/>
          </w:rPr>
          <w:fldChar w:fldCharType="end"/>
        </w:r>
      </w:hyperlink>
    </w:p>
    <w:p w14:paraId="6D66BF3A" w14:textId="5D69469B"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32" w:history="1">
        <w:r w:rsidR="00DC58BE" w:rsidRPr="00827462">
          <w:rPr>
            <w:rStyle w:val="Hypertextovodkaz"/>
            <w:noProof/>
          </w:rPr>
          <w:t>3.1</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Governance processes of the application of the DNSH principle</w:t>
        </w:r>
        <w:r w:rsidR="00DC58BE">
          <w:rPr>
            <w:noProof/>
            <w:webHidden/>
          </w:rPr>
          <w:tab/>
        </w:r>
        <w:r w:rsidR="00DC58BE">
          <w:rPr>
            <w:noProof/>
            <w:webHidden/>
          </w:rPr>
          <w:fldChar w:fldCharType="begin"/>
        </w:r>
        <w:r w:rsidR="00DC58BE">
          <w:rPr>
            <w:noProof/>
            <w:webHidden/>
          </w:rPr>
          <w:instrText xml:space="preserve"> PAGEREF _Toc131775832 \h </w:instrText>
        </w:r>
        <w:r w:rsidR="00DC58BE">
          <w:rPr>
            <w:noProof/>
            <w:webHidden/>
          </w:rPr>
        </w:r>
        <w:r w:rsidR="00DC58BE">
          <w:rPr>
            <w:noProof/>
            <w:webHidden/>
          </w:rPr>
          <w:fldChar w:fldCharType="separate"/>
        </w:r>
        <w:r>
          <w:rPr>
            <w:noProof/>
            <w:webHidden/>
          </w:rPr>
          <w:t>10</w:t>
        </w:r>
        <w:r w:rsidR="00DC58BE">
          <w:rPr>
            <w:noProof/>
            <w:webHidden/>
          </w:rPr>
          <w:fldChar w:fldCharType="end"/>
        </w:r>
      </w:hyperlink>
    </w:p>
    <w:p w14:paraId="19C304B1" w14:textId="1CD4D978"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33" w:history="1">
        <w:r w:rsidR="00DC58BE" w:rsidRPr="00827462">
          <w:rPr>
            <w:rStyle w:val="Hypertextovodkaz"/>
            <w:noProof/>
          </w:rPr>
          <w:t>3.1.1</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Context of the challenge</w:t>
        </w:r>
        <w:r w:rsidR="00DC58BE">
          <w:rPr>
            <w:noProof/>
            <w:webHidden/>
          </w:rPr>
          <w:tab/>
        </w:r>
        <w:r w:rsidR="00DC58BE">
          <w:rPr>
            <w:noProof/>
            <w:webHidden/>
          </w:rPr>
          <w:fldChar w:fldCharType="begin"/>
        </w:r>
        <w:r w:rsidR="00DC58BE">
          <w:rPr>
            <w:noProof/>
            <w:webHidden/>
          </w:rPr>
          <w:instrText xml:space="preserve"> PAGEREF _Toc131775833 \h </w:instrText>
        </w:r>
        <w:r w:rsidR="00DC58BE">
          <w:rPr>
            <w:noProof/>
            <w:webHidden/>
          </w:rPr>
        </w:r>
        <w:r w:rsidR="00DC58BE">
          <w:rPr>
            <w:noProof/>
            <w:webHidden/>
          </w:rPr>
          <w:fldChar w:fldCharType="separate"/>
        </w:r>
        <w:r>
          <w:rPr>
            <w:noProof/>
            <w:webHidden/>
          </w:rPr>
          <w:t>10</w:t>
        </w:r>
        <w:r w:rsidR="00DC58BE">
          <w:rPr>
            <w:noProof/>
            <w:webHidden/>
          </w:rPr>
          <w:fldChar w:fldCharType="end"/>
        </w:r>
      </w:hyperlink>
    </w:p>
    <w:p w14:paraId="6997AE13" w14:textId="354B2CA1"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34" w:history="1">
        <w:r w:rsidR="00DC58BE" w:rsidRPr="00827462">
          <w:rPr>
            <w:rStyle w:val="Hypertextovodkaz"/>
            <w:noProof/>
          </w:rPr>
          <w:t>3.1.2</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Presentation of the focus cases for the webinar</w:t>
        </w:r>
        <w:r w:rsidR="00DC58BE">
          <w:rPr>
            <w:noProof/>
            <w:webHidden/>
          </w:rPr>
          <w:tab/>
        </w:r>
        <w:r w:rsidR="00DC58BE">
          <w:rPr>
            <w:noProof/>
            <w:webHidden/>
          </w:rPr>
          <w:fldChar w:fldCharType="begin"/>
        </w:r>
        <w:r w:rsidR="00DC58BE">
          <w:rPr>
            <w:noProof/>
            <w:webHidden/>
          </w:rPr>
          <w:instrText xml:space="preserve"> PAGEREF _Toc131775834 \h </w:instrText>
        </w:r>
        <w:r w:rsidR="00DC58BE">
          <w:rPr>
            <w:noProof/>
            <w:webHidden/>
          </w:rPr>
        </w:r>
        <w:r w:rsidR="00DC58BE">
          <w:rPr>
            <w:noProof/>
            <w:webHidden/>
          </w:rPr>
          <w:fldChar w:fldCharType="separate"/>
        </w:r>
        <w:r>
          <w:rPr>
            <w:noProof/>
            <w:webHidden/>
          </w:rPr>
          <w:t>10</w:t>
        </w:r>
        <w:r w:rsidR="00DC58BE">
          <w:rPr>
            <w:noProof/>
            <w:webHidden/>
          </w:rPr>
          <w:fldChar w:fldCharType="end"/>
        </w:r>
      </w:hyperlink>
    </w:p>
    <w:p w14:paraId="7AFDFC72" w14:textId="1EEC7449"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35" w:history="1">
        <w:r w:rsidR="00DC58BE" w:rsidRPr="00827462">
          <w:rPr>
            <w:rStyle w:val="Hypertextovodkaz"/>
            <w:noProof/>
          </w:rPr>
          <w:t>3.1.3</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Replicability to the Czech context</w:t>
        </w:r>
        <w:r w:rsidR="00DC58BE">
          <w:rPr>
            <w:noProof/>
            <w:webHidden/>
          </w:rPr>
          <w:tab/>
        </w:r>
        <w:r w:rsidR="00DC58BE">
          <w:rPr>
            <w:noProof/>
            <w:webHidden/>
          </w:rPr>
          <w:fldChar w:fldCharType="begin"/>
        </w:r>
        <w:r w:rsidR="00DC58BE">
          <w:rPr>
            <w:noProof/>
            <w:webHidden/>
          </w:rPr>
          <w:instrText xml:space="preserve"> PAGEREF _Toc131775835 \h </w:instrText>
        </w:r>
        <w:r w:rsidR="00DC58BE">
          <w:rPr>
            <w:noProof/>
            <w:webHidden/>
          </w:rPr>
        </w:r>
        <w:r w:rsidR="00DC58BE">
          <w:rPr>
            <w:noProof/>
            <w:webHidden/>
          </w:rPr>
          <w:fldChar w:fldCharType="separate"/>
        </w:r>
        <w:r>
          <w:rPr>
            <w:noProof/>
            <w:webHidden/>
          </w:rPr>
          <w:t>13</w:t>
        </w:r>
        <w:r w:rsidR="00DC58BE">
          <w:rPr>
            <w:noProof/>
            <w:webHidden/>
          </w:rPr>
          <w:fldChar w:fldCharType="end"/>
        </w:r>
      </w:hyperlink>
    </w:p>
    <w:p w14:paraId="7CCA90AE" w14:textId="5E488523"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36" w:history="1">
        <w:r w:rsidR="00DC58BE" w:rsidRPr="00827462">
          <w:rPr>
            <w:rStyle w:val="Hypertextovodkaz"/>
            <w:noProof/>
          </w:rPr>
          <w:t>3.2</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Implementation of simplified and detailed DNSH assessments</w:t>
        </w:r>
        <w:r w:rsidR="00DC58BE">
          <w:rPr>
            <w:noProof/>
            <w:webHidden/>
          </w:rPr>
          <w:tab/>
        </w:r>
        <w:r w:rsidR="00DC58BE">
          <w:rPr>
            <w:noProof/>
            <w:webHidden/>
          </w:rPr>
          <w:fldChar w:fldCharType="begin"/>
        </w:r>
        <w:r w:rsidR="00DC58BE">
          <w:rPr>
            <w:noProof/>
            <w:webHidden/>
          </w:rPr>
          <w:instrText xml:space="preserve"> PAGEREF _Toc131775836 \h </w:instrText>
        </w:r>
        <w:r w:rsidR="00DC58BE">
          <w:rPr>
            <w:noProof/>
            <w:webHidden/>
          </w:rPr>
        </w:r>
        <w:r w:rsidR="00DC58BE">
          <w:rPr>
            <w:noProof/>
            <w:webHidden/>
          </w:rPr>
          <w:fldChar w:fldCharType="separate"/>
        </w:r>
        <w:r>
          <w:rPr>
            <w:noProof/>
            <w:webHidden/>
          </w:rPr>
          <w:t>14</w:t>
        </w:r>
        <w:r w:rsidR="00DC58BE">
          <w:rPr>
            <w:noProof/>
            <w:webHidden/>
          </w:rPr>
          <w:fldChar w:fldCharType="end"/>
        </w:r>
      </w:hyperlink>
    </w:p>
    <w:p w14:paraId="021D5961" w14:textId="701513D6"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37" w:history="1">
        <w:r w:rsidR="00DC58BE" w:rsidRPr="00827462">
          <w:rPr>
            <w:rStyle w:val="Hypertextovodkaz"/>
            <w:noProof/>
          </w:rPr>
          <w:t>3.2.1</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Context of the challenge</w:t>
        </w:r>
        <w:r w:rsidR="00DC58BE">
          <w:rPr>
            <w:noProof/>
            <w:webHidden/>
          </w:rPr>
          <w:tab/>
        </w:r>
        <w:r w:rsidR="00DC58BE">
          <w:rPr>
            <w:noProof/>
            <w:webHidden/>
          </w:rPr>
          <w:fldChar w:fldCharType="begin"/>
        </w:r>
        <w:r w:rsidR="00DC58BE">
          <w:rPr>
            <w:noProof/>
            <w:webHidden/>
          </w:rPr>
          <w:instrText xml:space="preserve"> PAGEREF _Toc131775837 \h </w:instrText>
        </w:r>
        <w:r w:rsidR="00DC58BE">
          <w:rPr>
            <w:noProof/>
            <w:webHidden/>
          </w:rPr>
        </w:r>
        <w:r w:rsidR="00DC58BE">
          <w:rPr>
            <w:noProof/>
            <w:webHidden/>
          </w:rPr>
          <w:fldChar w:fldCharType="separate"/>
        </w:r>
        <w:r>
          <w:rPr>
            <w:noProof/>
            <w:webHidden/>
          </w:rPr>
          <w:t>14</w:t>
        </w:r>
        <w:r w:rsidR="00DC58BE">
          <w:rPr>
            <w:noProof/>
            <w:webHidden/>
          </w:rPr>
          <w:fldChar w:fldCharType="end"/>
        </w:r>
      </w:hyperlink>
    </w:p>
    <w:p w14:paraId="3AFA7C96" w14:textId="663EFDF4"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38" w:history="1">
        <w:r w:rsidR="00DC58BE" w:rsidRPr="00827462">
          <w:rPr>
            <w:rStyle w:val="Hypertextovodkaz"/>
            <w:noProof/>
          </w:rPr>
          <w:t>3.2.2</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Presentation of the focus cases</w:t>
        </w:r>
        <w:r w:rsidR="00DC58BE">
          <w:rPr>
            <w:noProof/>
            <w:webHidden/>
          </w:rPr>
          <w:tab/>
        </w:r>
        <w:r w:rsidR="00DC58BE">
          <w:rPr>
            <w:noProof/>
            <w:webHidden/>
          </w:rPr>
          <w:fldChar w:fldCharType="begin"/>
        </w:r>
        <w:r w:rsidR="00DC58BE">
          <w:rPr>
            <w:noProof/>
            <w:webHidden/>
          </w:rPr>
          <w:instrText xml:space="preserve"> PAGEREF _Toc131775838 \h </w:instrText>
        </w:r>
        <w:r w:rsidR="00DC58BE">
          <w:rPr>
            <w:noProof/>
            <w:webHidden/>
          </w:rPr>
        </w:r>
        <w:r w:rsidR="00DC58BE">
          <w:rPr>
            <w:noProof/>
            <w:webHidden/>
          </w:rPr>
          <w:fldChar w:fldCharType="separate"/>
        </w:r>
        <w:r>
          <w:rPr>
            <w:noProof/>
            <w:webHidden/>
          </w:rPr>
          <w:t>15</w:t>
        </w:r>
        <w:r w:rsidR="00DC58BE">
          <w:rPr>
            <w:noProof/>
            <w:webHidden/>
          </w:rPr>
          <w:fldChar w:fldCharType="end"/>
        </w:r>
      </w:hyperlink>
    </w:p>
    <w:p w14:paraId="368A4FA0" w14:textId="611CF88A"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39" w:history="1">
        <w:r w:rsidR="00DC58BE" w:rsidRPr="00827462">
          <w:rPr>
            <w:rStyle w:val="Hypertextovodkaz"/>
            <w:noProof/>
          </w:rPr>
          <w:t>3.2.3</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Replicability to the Czech context</w:t>
        </w:r>
        <w:r w:rsidR="00DC58BE">
          <w:rPr>
            <w:noProof/>
            <w:webHidden/>
          </w:rPr>
          <w:tab/>
        </w:r>
        <w:r w:rsidR="00DC58BE">
          <w:rPr>
            <w:noProof/>
            <w:webHidden/>
          </w:rPr>
          <w:fldChar w:fldCharType="begin"/>
        </w:r>
        <w:r w:rsidR="00DC58BE">
          <w:rPr>
            <w:noProof/>
            <w:webHidden/>
          </w:rPr>
          <w:instrText xml:space="preserve"> PAGEREF _Toc131775839 \h </w:instrText>
        </w:r>
        <w:r w:rsidR="00DC58BE">
          <w:rPr>
            <w:noProof/>
            <w:webHidden/>
          </w:rPr>
        </w:r>
        <w:r w:rsidR="00DC58BE">
          <w:rPr>
            <w:noProof/>
            <w:webHidden/>
          </w:rPr>
          <w:fldChar w:fldCharType="separate"/>
        </w:r>
        <w:r>
          <w:rPr>
            <w:noProof/>
            <w:webHidden/>
          </w:rPr>
          <w:t>17</w:t>
        </w:r>
        <w:r w:rsidR="00DC58BE">
          <w:rPr>
            <w:noProof/>
            <w:webHidden/>
          </w:rPr>
          <w:fldChar w:fldCharType="end"/>
        </w:r>
      </w:hyperlink>
    </w:p>
    <w:p w14:paraId="731D8264" w14:textId="1BD65E68"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40" w:history="1">
        <w:r w:rsidR="00DC58BE" w:rsidRPr="00827462">
          <w:rPr>
            <w:rStyle w:val="Hypertextovodkaz"/>
            <w:noProof/>
          </w:rPr>
          <w:t>3.3</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Application of DNSH principle to R&amp;D and green innovation projects</w:t>
        </w:r>
        <w:r w:rsidR="00DC58BE">
          <w:rPr>
            <w:noProof/>
            <w:webHidden/>
          </w:rPr>
          <w:tab/>
        </w:r>
        <w:r w:rsidR="00DC58BE">
          <w:rPr>
            <w:noProof/>
            <w:webHidden/>
          </w:rPr>
          <w:fldChar w:fldCharType="begin"/>
        </w:r>
        <w:r w:rsidR="00DC58BE">
          <w:rPr>
            <w:noProof/>
            <w:webHidden/>
          </w:rPr>
          <w:instrText xml:space="preserve"> PAGEREF _Toc131775840 \h </w:instrText>
        </w:r>
        <w:r w:rsidR="00DC58BE">
          <w:rPr>
            <w:noProof/>
            <w:webHidden/>
          </w:rPr>
        </w:r>
        <w:r w:rsidR="00DC58BE">
          <w:rPr>
            <w:noProof/>
            <w:webHidden/>
          </w:rPr>
          <w:fldChar w:fldCharType="separate"/>
        </w:r>
        <w:r>
          <w:rPr>
            <w:noProof/>
            <w:webHidden/>
          </w:rPr>
          <w:t>18</w:t>
        </w:r>
        <w:r w:rsidR="00DC58BE">
          <w:rPr>
            <w:noProof/>
            <w:webHidden/>
          </w:rPr>
          <w:fldChar w:fldCharType="end"/>
        </w:r>
      </w:hyperlink>
    </w:p>
    <w:p w14:paraId="4E202B4A" w14:textId="6A392E01"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41" w:history="1">
        <w:r w:rsidR="00DC58BE" w:rsidRPr="00827462">
          <w:rPr>
            <w:rStyle w:val="Hypertextovodkaz"/>
            <w:noProof/>
          </w:rPr>
          <w:t>3.3.1</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Context of the challenge</w:t>
        </w:r>
        <w:r w:rsidR="00DC58BE">
          <w:rPr>
            <w:noProof/>
            <w:webHidden/>
          </w:rPr>
          <w:tab/>
        </w:r>
        <w:r w:rsidR="00DC58BE">
          <w:rPr>
            <w:noProof/>
            <w:webHidden/>
          </w:rPr>
          <w:fldChar w:fldCharType="begin"/>
        </w:r>
        <w:r w:rsidR="00DC58BE">
          <w:rPr>
            <w:noProof/>
            <w:webHidden/>
          </w:rPr>
          <w:instrText xml:space="preserve"> PAGEREF _Toc131775841 \h </w:instrText>
        </w:r>
        <w:r w:rsidR="00DC58BE">
          <w:rPr>
            <w:noProof/>
            <w:webHidden/>
          </w:rPr>
        </w:r>
        <w:r w:rsidR="00DC58BE">
          <w:rPr>
            <w:noProof/>
            <w:webHidden/>
          </w:rPr>
          <w:fldChar w:fldCharType="separate"/>
        </w:r>
        <w:r>
          <w:rPr>
            <w:noProof/>
            <w:webHidden/>
          </w:rPr>
          <w:t>18</w:t>
        </w:r>
        <w:r w:rsidR="00DC58BE">
          <w:rPr>
            <w:noProof/>
            <w:webHidden/>
          </w:rPr>
          <w:fldChar w:fldCharType="end"/>
        </w:r>
      </w:hyperlink>
    </w:p>
    <w:p w14:paraId="4329A48D" w14:textId="519981A9"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42" w:history="1">
        <w:r w:rsidR="00DC58BE" w:rsidRPr="00827462">
          <w:rPr>
            <w:rStyle w:val="Hypertextovodkaz"/>
            <w:noProof/>
          </w:rPr>
          <w:t>3.3.2</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Presentation of the focus cases</w:t>
        </w:r>
        <w:r w:rsidR="00DC58BE">
          <w:rPr>
            <w:noProof/>
            <w:webHidden/>
          </w:rPr>
          <w:tab/>
        </w:r>
        <w:r w:rsidR="00DC58BE">
          <w:rPr>
            <w:noProof/>
            <w:webHidden/>
          </w:rPr>
          <w:fldChar w:fldCharType="begin"/>
        </w:r>
        <w:r w:rsidR="00DC58BE">
          <w:rPr>
            <w:noProof/>
            <w:webHidden/>
          </w:rPr>
          <w:instrText xml:space="preserve"> PAGEREF _Toc131775842 \h </w:instrText>
        </w:r>
        <w:r w:rsidR="00DC58BE">
          <w:rPr>
            <w:noProof/>
            <w:webHidden/>
          </w:rPr>
        </w:r>
        <w:r w:rsidR="00DC58BE">
          <w:rPr>
            <w:noProof/>
            <w:webHidden/>
          </w:rPr>
          <w:fldChar w:fldCharType="separate"/>
        </w:r>
        <w:r>
          <w:rPr>
            <w:noProof/>
            <w:webHidden/>
          </w:rPr>
          <w:t>18</w:t>
        </w:r>
        <w:r w:rsidR="00DC58BE">
          <w:rPr>
            <w:noProof/>
            <w:webHidden/>
          </w:rPr>
          <w:fldChar w:fldCharType="end"/>
        </w:r>
      </w:hyperlink>
    </w:p>
    <w:p w14:paraId="2F9A99ED" w14:textId="45CD43D5"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43" w:history="1">
        <w:r w:rsidR="00DC58BE" w:rsidRPr="00827462">
          <w:rPr>
            <w:rStyle w:val="Hypertextovodkaz"/>
            <w:noProof/>
          </w:rPr>
          <w:t>3.3.3</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Replicability to the Czech context</w:t>
        </w:r>
        <w:r w:rsidR="00DC58BE">
          <w:rPr>
            <w:noProof/>
            <w:webHidden/>
          </w:rPr>
          <w:tab/>
        </w:r>
        <w:r w:rsidR="00DC58BE">
          <w:rPr>
            <w:noProof/>
            <w:webHidden/>
          </w:rPr>
          <w:fldChar w:fldCharType="begin"/>
        </w:r>
        <w:r w:rsidR="00DC58BE">
          <w:rPr>
            <w:noProof/>
            <w:webHidden/>
          </w:rPr>
          <w:instrText xml:space="preserve"> PAGEREF _Toc131775843 \h </w:instrText>
        </w:r>
        <w:r w:rsidR="00DC58BE">
          <w:rPr>
            <w:noProof/>
            <w:webHidden/>
          </w:rPr>
        </w:r>
        <w:r w:rsidR="00DC58BE">
          <w:rPr>
            <w:noProof/>
            <w:webHidden/>
          </w:rPr>
          <w:fldChar w:fldCharType="separate"/>
        </w:r>
        <w:r>
          <w:rPr>
            <w:noProof/>
            <w:webHidden/>
          </w:rPr>
          <w:t>21</w:t>
        </w:r>
        <w:r w:rsidR="00DC58BE">
          <w:rPr>
            <w:noProof/>
            <w:webHidden/>
          </w:rPr>
          <w:fldChar w:fldCharType="end"/>
        </w:r>
      </w:hyperlink>
    </w:p>
    <w:p w14:paraId="590FF7BB" w14:textId="769BD1FA" w:rsidR="00DC58BE" w:rsidRDefault="0031368D">
      <w:pPr>
        <w:pStyle w:val="Obsah1"/>
        <w:rPr>
          <w:rFonts w:asciiTheme="minorHAnsi" w:eastAsiaTheme="minorEastAsia" w:hAnsiTheme="minorHAnsi"/>
          <w:b w:val="0"/>
          <w:bCs w:val="0"/>
          <w:noProof/>
          <w:color w:val="auto"/>
          <w:sz w:val="24"/>
          <w:lang w:eastAsia="en-GB"/>
        </w:rPr>
      </w:pPr>
      <w:hyperlink w:anchor="_Toc131775844" w:history="1">
        <w:r w:rsidR="00DC58BE" w:rsidRPr="00827462">
          <w:rPr>
            <w:rStyle w:val="Hypertextovodkaz"/>
            <w:noProof/>
          </w:rPr>
          <w:t>4</w:t>
        </w:r>
        <w:r w:rsidR="00DC58BE">
          <w:rPr>
            <w:rFonts w:asciiTheme="minorHAnsi" w:eastAsiaTheme="minorEastAsia" w:hAnsiTheme="minorHAnsi"/>
            <w:b w:val="0"/>
            <w:bCs w:val="0"/>
            <w:noProof/>
            <w:color w:val="auto"/>
            <w:sz w:val="24"/>
            <w:lang w:eastAsia="en-GB"/>
          </w:rPr>
          <w:tab/>
        </w:r>
        <w:r w:rsidR="00DC58BE" w:rsidRPr="00827462">
          <w:rPr>
            <w:rStyle w:val="Hypertextovodkaz"/>
            <w:noProof/>
          </w:rPr>
          <w:t>Peer-learning exchange webinars</w:t>
        </w:r>
        <w:r w:rsidR="00DC58BE">
          <w:rPr>
            <w:noProof/>
            <w:webHidden/>
          </w:rPr>
          <w:tab/>
        </w:r>
        <w:r w:rsidR="00DC58BE">
          <w:rPr>
            <w:noProof/>
            <w:webHidden/>
          </w:rPr>
          <w:fldChar w:fldCharType="begin"/>
        </w:r>
        <w:r w:rsidR="00DC58BE">
          <w:rPr>
            <w:noProof/>
            <w:webHidden/>
          </w:rPr>
          <w:instrText xml:space="preserve"> PAGEREF _Toc131775844 \h </w:instrText>
        </w:r>
        <w:r w:rsidR="00DC58BE">
          <w:rPr>
            <w:noProof/>
            <w:webHidden/>
          </w:rPr>
        </w:r>
        <w:r w:rsidR="00DC58BE">
          <w:rPr>
            <w:noProof/>
            <w:webHidden/>
          </w:rPr>
          <w:fldChar w:fldCharType="separate"/>
        </w:r>
        <w:r>
          <w:rPr>
            <w:noProof/>
            <w:webHidden/>
          </w:rPr>
          <w:t>23</w:t>
        </w:r>
        <w:r w:rsidR="00DC58BE">
          <w:rPr>
            <w:noProof/>
            <w:webHidden/>
          </w:rPr>
          <w:fldChar w:fldCharType="end"/>
        </w:r>
      </w:hyperlink>
    </w:p>
    <w:p w14:paraId="549FAA95" w14:textId="10CE21A8"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45" w:history="1">
        <w:r w:rsidR="00DC58BE" w:rsidRPr="00827462">
          <w:rPr>
            <w:rStyle w:val="Hypertextovodkaz"/>
            <w:noProof/>
          </w:rPr>
          <w:t>4.1</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Webinar 1: Governance processes for applying the DNSH principle</w:t>
        </w:r>
        <w:r w:rsidR="00DC58BE">
          <w:rPr>
            <w:noProof/>
            <w:webHidden/>
          </w:rPr>
          <w:tab/>
        </w:r>
        <w:r w:rsidR="00DC58BE">
          <w:rPr>
            <w:noProof/>
            <w:webHidden/>
          </w:rPr>
          <w:fldChar w:fldCharType="begin"/>
        </w:r>
        <w:r w:rsidR="00DC58BE">
          <w:rPr>
            <w:noProof/>
            <w:webHidden/>
          </w:rPr>
          <w:instrText xml:space="preserve"> PAGEREF _Toc131775845 \h </w:instrText>
        </w:r>
        <w:r w:rsidR="00DC58BE">
          <w:rPr>
            <w:noProof/>
            <w:webHidden/>
          </w:rPr>
        </w:r>
        <w:r w:rsidR="00DC58BE">
          <w:rPr>
            <w:noProof/>
            <w:webHidden/>
          </w:rPr>
          <w:fldChar w:fldCharType="separate"/>
        </w:r>
        <w:r>
          <w:rPr>
            <w:noProof/>
            <w:webHidden/>
          </w:rPr>
          <w:t>23</w:t>
        </w:r>
        <w:r w:rsidR="00DC58BE">
          <w:rPr>
            <w:noProof/>
            <w:webHidden/>
          </w:rPr>
          <w:fldChar w:fldCharType="end"/>
        </w:r>
      </w:hyperlink>
    </w:p>
    <w:p w14:paraId="0C5FF451" w14:textId="1796A78C"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46" w:history="1">
        <w:r w:rsidR="00DC58BE" w:rsidRPr="00827462">
          <w:rPr>
            <w:rStyle w:val="Hypertextovodkaz"/>
            <w:noProof/>
            <w:bdr w:val="none" w:sz="0" w:space="0" w:color="auto" w:frame="1"/>
          </w:rPr>
          <w:t>4.1.1</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bdr w:val="none" w:sz="0" w:space="0" w:color="auto" w:frame="1"/>
          </w:rPr>
          <w:t>Main points of discussion and takeaways from the webinar</w:t>
        </w:r>
        <w:r w:rsidR="00DC58BE">
          <w:rPr>
            <w:noProof/>
            <w:webHidden/>
          </w:rPr>
          <w:tab/>
        </w:r>
        <w:r w:rsidR="00DC58BE">
          <w:rPr>
            <w:noProof/>
            <w:webHidden/>
          </w:rPr>
          <w:fldChar w:fldCharType="begin"/>
        </w:r>
        <w:r w:rsidR="00DC58BE">
          <w:rPr>
            <w:noProof/>
            <w:webHidden/>
          </w:rPr>
          <w:instrText xml:space="preserve"> PAGEREF _Toc131775846 \h </w:instrText>
        </w:r>
        <w:r w:rsidR="00DC58BE">
          <w:rPr>
            <w:noProof/>
            <w:webHidden/>
          </w:rPr>
        </w:r>
        <w:r w:rsidR="00DC58BE">
          <w:rPr>
            <w:noProof/>
            <w:webHidden/>
          </w:rPr>
          <w:fldChar w:fldCharType="separate"/>
        </w:r>
        <w:r>
          <w:rPr>
            <w:noProof/>
            <w:webHidden/>
          </w:rPr>
          <w:t>23</w:t>
        </w:r>
        <w:r w:rsidR="00DC58BE">
          <w:rPr>
            <w:noProof/>
            <w:webHidden/>
          </w:rPr>
          <w:fldChar w:fldCharType="end"/>
        </w:r>
      </w:hyperlink>
    </w:p>
    <w:p w14:paraId="582C8743" w14:textId="4E1CE5A5"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47" w:history="1">
        <w:r w:rsidR="00DC58BE" w:rsidRPr="00827462">
          <w:rPr>
            <w:rStyle w:val="Hypertextovodkaz"/>
            <w:noProof/>
            <w:bdr w:val="none" w:sz="0" w:space="0" w:color="auto" w:frame="1"/>
          </w:rPr>
          <w:t>4.1.2</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bdr w:val="none" w:sz="0" w:space="0" w:color="auto" w:frame="1"/>
          </w:rPr>
          <w:t>Key lessons learnt</w:t>
        </w:r>
        <w:r w:rsidR="00DC58BE">
          <w:rPr>
            <w:noProof/>
            <w:webHidden/>
          </w:rPr>
          <w:tab/>
        </w:r>
        <w:r w:rsidR="00DC58BE">
          <w:rPr>
            <w:noProof/>
            <w:webHidden/>
          </w:rPr>
          <w:fldChar w:fldCharType="begin"/>
        </w:r>
        <w:r w:rsidR="00DC58BE">
          <w:rPr>
            <w:noProof/>
            <w:webHidden/>
          </w:rPr>
          <w:instrText xml:space="preserve"> PAGEREF _Toc131775847 \h </w:instrText>
        </w:r>
        <w:r w:rsidR="00DC58BE">
          <w:rPr>
            <w:noProof/>
            <w:webHidden/>
          </w:rPr>
        </w:r>
        <w:r w:rsidR="00DC58BE">
          <w:rPr>
            <w:noProof/>
            <w:webHidden/>
          </w:rPr>
          <w:fldChar w:fldCharType="separate"/>
        </w:r>
        <w:r>
          <w:rPr>
            <w:noProof/>
            <w:webHidden/>
          </w:rPr>
          <w:t>23</w:t>
        </w:r>
        <w:r w:rsidR="00DC58BE">
          <w:rPr>
            <w:noProof/>
            <w:webHidden/>
          </w:rPr>
          <w:fldChar w:fldCharType="end"/>
        </w:r>
      </w:hyperlink>
    </w:p>
    <w:p w14:paraId="3F4E0C40" w14:textId="12F080F9"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48" w:history="1">
        <w:r w:rsidR="00DC58BE" w:rsidRPr="00827462">
          <w:rPr>
            <w:rStyle w:val="Hypertextovodkaz"/>
            <w:noProof/>
          </w:rPr>
          <w:t>4.2</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Webinar 2: Implementation of simplified and detailed DNSH assessments</w:t>
        </w:r>
        <w:r w:rsidR="00DC58BE">
          <w:rPr>
            <w:noProof/>
            <w:webHidden/>
          </w:rPr>
          <w:tab/>
        </w:r>
        <w:r w:rsidR="00DC58BE">
          <w:rPr>
            <w:noProof/>
            <w:webHidden/>
          </w:rPr>
          <w:fldChar w:fldCharType="begin"/>
        </w:r>
        <w:r w:rsidR="00DC58BE">
          <w:rPr>
            <w:noProof/>
            <w:webHidden/>
          </w:rPr>
          <w:instrText xml:space="preserve"> PAGEREF _Toc131775848 \h </w:instrText>
        </w:r>
        <w:r w:rsidR="00DC58BE">
          <w:rPr>
            <w:noProof/>
            <w:webHidden/>
          </w:rPr>
        </w:r>
        <w:r w:rsidR="00DC58BE">
          <w:rPr>
            <w:noProof/>
            <w:webHidden/>
          </w:rPr>
          <w:fldChar w:fldCharType="separate"/>
        </w:r>
        <w:r>
          <w:rPr>
            <w:noProof/>
            <w:webHidden/>
          </w:rPr>
          <w:t>24</w:t>
        </w:r>
        <w:r w:rsidR="00DC58BE">
          <w:rPr>
            <w:noProof/>
            <w:webHidden/>
          </w:rPr>
          <w:fldChar w:fldCharType="end"/>
        </w:r>
      </w:hyperlink>
    </w:p>
    <w:p w14:paraId="3038D735" w14:textId="599A7188"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49" w:history="1">
        <w:r w:rsidR="00DC58BE" w:rsidRPr="00827462">
          <w:rPr>
            <w:rStyle w:val="Hypertextovodkaz"/>
            <w:noProof/>
          </w:rPr>
          <w:t>4.2.1</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Main points of discussion and takeaways from the webinar</w:t>
        </w:r>
        <w:r w:rsidR="00DC58BE">
          <w:rPr>
            <w:noProof/>
            <w:webHidden/>
          </w:rPr>
          <w:tab/>
        </w:r>
        <w:r w:rsidR="00DC58BE">
          <w:rPr>
            <w:noProof/>
            <w:webHidden/>
          </w:rPr>
          <w:fldChar w:fldCharType="begin"/>
        </w:r>
        <w:r w:rsidR="00DC58BE">
          <w:rPr>
            <w:noProof/>
            <w:webHidden/>
          </w:rPr>
          <w:instrText xml:space="preserve"> PAGEREF _Toc131775849 \h </w:instrText>
        </w:r>
        <w:r w:rsidR="00DC58BE">
          <w:rPr>
            <w:noProof/>
            <w:webHidden/>
          </w:rPr>
        </w:r>
        <w:r w:rsidR="00DC58BE">
          <w:rPr>
            <w:noProof/>
            <w:webHidden/>
          </w:rPr>
          <w:fldChar w:fldCharType="separate"/>
        </w:r>
        <w:r>
          <w:rPr>
            <w:noProof/>
            <w:webHidden/>
          </w:rPr>
          <w:t>24</w:t>
        </w:r>
        <w:r w:rsidR="00DC58BE">
          <w:rPr>
            <w:noProof/>
            <w:webHidden/>
          </w:rPr>
          <w:fldChar w:fldCharType="end"/>
        </w:r>
      </w:hyperlink>
    </w:p>
    <w:p w14:paraId="0FA4CB92" w14:textId="182C55ED"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50" w:history="1">
        <w:r w:rsidR="00DC58BE" w:rsidRPr="00827462">
          <w:rPr>
            <w:rStyle w:val="Hypertextovodkaz"/>
            <w:noProof/>
          </w:rPr>
          <w:t>4.2.2</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Lessons learnt</w:t>
        </w:r>
        <w:r w:rsidR="00DC58BE">
          <w:rPr>
            <w:noProof/>
            <w:webHidden/>
          </w:rPr>
          <w:tab/>
        </w:r>
        <w:r w:rsidR="00DC58BE">
          <w:rPr>
            <w:noProof/>
            <w:webHidden/>
          </w:rPr>
          <w:fldChar w:fldCharType="begin"/>
        </w:r>
        <w:r w:rsidR="00DC58BE">
          <w:rPr>
            <w:noProof/>
            <w:webHidden/>
          </w:rPr>
          <w:instrText xml:space="preserve"> PAGEREF _Toc131775850 \h </w:instrText>
        </w:r>
        <w:r w:rsidR="00DC58BE">
          <w:rPr>
            <w:noProof/>
            <w:webHidden/>
          </w:rPr>
        </w:r>
        <w:r w:rsidR="00DC58BE">
          <w:rPr>
            <w:noProof/>
            <w:webHidden/>
          </w:rPr>
          <w:fldChar w:fldCharType="separate"/>
        </w:r>
        <w:r>
          <w:rPr>
            <w:noProof/>
            <w:webHidden/>
          </w:rPr>
          <w:t>24</w:t>
        </w:r>
        <w:r w:rsidR="00DC58BE">
          <w:rPr>
            <w:noProof/>
            <w:webHidden/>
          </w:rPr>
          <w:fldChar w:fldCharType="end"/>
        </w:r>
      </w:hyperlink>
    </w:p>
    <w:p w14:paraId="4022662C" w14:textId="45EA5F5B" w:rsidR="00DC58BE" w:rsidRDefault="0031368D">
      <w:pPr>
        <w:pStyle w:val="Obsah2"/>
        <w:rPr>
          <w:rFonts w:asciiTheme="minorHAnsi" w:eastAsiaTheme="minorEastAsia" w:hAnsiTheme="minorHAnsi" w:cstheme="minorBidi"/>
          <w:b w:val="0"/>
          <w:bCs w:val="0"/>
          <w:noProof/>
          <w:color w:val="auto"/>
          <w:sz w:val="24"/>
          <w:szCs w:val="24"/>
          <w:lang w:eastAsia="en-GB"/>
        </w:rPr>
      </w:pPr>
      <w:hyperlink w:anchor="_Toc131775851" w:history="1">
        <w:r w:rsidR="00DC58BE" w:rsidRPr="00827462">
          <w:rPr>
            <w:rStyle w:val="Hypertextovodkaz"/>
            <w:noProof/>
          </w:rPr>
          <w:t>4.3</w:t>
        </w:r>
        <w:r w:rsidR="00DC58BE">
          <w:rPr>
            <w:rFonts w:asciiTheme="minorHAnsi" w:eastAsiaTheme="minorEastAsia" w:hAnsiTheme="minorHAnsi" w:cstheme="minorBidi"/>
            <w:b w:val="0"/>
            <w:bCs w:val="0"/>
            <w:noProof/>
            <w:color w:val="auto"/>
            <w:sz w:val="24"/>
            <w:szCs w:val="24"/>
            <w:lang w:eastAsia="en-GB"/>
          </w:rPr>
          <w:tab/>
        </w:r>
        <w:r w:rsidR="00DC58BE" w:rsidRPr="00827462">
          <w:rPr>
            <w:rStyle w:val="Hypertextovodkaz"/>
            <w:noProof/>
          </w:rPr>
          <w:t>Webinar 3: Application of the DNSH principle to innovative green technologies</w:t>
        </w:r>
        <w:r w:rsidR="00DC58BE">
          <w:rPr>
            <w:noProof/>
            <w:webHidden/>
          </w:rPr>
          <w:tab/>
        </w:r>
        <w:r w:rsidR="00DC58BE">
          <w:rPr>
            <w:noProof/>
            <w:webHidden/>
          </w:rPr>
          <w:fldChar w:fldCharType="begin"/>
        </w:r>
        <w:r w:rsidR="00DC58BE">
          <w:rPr>
            <w:noProof/>
            <w:webHidden/>
          </w:rPr>
          <w:instrText xml:space="preserve"> PAGEREF _Toc131775851 \h </w:instrText>
        </w:r>
        <w:r w:rsidR="00DC58BE">
          <w:rPr>
            <w:noProof/>
            <w:webHidden/>
          </w:rPr>
        </w:r>
        <w:r w:rsidR="00DC58BE">
          <w:rPr>
            <w:noProof/>
            <w:webHidden/>
          </w:rPr>
          <w:fldChar w:fldCharType="separate"/>
        </w:r>
        <w:r>
          <w:rPr>
            <w:noProof/>
            <w:webHidden/>
          </w:rPr>
          <w:t>25</w:t>
        </w:r>
        <w:r w:rsidR="00DC58BE">
          <w:rPr>
            <w:noProof/>
            <w:webHidden/>
          </w:rPr>
          <w:fldChar w:fldCharType="end"/>
        </w:r>
      </w:hyperlink>
    </w:p>
    <w:p w14:paraId="02B6806D" w14:textId="31F05A1F"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52" w:history="1">
        <w:r w:rsidR="00DC58BE" w:rsidRPr="00827462">
          <w:rPr>
            <w:rStyle w:val="Hypertextovodkaz"/>
            <w:noProof/>
          </w:rPr>
          <w:t>4.3.1</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Main points of discussion and takeaways from the webinar</w:t>
        </w:r>
        <w:r w:rsidR="00DC58BE">
          <w:rPr>
            <w:noProof/>
            <w:webHidden/>
          </w:rPr>
          <w:tab/>
        </w:r>
        <w:r w:rsidR="00DC58BE">
          <w:rPr>
            <w:noProof/>
            <w:webHidden/>
          </w:rPr>
          <w:fldChar w:fldCharType="begin"/>
        </w:r>
        <w:r w:rsidR="00DC58BE">
          <w:rPr>
            <w:noProof/>
            <w:webHidden/>
          </w:rPr>
          <w:instrText xml:space="preserve"> PAGEREF _Toc131775852 \h </w:instrText>
        </w:r>
        <w:r w:rsidR="00DC58BE">
          <w:rPr>
            <w:noProof/>
            <w:webHidden/>
          </w:rPr>
        </w:r>
        <w:r w:rsidR="00DC58BE">
          <w:rPr>
            <w:noProof/>
            <w:webHidden/>
          </w:rPr>
          <w:fldChar w:fldCharType="separate"/>
        </w:r>
        <w:r>
          <w:rPr>
            <w:noProof/>
            <w:webHidden/>
          </w:rPr>
          <w:t>25</w:t>
        </w:r>
        <w:r w:rsidR="00DC58BE">
          <w:rPr>
            <w:noProof/>
            <w:webHidden/>
          </w:rPr>
          <w:fldChar w:fldCharType="end"/>
        </w:r>
      </w:hyperlink>
    </w:p>
    <w:p w14:paraId="2E69924A" w14:textId="5723C77B" w:rsidR="00DC58BE" w:rsidRDefault="0031368D">
      <w:pPr>
        <w:pStyle w:val="Obsah3"/>
        <w:tabs>
          <w:tab w:val="left" w:pos="1506"/>
          <w:tab w:val="right" w:leader="dot" w:pos="9016"/>
        </w:tabs>
        <w:rPr>
          <w:rFonts w:asciiTheme="minorHAnsi" w:eastAsiaTheme="minorEastAsia" w:hAnsiTheme="minorHAnsi" w:cstheme="minorBidi"/>
          <w:noProof/>
          <w:color w:val="auto"/>
          <w:sz w:val="24"/>
          <w:szCs w:val="24"/>
          <w:lang w:eastAsia="en-GB"/>
        </w:rPr>
      </w:pPr>
      <w:hyperlink w:anchor="_Toc131775853" w:history="1">
        <w:r w:rsidR="00DC58BE" w:rsidRPr="00827462">
          <w:rPr>
            <w:rStyle w:val="Hypertextovodkaz"/>
            <w:noProof/>
          </w:rPr>
          <w:t>4.3.2</w:t>
        </w:r>
        <w:r w:rsidR="00DC58BE">
          <w:rPr>
            <w:rFonts w:asciiTheme="minorHAnsi" w:eastAsiaTheme="minorEastAsia" w:hAnsiTheme="minorHAnsi" w:cstheme="minorBidi"/>
            <w:noProof/>
            <w:color w:val="auto"/>
            <w:sz w:val="24"/>
            <w:szCs w:val="24"/>
            <w:lang w:eastAsia="en-GB"/>
          </w:rPr>
          <w:tab/>
        </w:r>
        <w:r w:rsidR="00DC58BE" w:rsidRPr="00827462">
          <w:rPr>
            <w:rStyle w:val="Hypertextovodkaz"/>
            <w:noProof/>
          </w:rPr>
          <w:t>Lessons learnt</w:t>
        </w:r>
        <w:r w:rsidR="00DC58BE">
          <w:rPr>
            <w:noProof/>
            <w:webHidden/>
          </w:rPr>
          <w:tab/>
        </w:r>
        <w:r w:rsidR="00DC58BE">
          <w:rPr>
            <w:noProof/>
            <w:webHidden/>
          </w:rPr>
          <w:fldChar w:fldCharType="begin"/>
        </w:r>
        <w:r w:rsidR="00DC58BE">
          <w:rPr>
            <w:noProof/>
            <w:webHidden/>
          </w:rPr>
          <w:instrText xml:space="preserve"> PAGEREF _Toc131775853 \h </w:instrText>
        </w:r>
        <w:r w:rsidR="00DC58BE">
          <w:rPr>
            <w:noProof/>
            <w:webHidden/>
          </w:rPr>
        </w:r>
        <w:r w:rsidR="00DC58BE">
          <w:rPr>
            <w:noProof/>
            <w:webHidden/>
          </w:rPr>
          <w:fldChar w:fldCharType="separate"/>
        </w:r>
        <w:r>
          <w:rPr>
            <w:noProof/>
            <w:webHidden/>
          </w:rPr>
          <w:t>25</w:t>
        </w:r>
        <w:r w:rsidR="00DC58BE">
          <w:rPr>
            <w:noProof/>
            <w:webHidden/>
          </w:rPr>
          <w:fldChar w:fldCharType="end"/>
        </w:r>
      </w:hyperlink>
    </w:p>
    <w:p w14:paraId="231DFFAC" w14:textId="66EE5BD5" w:rsidR="00DC58BE" w:rsidRDefault="0031368D">
      <w:pPr>
        <w:pStyle w:val="Obsah1"/>
        <w:rPr>
          <w:rFonts w:asciiTheme="minorHAnsi" w:eastAsiaTheme="minorEastAsia" w:hAnsiTheme="minorHAnsi"/>
          <w:b w:val="0"/>
          <w:bCs w:val="0"/>
          <w:noProof/>
          <w:color w:val="auto"/>
          <w:sz w:val="24"/>
          <w:lang w:eastAsia="en-GB"/>
        </w:rPr>
      </w:pPr>
      <w:hyperlink w:anchor="_Toc131775854" w:history="1">
        <w:r w:rsidR="00DC58BE" w:rsidRPr="00827462">
          <w:rPr>
            <w:rStyle w:val="Hypertextovodkaz"/>
            <w:noProof/>
          </w:rPr>
          <w:t>Annex A – Logistics and lessons learnt</w:t>
        </w:r>
        <w:r w:rsidR="00DC58BE">
          <w:rPr>
            <w:noProof/>
            <w:webHidden/>
          </w:rPr>
          <w:tab/>
        </w:r>
        <w:r w:rsidR="00DC58BE">
          <w:rPr>
            <w:noProof/>
            <w:webHidden/>
          </w:rPr>
          <w:fldChar w:fldCharType="begin"/>
        </w:r>
        <w:r w:rsidR="00DC58BE">
          <w:rPr>
            <w:noProof/>
            <w:webHidden/>
          </w:rPr>
          <w:instrText xml:space="preserve"> PAGEREF _Toc131775854 \h </w:instrText>
        </w:r>
        <w:r w:rsidR="00DC58BE">
          <w:rPr>
            <w:noProof/>
            <w:webHidden/>
          </w:rPr>
        </w:r>
        <w:r w:rsidR="00DC58BE">
          <w:rPr>
            <w:noProof/>
            <w:webHidden/>
          </w:rPr>
          <w:fldChar w:fldCharType="separate"/>
        </w:r>
        <w:r>
          <w:rPr>
            <w:noProof/>
            <w:webHidden/>
          </w:rPr>
          <w:t>27</w:t>
        </w:r>
        <w:r w:rsidR="00DC58BE">
          <w:rPr>
            <w:noProof/>
            <w:webHidden/>
          </w:rPr>
          <w:fldChar w:fldCharType="end"/>
        </w:r>
      </w:hyperlink>
    </w:p>
    <w:p w14:paraId="5C3C5307" w14:textId="54C7B682" w:rsidR="00DC58BE" w:rsidRDefault="0031368D">
      <w:pPr>
        <w:pStyle w:val="Obsah1"/>
        <w:rPr>
          <w:rFonts w:asciiTheme="minorHAnsi" w:eastAsiaTheme="minorEastAsia" w:hAnsiTheme="minorHAnsi"/>
          <w:b w:val="0"/>
          <w:bCs w:val="0"/>
          <w:noProof/>
          <w:color w:val="auto"/>
          <w:sz w:val="24"/>
          <w:lang w:eastAsia="en-GB"/>
        </w:rPr>
      </w:pPr>
      <w:hyperlink w:anchor="_Toc131775857" w:history="1">
        <w:r w:rsidR="00DC58BE" w:rsidRPr="00827462">
          <w:rPr>
            <w:rStyle w:val="Hypertextovodkaz"/>
            <w:noProof/>
          </w:rPr>
          <w:t>Annex B – Concept notes of webinars</w:t>
        </w:r>
        <w:r w:rsidR="00DC58BE">
          <w:rPr>
            <w:noProof/>
            <w:webHidden/>
          </w:rPr>
          <w:tab/>
        </w:r>
        <w:r w:rsidR="00DC58BE">
          <w:rPr>
            <w:noProof/>
            <w:webHidden/>
          </w:rPr>
          <w:fldChar w:fldCharType="begin"/>
        </w:r>
        <w:r w:rsidR="00DC58BE">
          <w:rPr>
            <w:noProof/>
            <w:webHidden/>
          </w:rPr>
          <w:instrText xml:space="preserve"> PAGEREF _Toc131775857 \h </w:instrText>
        </w:r>
        <w:r w:rsidR="00DC58BE">
          <w:rPr>
            <w:noProof/>
            <w:webHidden/>
          </w:rPr>
        </w:r>
        <w:r w:rsidR="00DC58BE">
          <w:rPr>
            <w:noProof/>
            <w:webHidden/>
          </w:rPr>
          <w:fldChar w:fldCharType="separate"/>
        </w:r>
        <w:r>
          <w:rPr>
            <w:noProof/>
            <w:webHidden/>
          </w:rPr>
          <w:t>30</w:t>
        </w:r>
        <w:r w:rsidR="00DC58BE">
          <w:rPr>
            <w:noProof/>
            <w:webHidden/>
          </w:rPr>
          <w:fldChar w:fldCharType="end"/>
        </w:r>
      </w:hyperlink>
    </w:p>
    <w:p w14:paraId="1734D479" w14:textId="0E19AA8B" w:rsidR="00DC58BE" w:rsidRPr="00DC58BE" w:rsidRDefault="0031368D" w:rsidP="00DC58BE">
      <w:pPr>
        <w:pStyle w:val="Obsah1"/>
        <w:rPr>
          <w:rFonts w:asciiTheme="minorHAnsi" w:eastAsiaTheme="minorEastAsia" w:hAnsiTheme="minorHAnsi"/>
          <w:b w:val="0"/>
          <w:bCs w:val="0"/>
          <w:noProof/>
          <w:color w:val="auto"/>
          <w:sz w:val="24"/>
          <w:lang w:eastAsia="en-GB"/>
        </w:rPr>
      </w:pPr>
      <w:hyperlink w:anchor="_Toc131775869" w:history="1">
        <w:r w:rsidR="00DC58BE" w:rsidRPr="00827462">
          <w:rPr>
            <w:rStyle w:val="Hypertextovodkaz"/>
            <w:noProof/>
          </w:rPr>
          <w:t>Annex C - Minutes of webinar 1: Governance processes for applying DNSH principle</w:t>
        </w:r>
        <w:r w:rsidR="00DC58BE">
          <w:rPr>
            <w:noProof/>
            <w:webHidden/>
          </w:rPr>
          <w:tab/>
        </w:r>
        <w:r w:rsidR="00DC58BE">
          <w:rPr>
            <w:noProof/>
            <w:webHidden/>
          </w:rPr>
          <w:fldChar w:fldCharType="begin"/>
        </w:r>
        <w:r w:rsidR="00DC58BE">
          <w:rPr>
            <w:noProof/>
            <w:webHidden/>
          </w:rPr>
          <w:instrText xml:space="preserve"> PAGEREF _Toc131775869 \h </w:instrText>
        </w:r>
        <w:r w:rsidR="00DC58BE">
          <w:rPr>
            <w:noProof/>
            <w:webHidden/>
          </w:rPr>
        </w:r>
        <w:r w:rsidR="00DC58BE">
          <w:rPr>
            <w:noProof/>
            <w:webHidden/>
          </w:rPr>
          <w:fldChar w:fldCharType="separate"/>
        </w:r>
        <w:r>
          <w:rPr>
            <w:noProof/>
            <w:webHidden/>
          </w:rPr>
          <w:t>40</w:t>
        </w:r>
        <w:r w:rsidR="00DC58BE">
          <w:rPr>
            <w:noProof/>
            <w:webHidden/>
          </w:rPr>
          <w:fldChar w:fldCharType="end"/>
        </w:r>
      </w:hyperlink>
    </w:p>
    <w:p w14:paraId="60C7F2E8" w14:textId="496EFA03" w:rsidR="00DC58BE" w:rsidRDefault="0031368D">
      <w:pPr>
        <w:pStyle w:val="Obsah1"/>
        <w:rPr>
          <w:rFonts w:asciiTheme="minorHAnsi" w:eastAsiaTheme="minorEastAsia" w:hAnsiTheme="minorHAnsi"/>
          <w:b w:val="0"/>
          <w:bCs w:val="0"/>
          <w:noProof/>
          <w:color w:val="auto"/>
          <w:sz w:val="24"/>
          <w:lang w:eastAsia="en-GB"/>
        </w:rPr>
      </w:pPr>
      <w:hyperlink w:anchor="_Toc131775887" w:history="1">
        <w:r w:rsidR="00DC58BE" w:rsidRPr="00827462">
          <w:rPr>
            <w:rStyle w:val="Hypertextovodkaz"/>
            <w:noProof/>
          </w:rPr>
          <w:t>Annex D – Minutes of webinar 2: Implementation of simplified and detailed DNSH assessments</w:t>
        </w:r>
        <w:r w:rsidR="00DC58BE">
          <w:rPr>
            <w:noProof/>
            <w:webHidden/>
          </w:rPr>
          <w:tab/>
        </w:r>
        <w:r w:rsidR="00DC58BE">
          <w:rPr>
            <w:noProof/>
            <w:webHidden/>
          </w:rPr>
          <w:fldChar w:fldCharType="begin"/>
        </w:r>
        <w:r w:rsidR="00DC58BE">
          <w:rPr>
            <w:noProof/>
            <w:webHidden/>
          </w:rPr>
          <w:instrText xml:space="preserve"> PAGEREF _Toc131775887 \h </w:instrText>
        </w:r>
        <w:r w:rsidR="00DC58BE">
          <w:rPr>
            <w:noProof/>
            <w:webHidden/>
          </w:rPr>
        </w:r>
        <w:r w:rsidR="00DC58BE">
          <w:rPr>
            <w:noProof/>
            <w:webHidden/>
          </w:rPr>
          <w:fldChar w:fldCharType="separate"/>
        </w:r>
        <w:r>
          <w:rPr>
            <w:noProof/>
            <w:webHidden/>
          </w:rPr>
          <w:t>48</w:t>
        </w:r>
        <w:r w:rsidR="00DC58BE">
          <w:rPr>
            <w:noProof/>
            <w:webHidden/>
          </w:rPr>
          <w:fldChar w:fldCharType="end"/>
        </w:r>
      </w:hyperlink>
    </w:p>
    <w:p w14:paraId="601F53BD" w14:textId="031E77DD" w:rsidR="00DC58BE" w:rsidRDefault="0031368D">
      <w:pPr>
        <w:pStyle w:val="Obsah1"/>
        <w:rPr>
          <w:rFonts w:asciiTheme="minorHAnsi" w:eastAsiaTheme="minorEastAsia" w:hAnsiTheme="minorHAnsi"/>
          <w:b w:val="0"/>
          <w:bCs w:val="0"/>
          <w:noProof/>
          <w:color w:val="auto"/>
          <w:sz w:val="24"/>
          <w:lang w:eastAsia="en-GB"/>
        </w:rPr>
      </w:pPr>
      <w:hyperlink w:anchor="_Toc131775903" w:history="1">
        <w:r w:rsidR="00DC58BE" w:rsidRPr="00827462">
          <w:rPr>
            <w:rStyle w:val="Hypertextovodkaz"/>
            <w:noProof/>
          </w:rPr>
          <w:t>Annex E – Minutes of webinar 3: Application of the DNSH principle to innovative green technologies</w:t>
        </w:r>
        <w:r w:rsidR="00DC58BE">
          <w:rPr>
            <w:noProof/>
            <w:webHidden/>
          </w:rPr>
          <w:tab/>
        </w:r>
        <w:r w:rsidR="00DC58BE">
          <w:rPr>
            <w:noProof/>
            <w:webHidden/>
          </w:rPr>
          <w:fldChar w:fldCharType="begin"/>
        </w:r>
        <w:r w:rsidR="00DC58BE">
          <w:rPr>
            <w:noProof/>
            <w:webHidden/>
          </w:rPr>
          <w:instrText xml:space="preserve"> PAGEREF _Toc131775903 \h </w:instrText>
        </w:r>
        <w:r w:rsidR="00DC58BE">
          <w:rPr>
            <w:noProof/>
            <w:webHidden/>
          </w:rPr>
        </w:r>
        <w:r w:rsidR="00DC58BE">
          <w:rPr>
            <w:noProof/>
            <w:webHidden/>
          </w:rPr>
          <w:fldChar w:fldCharType="separate"/>
        </w:r>
        <w:r>
          <w:rPr>
            <w:noProof/>
            <w:webHidden/>
          </w:rPr>
          <w:t>55</w:t>
        </w:r>
        <w:r w:rsidR="00DC58BE">
          <w:rPr>
            <w:noProof/>
            <w:webHidden/>
          </w:rPr>
          <w:fldChar w:fldCharType="end"/>
        </w:r>
      </w:hyperlink>
    </w:p>
    <w:p w14:paraId="222D328E" w14:textId="44F683B0" w:rsidR="002A41AB" w:rsidRPr="00446DB1" w:rsidRDefault="00DB51A2" w:rsidP="00EC0F7F">
      <w:pPr>
        <w:ind w:left="0"/>
        <w:rPr>
          <w:color w:val="005962"/>
          <w:sz w:val="28"/>
          <w:szCs w:val="24"/>
        </w:rPr>
      </w:pPr>
      <w:r w:rsidRPr="009D40C1">
        <w:rPr>
          <w:color w:val="005962"/>
          <w:sz w:val="28"/>
          <w:szCs w:val="24"/>
        </w:rPr>
        <w:fldChar w:fldCharType="end"/>
      </w:r>
      <w:r w:rsidR="006E0971" w:rsidRPr="009D40C1">
        <w:rPr>
          <w:color w:val="005962"/>
          <w:sz w:val="28"/>
          <w:szCs w:val="24"/>
        </w:rPr>
        <w:br w:type="page"/>
      </w:r>
    </w:p>
    <w:p w14:paraId="3AF936F8" w14:textId="77777777" w:rsidR="00FB7C6C" w:rsidRPr="009D40C1" w:rsidRDefault="00FB7C6C" w:rsidP="00D13A76">
      <w:pPr>
        <w:ind w:left="0"/>
        <w:sectPr w:rsidR="00FB7C6C" w:rsidRPr="009D40C1">
          <w:headerReference w:type="default" r:id="rId20"/>
          <w:pgSz w:w="11906" w:h="16838"/>
          <w:pgMar w:top="1440" w:right="1440" w:bottom="1440" w:left="1440" w:header="708" w:footer="708" w:gutter="0"/>
          <w:cols w:space="708"/>
          <w:docGrid w:linePitch="360"/>
        </w:sectPr>
      </w:pPr>
    </w:p>
    <w:p w14:paraId="2FCE2964" w14:textId="50D6664A" w:rsidR="00404CB2" w:rsidRDefault="00DC58BE" w:rsidP="00DC58BE">
      <w:pPr>
        <w:pStyle w:val="Nadpis1"/>
        <w:numPr>
          <w:ilvl w:val="0"/>
          <w:numId w:val="0"/>
        </w:numPr>
        <w:tabs>
          <w:tab w:val="clear" w:pos="851"/>
          <w:tab w:val="left" w:pos="567"/>
        </w:tabs>
      </w:pPr>
      <w:bookmarkStart w:id="1" w:name="_Toc391301430"/>
      <w:bookmarkStart w:id="2" w:name="_Toc391301432"/>
      <w:bookmarkStart w:id="3" w:name="_Toc429057985"/>
      <w:bookmarkStart w:id="4" w:name="_Toc429670905"/>
      <w:bookmarkEnd w:id="1"/>
      <w:bookmarkEnd w:id="2"/>
      <w:bookmarkEnd w:id="3"/>
      <w:bookmarkEnd w:id="4"/>
      <w:r>
        <w:lastRenderedPageBreak/>
        <w:tab/>
      </w:r>
      <w:bookmarkStart w:id="5" w:name="_Toc131775823"/>
      <w:r w:rsidR="002022F4" w:rsidRPr="002022F4">
        <w:t>Executive Summary</w:t>
      </w:r>
      <w:bookmarkEnd w:id="5"/>
      <w:r w:rsidR="00324D08">
        <w:t xml:space="preserve"> </w:t>
      </w:r>
    </w:p>
    <w:p w14:paraId="628F9557" w14:textId="134F0F5E" w:rsidR="00366472" w:rsidRDefault="00AA10BC" w:rsidP="00AC4E87">
      <w:pPr>
        <w:rPr>
          <w:highlight w:val="yellow"/>
        </w:rPr>
      </w:pPr>
      <w:r>
        <w:t xml:space="preserve">An analysis </w:t>
      </w:r>
      <w:r w:rsidR="001A75F6">
        <w:t xml:space="preserve">of </w:t>
      </w:r>
      <w:r>
        <w:t>existing practices on DNSH application in Member States</w:t>
      </w:r>
      <w:r w:rsidR="001A75F6">
        <w:t xml:space="preserve"> has been carried out</w:t>
      </w:r>
      <w:r>
        <w:t xml:space="preserve">, including a peer-learning exercise with a selected number of Member States. </w:t>
      </w:r>
      <w:r w:rsidR="009D79B5">
        <w:t xml:space="preserve">This </w:t>
      </w:r>
      <w:r>
        <w:t>analysis</w:t>
      </w:r>
      <w:r w:rsidR="009D79B5">
        <w:t xml:space="preserve"> has been carried out in the context of a TSI project on the ‘Methodology for the application of the DNSH principle at the national level in Czechia’. </w:t>
      </w:r>
      <w:r w:rsidR="00404CB2">
        <w:t xml:space="preserve">The </w:t>
      </w:r>
      <w:r w:rsidR="00AF3771">
        <w:t xml:space="preserve">purpose of this </w:t>
      </w:r>
      <w:r w:rsidR="00E93DCA">
        <w:t>summary document</w:t>
      </w:r>
      <w:r w:rsidR="00AF3771">
        <w:t xml:space="preserve"> is to be further disseminate</w:t>
      </w:r>
      <w:r w:rsidR="00E93DCA">
        <w:t xml:space="preserve">d with the DNSH community and other Member States, </w:t>
      </w:r>
      <w:r w:rsidR="009129BA">
        <w:t xml:space="preserve">to offer insights </w:t>
      </w:r>
      <w:r w:rsidR="00AC4E87">
        <w:t>into different</w:t>
      </w:r>
      <w:r w:rsidR="00876749">
        <w:t xml:space="preserve"> existing</w:t>
      </w:r>
      <w:r w:rsidR="00AC4E87">
        <w:t xml:space="preserve"> DNSH approaches.</w:t>
      </w:r>
      <w:r w:rsidR="00390548">
        <w:t xml:space="preserve"> </w:t>
      </w:r>
    </w:p>
    <w:p w14:paraId="5C9E716D" w14:textId="77777777" w:rsidR="00BB18F8" w:rsidRDefault="00BB18F8" w:rsidP="00E36C42">
      <w:pPr>
        <w:ind w:left="0"/>
      </w:pPr>
    </w:p>
    <w:p w14:paraId="7BA9563A" w14:textId="77777777" w:rsidR="00820A53" w:rsidRDefault="00820A53" w:rsidP="00820A53">
      <w:r>
        <w:t>The identification of existing practices and lessons learned, and the selection of respective peer Member States was done on the basis of a selection-criteria</w:t>
      </w:r>
      <w:r w:rsidRPr="00803CDD">
        <w:t xml:space="preserve"> matrix, </w:t>
      </w:r>
      <w:r>
        <w:t>reflecting on the main challenges around the application of DNSH in Czechia, namely:</w:t>
      </w:r>
    </w:p>
    <w:p w14:paraId="2A5DE708" w14:textId="77777777" w:rsidR="00820A53" w:rsidRPr="00803CDD" w:rsidRDefault="00820A53" w:rsidP="00820A53">
      <w:pPr>
        <w:pStyle w:val="1stlevelgreen"/>
        <w:numPr>
          <w:ilvl w:val="0"/>
          <w:numId w:val="4"/>
        </w:numPr>
        <w:ind w:left="1134" w:hanging="283"/>
        <w:rPr>
          <w:lang w:val="en-US"/>
        </w:rPr>
      </w:pPr>
      <w:r w:rsidRPr="00803CDD">
        <w:rPr>
          <w:lang w:val="en-US"/>
        </w:rPr>
        <w:t>Governance processes &amp; practices around the implementation of the DNSH principle;</w:t>
      </w:r>
    </w:p>
    <w:p w14:paraId="6F74F066" w14:textId="77777777" w:rsidR="00820A53" w:rsidRPr="00803CDD" w:rsidRDefault="00820A53" w:rsidP="00820A53">
      <w:pPr>
        <w:pStyle w:val="1stlevelgreen"/>
        <w:numPr>
          <w:ilvl w:val="0"/>
          <w:numId w:val="4"/>
        </w:numPr>
        <w:ind w:left="1134" w:hanging="283"/>
        <w:rPr>
          <w:lang w:val="en-US"/>
        </w:rPr>
      </w:pPr>
      <w:r w:rsidRPr="00803CDD">
        <w:rPr>
          <w:lang w:val="en-US"/>
        </w:rPr>
        <w:t>Implementing (and monitoring) the application of DNSH – simplified and detailed assessments;</w:t>
      </w:r>
      <w:r>
        <w:rPr>
          <w:lang w:val="en-US"/>
        </w:rPr>
        <w:t xml:space="preserve"> and </w:t>
      </w:r>
    </w:p>
    <w:p w14:paraId="743778BB" w14:textId="77777777" w:rsidR="00820A53" w:rsidRPr="00803CDD" w:rsidRDefault="00820A53" w:rsidP="00820A53">
      <w:pPr>
        <w:pStyle w:val="1stlevelgreen"/>
        <w:numPr>
          <w:ilvl w:val="0"/>
          <w:numId w:val="4"/>
        </w:numPr>
        <w:ind w:left="1134" w:hanging="283"/>
        <w:rPr>
          <w:lang w:val="en-US"/>
        </w:rPr>
      </w:pPr>
      <w:r w:rsidRPr="00803CDD">
        <w:rPr>
          <w:lang w:val="en-US"/>
        </w:rPr>
        <w:t>Application of the DNSH principle to research and development (R&amp;D) and green innovation projects.</w:t>
      </w:r>
    </w:p>
    <w:p w14:paraId="0F1F8B8F" w14:textId="77777777" w:rsidR="00820A53" w:rsidRDefault="00820A53" w:rsidP="00820A53"/>
    <w:p w14:paraId="48399689" w14:textId="77777777" w:rsidR="00820A53" w:rsidRDefault="00820A53" w:rsidP="00820A53">
      <w:r>
        <w:t xml:space="preserve">The </w:t>
      </w:r>
      <w:r w:rsidRPr="00803CDD">
        <w:rPr>
          <w:b/>
          <w:bCs/>
        </w:rPr>
        <w:t xml:space="preserve">selected </w:t>
      </w:r>
      <w:r>
        <w:rPr>
          <w:b/>
          <w:bCs/>
        </w:rPr>
        <w:t xml:space="preserve">EU </w:t>
      </w:r>
      <w:r w:rsidRPr="00803CDD">
        <w:rPr>
          <w:b/>
          <w:bCs/>
        </w:rPr>
        <w:t xml:space="preserve">Member States </w:t>
      </w:r>
      <w:r>
        <w:rPr>
          <w:b/>
          <w:bCs/>
        </w:rPr>
        <w:t>participating in the peer learning exercise are</w:t>
      </w:r>
      <w:r w:rsidRPr="00803CDD">
        <w:rPr>
          <w:b/>
          <w:bCs/>
        </w:rPr>
        <w:t xml:space="preserve"> Austria, Belgium, Finland, Slovakia and Spain</w:t>
      </w:r>
      <w:r>
        <w:t xml:space="preserve">. During the selection process, the focus was, </w:t>
      </w:r>
      <w:r>
        <w:rPr>
          <w:lang w:val="en-IE"/>
        </w:rPr>
        <w:t>to the extent possible</w:t>
      </w:r>
      <w:r w:rsidRPr="00303065">
        <w:rPr>
          <w:lang w:val="en-IE"/>
        </w:rPr>
        <w:t xml:space="preserve">, on Member States with similar policy and governance context as Czechia, to ensure usability of the lessons learned </w:t>
      </w:r>
      <w:r>
        <w:rPr>
          <w:lang w:val="en-IE"/>
        </w:rPr>
        <w:t>with</w:t>
      </w:r>
      <w:r w:rsidRPr="00303065">
        <w:rPr>
          <w:lang w:val="en-IE"/>
        </w:rPr>
        <w:t>in the Czech context.</w:t>
      </w:r>
      <w:r>
        <w:rPr>
          <w:lang w:val="en-IE"/>
        </w:rPr>
        <w:t xml:space="preserve"> </w:t>
      </w:r>
      <w:r>
        <w:t xml:space="preserve">The main challenges have also been used in the further analysis. </w:t>
      </w:r>
    </w:p>
    <w:p w14:paraId="6450D857" w14:textId="77777777" w:rsidR="00820A53" w:rsidRDefault="00820A53" w:rsidP="00820A53"/>
    <w:p w14:paraId="0C8861E4" w14:textId="77777777" w:rsidR="00820A53" w:rsidRDefault="00820A53" w:rsidP="00820A53">
      <w:r>
        <w:t xml:space="preserve">For each challenge the following has been done: </w:t>
      </w:r>
    </w:p>
    <w:p w14:paraId="67202AF6" w14:textId="77777777" w:rsidR="00820A53" w:rsidRDefault="00820A53" w:rsidP="00820A53">
      <w:pPr>
        <w:pStyle w:val="Odstavecseseznamem"/>
        <w:numPr>
          <w:ilvl w:val="0"/>
          <w:numId w:val="55"/>
        </w:numPr>
        <w:ind w:left="1134" w:hanging="283"/>
      </w:pPr>
      <w:r>
        <w:t xml:space="preserve">Discussion of </w:t>
      </w:r>
      <w:r w:rsidRPr="000145AC">
        <w:t xml:space="preserve">the details of the </w:t>
      </w:r>
      <w:r>
        <w:t xml:space="preserve">DNSH challenge, </w:t>
      </w:r>
      <w:r w:rsidRPr="000145AC">
        <w:t>as identified during consultations with various Czech authorities</w:t>
      </w:r>
      <w:r>
        <w:t xml:space="preserve">, the Commission services and through other EU Member States who are receiving support on DNSH implementation through the Technical Support Instrument (TSI); </w:t>
      </w:r>
    </w:p>
    <w:p w14:paraId="581D15FA" w14:textId="77777777" w:rsidR="00820A53" w:rsidRDefault="00820A53" w:rsidP="00820A53">
      <w:pPr>
        <w:pStyle w:val="Odstavecseseznamem"/>
        <w:numPr>
          <w:ilvl w:val="0"/>
          <w:numId w:val="55"/>
        </w:numPr>
        <w:ind w:left="1134" w:hanging="283"/>
      </w:pPr>
      <w:r>
        <w:t xml:space="preserve">Presentation of a relevant </w:t>
      </w:r>
      <w:r w:rsidRPr="00FC268C">
        <w:rPr>
          <w:i/>
          <w:iCs/>
        </w:rPr>
        <w:t>‘focus case’</w:t>
      </w:r>
      <w:r>
        <w:t xml:space="preserve"> presented by one (or more) of the selected Member States on how the identified challenge can be overcome; and </w:t>
      </w:r>
    </w:p>
    <w:p w14:paraId="6EE10643" w14:textId="77777777" w:rsidR="00820A53" w:rsidRPr="000145AC" w:rsidRDefault="00820A53" w:rsidP="00820A53">
      <w:pPr>
        <w:pStyle w:val="Odstavecseseznamem"/>
        <w:numPr>
          <w:ilvl w:val="0"/>
          <w:numId w:val="55"/>
        </w:numPr>
        <w:ind w:left="1134" w:hanging="283"/>
      </w:pPr>
      <w:r>
        <w:t xml:space="preserve">Analysis of replicability </w:t>
      </w:r>
      <w:r w:rsidRPr="000145AC">
        <w:t>of the focus cases and practices to Czechia</w:t>
      </w:r>
      <w:r>
        <w:t xml:space="preserve">. Each of these aspects per identified challenge are described in the sections below. </w:t>
      </w:r>
    </w:p>
    <w:p w14:paraId="49BA2E80" w14:textId="77777777" w:rsidR="00820A53" w:rsidRDefault="00820A53" w:rsidP="00820A53">
      <w:pPr>
        <w:rPr>
          <w:highlight w:val="yellow"/>
        </w:rPr>
      </w:pPr>
    </w:p>
    <w:p w14:paraId="0696CF94" w14:textId="77777777" w:rsidR="00820A53" w:rsidRDefault="00820A53" w:rsidP="00820A53">
      <w:pPr>
        <w:pStyle w:val="Nadpis4"/>
      </w:pPr>
      <w:r>
        <w:t>Governance processes of the application of the DNSH principle</w:t>
      </w:r>
    </w:p>
    <w:p w14:paraId="62A60388" w14:textId="77777777" w:rsidR="00820A53" w:rsidRDefault="00820A53" w:rsidP="00820A53">
      <w:r>
        <w:t xml:space="preserve">In relation to this DNSH challenge, Member States often face difficulties to identify a </w:t>
      </w:r>
      <w:r w:rsidRPr="00831A5B">
        <w:rPr>
          <w:b/>
          <w:bCs/>
        </w:rPr>
        <w:t>central authority</w:t>
      </w:r>
      <w:r>
        <w:t xml:space="preserve"> with a mandate to govern the DNSH process, and at the same time, </w:t>
      </w:r>
      <w:r w:rsidRPr="00831A5B">
        <w:rPr>
          <w:b/>
          <w:bCs/>
        </w:rPr>
        <w:t>involving all relevant authorities</w:t>
      </w:r>
      <w:r>
        <w:t xml:space="preserve"> and striking a balance between </w:t>
      </w:r>
      <w:r w:rsidRPr="00831A5B">
        <w:t xml:space="preserve">sole governance process consistent across all programmes, sectors and investments, while </w:t>
      </w:r>
      <w:r w:rsidRPr="00831A5B">
        <w:rPr>
          <w:b/>
          <w:bCs/>
        </w:rPr>
        <w:t>maintaining flexibility</w:t>
      </w:r>
      <w:r w:rsidRPr="00831A5B">
        <w:t xml:space="preserve"> to involve sectoral expertise and specialised authorities during DNSH assessments</w:t>
      </w:r>
      <w:r>
        <w:t xml:space="preserve">. Introducing an effective governance system allows for a minimised administrative burden and consistency of DNSH assessments across authorities. </w:t>
      </w:r>
    </w:p>
    <w:p w14:paraId="15E25D0A" w14:textId="77777777" w:rsidR="00820A53" w:rsidRDefault="00820A53" w:rsidP="00820A53"/>
    <w:p w14:paraId="2817F9F0" w14:textId="77777777" w:rsidR="00820A53" w:rsidRDefault="00820A53" w:rsidP="00820A53">
      <w:r>
        <w:t xml:space="preserve">Two Member States (Spain and Austria) presented good practices regarding this given challenge, centralised </w:t>
      </w:r>
      <w:r w:rsidRPr="00831A5B">
        <w:rPr>
          <w:b/>
          <w:bCs/>
        </w:rPr>
        <w:t>governance system and capacity building by the DNSH Division</w:t>
      </w:r>
      <w:r w:rsidRPr="00831A5B">
        <w:t xml:space="preserve"> </w:t>
      </w:r>
      <w:r>
        <w:t xml:space="preserve">for the Recovery and Resilience Plan </w:t>
      </w:r>
      <w:r w:rsidRPr="00831A5B">
        <w:rPr>
          <w:b/>
          <w:bCs/>
        </w:rPr>
        <w:t>in Spain</w:t>
      </w:r>
      <w:r w:rsidRPr="00831A5B">
        <w:t xml:space="preserve"> and the </w:t>
      </w:r>
      <w:r w:rsidRPr="00831A5B">
        <w:rPr>
          <w:b/>
          <w:bCs/>
        </w:rPr>
        <w:t xml:space="preserve">DNSH </w:t>
      </w:r>
      <w:r>
        <w:rPr>
          <w:b/>
          <w:bCs/>
        </w:rPr>
        <w:t>H</w:t>
      </w:r>
      <w:r w:rsidRPr="00831A5B">
        <w:rPr>
          <w:b/>
          <w:bCs/>
        </w:rPr>
        <w:t>elpdesk</w:t>
      </w:r>
      <w:r w:rsidRPr="00831A5B">
        <w:t xml:space="preserve"> </w:t>
      </w:r>
      <w:r w:rsidRPr="00831A5B">
        <w:rPr>
          <w:b/>
          <w:bCs/>
        </w:rPr>
        <w:t>in Belgium</w:t>
      </w:r>
      <w:r>
        <w:t xml:space="preserve">. </w:t>
      </w:r>
      <w:r w:rsidRPr="00D92EFA">
        <w:t>The Spanish DNSH Division acts as a ‘</w:t>
      </w:r>
      <w:r w:rsidRPr="00FC268C">
        <w:rPr>
          <w:i/>
          <w:iCs/>
        </w:rPr>
        <w:t>central expertise hub’</w:t>
      </w:r>
      <w:r w:rsidRPr="00D92EFA">
        <w:t xml:space="preserve">, which assists different Ministries with DNSH compliance when designing (new) </w:t>
      </w:r>
      <w:r w:rsidRPr="00D92EFA">
        <w:lastRenderedPageBreak/>
        <w:t xml:space="preserve">programme calls, trains civil servants and develops materials for systematic DNSH assessments across all sectors, types of instruments, and jurisdictions. The Belgian DNSH Helpdesk, </w:t>
      </w:r>
      <w:r>
        <w:t xml:space="preserve">also, offers assistance to public federal authorities, offers trainings of funding authorities and project developers, prepares materials </w:t>
      </w:r>
      <w:r w:rsidRPr="00D92EFA">
        <w:t>to support authorities and project developers</w:t>
      </w:r>
      <w:r>
        <w:t xml:space="preserve"> and is responsible for communication activities to all public, private, federal, and regional stakeholders about good practices. </w:t>
      </w:r>
      <w:r w:rsidRPr="00D92EFA">
        <w:t xml:space="preserve"> </w:t>
      </w:r>
    </w:p>
    <w:p w14:paraId="3ADC3398" w14:textId="77777777" w:rsidR="00820A53" w:rsidRDefault="00820A53" w:rsidP="00820A53"/>
    <w:p w14:paraId="2CB42C08" w14:textId="77777777" w:rsidR="00820A53" w:rsidRPr="00D92EFA" w:rsidRDefault="00820A53" w:rsidP="00820A53">
      <w:r>
        <w:t>With regards to replicability of these solutions to the Czech context, t</w:t>
      </w:r>
      <w:r w:rsidRPr="00D92EFA">
        <w:t xml:space="preserve">he creation of a dedicated team </w:t>
      </w:r>
      <w:r>
        <w:t xml:space="preserve">similar to the Spanish or Belgian teams </w:t>
      </w:r>
      <w:r w:rsidRPr="00D92EFA">
        <w:t>would provide targeted support for the implementation of DNSH guidelines through different Operational Programmes (OP) and funds. This would require designing a clear mandate, proper resources, and clarification of the repartition of roles with managing authorities (i.e., final responsibility, quality assurance, data collection, etc.). A Czech DNSH Division or DNSH</w:t>
      </w:r>
      <w:r>
        <w:t xml:space="preserve"> Desk could then have the</w:t>
      </w:r>
      <w:r w:rsidRPr="00D92EFA">
        <w:t xml:space="preserve"> capacity to roll-out and implement the Czech national DNSH guidelines, similar to the Spanish and Belgian guidance documents.</w:t>
      </w:r>
    </w:p>
    <w:p w14:paraId="1709F245" w14:textId="77777777" w:rsidR="00820A53" w:rsidRDefault="00820A53" w:rsidP="00820A53"/>
    <w:p w14:paraId="739FFFDA" w14:textId="77777777" w:rsidR="00820A53" w:rsidRDefault="00820A53" w:rsidP="00820A53">
      <w:pPr>
        <w:pStyle w:val="Nadpis4"/>
      </w:pPr>
      <w:r>
        <w:t>Implementation of simplified and detailed DNSH assessments</w:t>
      </w:r>
    </w:p>
    <w:p w14:paraId="5C2756A3" w14:textId="77777777" w:rsidR="00820A53" w:rsidRDefault="00820A53" w:rsidP="00820A53">
      <w:r>
        <w:t xml:space="preserve">The second challenge focused on a number of specific issues related to DNSH implementation: </w:t>
      </w:r>
    </w:p>
    <w:p w14:paraId="6C33A293" w14:textId="77777777" w:rsidR="00820A53" w:rsidRDefault="00820A53" w:rsidP="00820A53">
      <w:pPr>
        <w:pStyle w:val="Odstavecseseznamem"/>
        <w:numPr>
          <w:ilvl w:val="0"/>
          <w:numId w:val="56"/>
        </w:numPr>
        <w:ind w:left="1134" w:hanging="283"/>
      </w:pPr>
      <w:r>
        <w:t>D</w:t>
      </w:r>
      <w:r w:rsidRPr="00B4087F">
        <w:t>evelopment of efficient ex-ante screening methodologies, considering differences of DNSH guidelines across different EU Funds</w:t>
      </w:r>
      <w:r>
        <w:t xml:space="preserve">; </w:t>
      </w:r>
    </w:p>
    <w:p w14:paraId="13F0C8CE" w14:textId="77777777" w:rsidR="00820A53" w:rsidRDefault="00820A53" w:rsidP="00820A53">
      <w:pPr>
        <w:pStyle w:val="Odstavecseseznamem"/>
        <w:numPr>
          <w:ilvl w:val="0"/>
          <w:numId w:val="56"/>
        </w:numPr>
        <w:ind w:left="1134" w:hanging="283"/>
      </w:pPr>
      <w:r>
        <w:t>D</w:t>
      </w:r>
      <w:r w:rsidRPr="00B4087F">
        <w:t>efinition of the concept “significant harm” and of “sufficient” DNSH assessments</w:t>
      </w:r>
      <w:r>
        <w:t>; and iii) s</w:t>
      </w:r>
      <w:r w:rsidRPr="00B4087F">
        <w:t>trik</w:t>
      </w:r>
      <w:r>
        <w:t>ing</w:t>
      </w:r>
      <w:r w:rsidRPr="00B4087F">
        <w:t xml:space="preserve"> for a balance between standardi</w:t>
      </w:r>
      <w:r>
        <w:t>s</w:t>
      </w:r>
      <w:r w:rsidRPr="00B4087F">
        <w:t>ation and sector-relevant questions</w:t>
      </w:r>
      <w:r>
        <w:t xml:space="preserve">. </w:t>
      </w:r>
    </w:p>
    <w:p w14:paraId="175453CA" w14:textId="77777777" w:rsidR="00820A53" w:rsidRDefault="00820A53" w:rsidP="00820A53"/>
    <w:p w14:paraId="191F34C4" w14:textId="77777777" w:rsidR="00820A53" w:rsidRPr="00B4087F" w:rsidRDefault="00820A53" w:rsidP="00820A53">
      <w:r>
        <w:t xml:space="preserve">Two Member States (Finland and Slovakia) shared their existing practices applicable to this challenge. In Slovakia a </w:t>
      </w:r>
      <w:r w:rsidRPr="00B4087F">
        <w:rPr>
          <w:b/>
          <w:bCs/>
        </w:rPr>
        <w:t>sectoral approach to DNSH for buildings</w:t>
      </w:r>
      <w:r>
        <w:t xml:space="preserve"> has been developed, </w:t>
      </w:r>
      <w:r w:rsidRPr="00B4087F">
        <w:rPr>
          <w:b/>
          <w:bCs/>
        </w:rPr>
        <w:t>with a comprehensive and granular methodology</w:t>
      </w:r>
      <w:r>
        <w:t xml:space="preserve">. </w:t>
      </w:r>
      <w:r w:rsidRPr="00B4087F">
        <w:t xml:space="preserve">The process adheres to the DNSH guidelines outlined in the RRF Regulation and incorporates green tag conditions that establish verification mechanisms, ensuring consistency with climate mitigation efforts and the minimum safeguards required for the other five </w:t>
      </w:r>
      <w:r>
        <w:t>EU</w:t>
      </w:r>
      <w:r w:rsidRPr="00B4087F">
        <w:t xml:space="preserve"> environmental goals. In addition, a checklist has been developed to assist ministries in aligning their open calls with the DNSH principle</w:t>
      </w:r>
      <w:r>
        <w:t xml:space="preserve">, which </w:t>
      </w:r>
      <w:r w:rsidRPr="00B4087F">
        <w:t>ensures that the criteria for different types of calls involving building investments are relevant.</w:t>
      </w:r>
      <w:r>
        <w:t xml:space="preserve"> In Finland, a </w:t>
      </w:r>
      <w:r w:rsidRPr="003D2BF8">
        <w:rPr>
          <w:b/>
          <w:bCs/>
        </w:rPr>
        <w:t>priority order law for environmental permitting</w:t>
      </w:r>
      <w:r>
        <w:t xml:space="preserve"> has been introduced. Under this national law, </w:t>
      </w:r>
      <w:r w:rsidRPr="003D2BF8">
        <w:t>priority</w:t>
      </w:r>
      <w:r>
        <w:t xml:space="preserve"> is given</w:t>
      </w:r>
      <w:r w:rsidRPr="003D2BF8">
        <w:t xml:space="preserve"> to (infrastructure) projects in the environmental permitting process which have gone through a DNSH assessment. The DNSH principle is therefore used as a “tool” for determining which projects are eligible for fast-track handling of the environmental permit, as long as the projects fall within the sectoral scope and conditions of the priority order law.</w:t>
      </w:r>
    </w:p>
    <w:p w14:paraId="5D380883" w14:textId="77777777" w:rsidR="00820A53" w:rsidRDefault="00820A53" w:rsidP="00820A53"/>
    <w:p w14:paraId="49AB641A" w14:textId="77777777" w:rsidR="00820A53" w:rsidRDefault="00820A53" w:rsidP="00820A53">
      <w:r>
        <w:t xml:space="preserve">As to the replicability of the Slovak approach to the Czech context, </w:t>
      </w:r>
      <w:r w:rsidRPr="00510677">
        <w:t xml:space="preserve">Czechia has focused on developing </w:t>
      </w:r>
      <w:r w:rsidRPr="003D2BF8">
        <w:rPr>
          <w:bCs/>
        </w:rPr>
        <w:t>sector-agnostic framework guidelines</w:t>
      </w:r>
      <w:r>
        <w:t xml:space="preserve"> (rather than on sector-specific framework). </w:t>
      </w:r>
      <w:r w:rsidRPr="003D2BF8">
        <w:t>While complete decentralization of the DNSH process may hinder standardization and create inconsistencies among methodologies, the development of sector-specific guidelines could help ministries assess DNSH projects more effectively.</w:t>
      </w:r>
      <w:r>
        <w:t xml:space="preserve"> A </w:t>
      </w:r>
      <w:r w:rsidRPr="003D2BF8">
        <w:t>potential solution could be to centrali</w:t>
      </w:r>
      <w:r>
        <w:t>s</w:t>
      </w:r>
      <w:r w:rsidRPr="003D2BF8">
        <w:t xml:space="preserve">e the development and governance of guidelines for the </w:t>
      </w:r>
      <w:r>
        <w:t>(</w:t>
      </w:r>
      <w:r w:rsidRPr="003D2BF8">
        <w:t>building</w:t>
      </w:r>
      <w:r>
        <w:t>)</w:t>
      </w:r>
      <w:r w:rsidRPr="003D2BF8">
        <w:t xml:space="preserve"> sector</w:t>
      </w:r>
      <w:r>
        <w:t xml:space="preserve">, ensuring these are aligned </w:t>
      </w:r>
      <w:r w:rsidRPr="003D2BF8">
        <w:t>with the existing national sector-agnostic guidelines, which could help address concerns about inconsistency</w:t>
      </w:r>
      <w:r>
        <w:t xml:space="preserve">. Regarding the replicability of the Finnish approach, </w:t>
      </w:r>
      <w:r w:rsidRPr="003D2BF8">
        <w:t>It is unlikely that developing a priority order law for environmental permitting in Czechia can be replicated easily in the short term</w:t>
      </w:r>
      <w:r>
        <w:t xml:space="preserve">, as there is </w:t>
      </w:r>
      <w:r w:rsidRPr="003D2BF8">
        <w:t>no existing legislative framework to support such action</w:t>
      </w:r>
      <w:r>
        <w:t xml:space="preserve">, and </w:t>
      </w:r>
      <w:r w:rsidRPr="003D2BF8">
        <w:t>it may not be easy to gain political support for such an initiative.</w:t>
      </w:r>
    </w:p>
    <w:p w14:paraId="4F2C2378" w14:textId="77777777" w:rsidR="00820A53" w:rsidRDefault="00820A53" w:rsidP="00820A53"/>
    <w:p w14:paraId="6B598D41" w14:textId="77777777" w:rsidR="00820A53" w:rsidRPr="000145AC" w:rsidRDefault="00820A53" w:rsidP="00820A53">
      <w:pPr>
        <w:pStyle w:val="Nadpis4"/>
      </w:pPr>
      <w:r>
        <w:lastRenderedPageBreak/>
        <w:t>Application of DNSH principle to R&amp;D and green innovation projects</w:t>
      </w:r>
    </w:p>
    <w:p w14:paraId="658CEE92" w14:textId="77777777" w:rsidR="00820A53" w:rsidRDefault="00820A53" w:rsidP="00820A53">
      <w:r w:rsidRPr="00D450C5">
        <w:t xml:space="preserve">Assessing DNSH in </w:t>
      </w:r>
      <w:r>
        <w:t>R&amp;D and green</w:t>
      </w:r>
      <w:r w:rsidRPr="00D450C5">
        <w:t xml:space="preserve"> innovati</w:t>
      </w:r>
      <w:r>
        <w:t>on</w:t>
      </w:r>
      <w:r w:rsidRPr="00D450C5">
        <w:t xml:space="preserve"> projects was found to be a particularly challenging task for Czech authorities, given that many initiatives are unlikely to have substantial adverse environmental impacts</w:t>
      </w:r>
      <w:r>
        <w:t>, with a number of specific challenges:</w:t>
      </w:r>
    </w:p>
    <w:p w14:paraId="6AA94FE5" w14:textId="77777777" w:rsidR="00820A53" w:rsidRDefault="00820A53" w:rsidP="00820A53">
      <w:pPr>
        <w:pStyle w:val="Odstavecseseznamem"/>
        <w:numPr>
          <w:ilvl w:val="0"/>
          <w:numId w:val="57"/>
        </w:numPr>
        <w:ind w:left="1134" w:hanging="283"/>
      </w:pPr>
      <w:r>
        <w:t>D</w:t>
      </w:r>
      <w:r w:rsidRPr="00A846B6">
        <w:t>eveloping alternative criteria for assessing projects that are not covered by existing DNSH guidance and/or by the EU Taxonomy Delegated Acts;</w:t>
      </w:r>
    </w:p>
    <w:p w14:paraId="7C6B03DE" w14:textId="77777777" w:rsidR="00820A53" w:rsidRDefault="00820A53" w:rsidP="00820A53">
      <w:pPr>
        <w:pStyle w:val="Odstavecseseznamem"/>
        <w:numPr>
          <w:ilvl w:val="0"/>
          <w:numId w:val="57"/>
        </w:numPr>
        <w:ind w:left="1134" w:hanging="283"/>
      </w:pPr>
      <w:r>
        <w:t>Striking a balance between standardisation and consideration of projects’ specificities; and</w:t>
      </w:r>
    </w:p>
    <w:p w14:paraId="30804945" w14:textId="77777777" w:rsidR="00820A53" w:rsidRDefault="00820A53" w:rsidP="00820A53">
      <w:pPr>
        <w:pStyle w:val="Odstavecseseznamem"/>
        <w:numPr>
          <w:ilvl w:val="0"/>
          <w:numId w:val="57"/>
        </w:numPr>
        <w:ind w:left="1134" w:hanging="283"/>
      </w:pPr>
      <w:r>
        <w:t>Developing additional policies and methodologies to classify and measure investments in innovative green technologies.</w:t>
      </w:r>
    </w:p>
    <w:p w14:paraId="4487AC04" w14:textId="77777777" w:rsidR="00820A53" w:rsidRDefault="00820A53" w:rsidP="00820A53"/>
    <w:p w14:paraId="23DEE807" w14:textId="77777777" w:rsidR="00820A53" w:rsidRDefault="00820A53" w:rsidP="00820A53">
      <w:r>
        <w:t xml:space="preserve">Two Member States (Finland and Austria) have existing approaches to this challenge. In Finland there is a state-owned company, </w:t>
      </w:r>
      <w:r w:rsidRPr="00A846B6">
        <w:rPr>
          <w:b/>
          <w:bCs/>
        </w:rPr>
        <w:t>Climate Fund</w:t>
      </w:r>
      <w:r>
        <w:t xml:space="preserve">, </w:t>
      </w:r>
      <w:r w:rsidRPr="00A846B6">
        <w:t>that invests in the scaling up of climate solutions with significant emissions reduction potential</w:t>
      </w:r>
      <w:r>
        <w:t xml:space="preserve">. </w:t>
      </w:r>
      <w:r w:rsidRPr="005162FF">
        <w:rPr>
          <w:lang w:val="en-GB"/>
        </w:rPr>
        <w:t xml:space="preserve">The </w:t>
      </w:r>
      <w:r>
        <w:t>F</w:t>
      </w:r>
      <w:r w:rsidRPr="005162FF">
        <w:rPr>
          <w:lang w:val="en-GB"/>
        </w:rPr>
        <w:t xml:space="preserve">und follows a specific set of </w:t>
      </w:r>
      <w:r>
        <w:rPr>
          <w:lang w:val="en-GB"/>
        </w:rPr>
        <w:t xml:space="preserve">3 </w:t>
      </w:r>
      <w:r w:rsidRPr="005162FF">
        <w:rPr>
          <w:lang w:val="en-GB"/>
        </w:rPr>
        <w:t>preconditions for investment proposals</w:t>
      </w:r>
      <w:r>
        <w:rPr>
          <w:lang w:val="en-GB"/>
        </w:rPr>
        <w:t>, one</w:t>
      </w:r>
      <w:r w:rsidRPr="005162FF">
        <w:rPr>
          <w:lang w:val="en-GB"/>
        </w:rPr>
        <w:t xml:space="preserve"> of </w:t>
      </w:r>
      <w:r>
        <w:rPr>
          <w:lang w:val="en-GB"/>
        </w:rPr>
        <w:t>them</w:t>
      </w:r>
      <w:r w:rsidRPr="005162FF">
        <w:rPr>
          <w:lang w:val="en-GB"/>
        </w:rPr>
        <w:t xml:space="preserve"> being </w:t>
      </w:r>
      <w:r>
        <w:rPr>
          <w:lang w:val="en-GB"/>
        </w:rPr>
        <w:t xml:space="preserve">the </w:t>
      </w:r>
      <w:r w:rsidRPr="005162FF">
        <w:rPr>
          <w:lang w:val="en-GB"/>
        </w:rPr>
        <w:t xml:space="preserve">alignment with </w:t>
      </w:r>
      <w:r>
        <w:rPr>
          <w:lang w:val="en-GB"/>
        </w:rPr>
        <w:t>the</w:t>
      </w:r>
      <w:r w:rsidRPr="005162FF">
        <w:rPr>
          <w:lang w:val="en-GB"/>
        </w:rPr>
        <w:t xml:space="preserve"> DNSH</w:t>
      </w:r>
      <w:r>
        <w:rPr>
          <w:lang w:val="en-GB"/>
        </w:rPr>
        <w:t xml:space="preserve"> principle, using either existing DNSH assessments or the EU taxonomy’s Delegated Acts as a starting point for the assessment.</w:t>
      </w:r>
      <w:r>
        <w:t xml:space="preserve"> In Austria they are making use of </w:t>
      </w:r>
      <w:r>
        <w:rPr>
          <w:b/>
          <w:bCs/>
        </w:rPr>
        <w:t>green budgeting</w:t>
      </w:r>
      <w:r>
        <w:t xml:space="preserve"> </w:t>
      </w:r>
      <w:r w:rsidRPr="00A846B6">
        <w:t>as a holistic methodology to identify and invest in green activities.</w:t>
      </w:r>
      <w:r>
        <w:t xml:space="preserve"> </w:t>
      </w:r>
      <w:r w:rsidRPr="00A846B6">
        <w:t>The</w:t>
      </w:r>
      <w:r>
        <w:t>re are plans to</w:t>
      </w:r>
      <w:r w:rsidRPr="00A846B6">
        <w:t xml:space="preserve"> extend this approach to regional budgeting and to interlink green budgeting with the DNSH principle, since conceptually, green budgeting can be used to estimate DNSH compliance.</w:t>
      </w:r>
    </w:p>
    <w:p w14:paraId="39780E77" w14:textId="77777777" w:rsidR="00820A53" w:rsidRDefault="00820A53" w:rsidP="00820A53"/>
    <w:p w14:paraId="4DCFAE5E" w14:textId="77777777" w:rsidR="00820A53" w:rsidRPr="00A846B6" w:rsidRDefault="00820A53" w:rsidP="00820A53">
      <w:pPr>
        <w:rPr>
          <w:lang w:val="en-GB"/>
        </w:rPr>
      </w:pPr>
      <w:r>
        <w:t xml:space="preserve">Regarding replicability of </w:t>
      </w:r>
      <w:r w:rsidRPr="00A846B6">
        <w:t>a dedicated process for innovative investments (based on the Finnish model)</w:t>
      </w:r>
      <w:r>
        <w:t xml:space="preserve"> in Czechia, </w:t>
      </w:r>
      <w:r w:rsidRPr="00A846B6">
        <w:t>a series of changes are needed to allow for the replication of the practice. Compared to the approach of the Finnish Climate Fund, the involvement of Czech topical and sectoral experts is not institutionalized; there appears to be a division of roles “in silos” across managing authorities. The possibility to rely on experts is thus conditioned on a clearer institutionalization to incentivize coordination between authorities.</w:t>
      </w:r>
      <w:r>
        <w:t xml:space="preserve"> Regarding the replicability </w:t>
      </w:r>
      <w:r w:rsidRPr="00C339FB">
        <w:t>of green budgeting (based on the Austrian model)</w:t>
      </w:r>
      <w:r>
        <w:t xml:space="preserve">, it is unlikely on the short term but could be considered in the medium term, following </w:t>
      </w:r>
      <w:r w:rsidRPr="00C339FB">
        <w:t>full institutionalization of DNSH practices and processes across all Czech Ministries and managing authorities</w:t>
      </w:r>
      <w:r>
        <w:t xml:space="preserve">. </w:t>
      </w:r>
    </w:p>
    <w:p w14:paraId="7B8AB557" w14:textId="225EA5CC" w:rsidR="006A2AFA" w:rsidRDefault="006A2AFA" w:rsidP="006A2AFA">
      <w:pPr>
        <w:rPr>
          <w:highlight w:val="yellow"/>
        </w:rPr>
      </w:pPr>
      <w:r>
        <w:rPr>
          <w:highlight w:val="yellow"/>
        </w:rPr>
        <w:br w:type="page"/>
      </w:r>
    </w:p>
    <w:p w14:paraId="343A8C9E" w14:textId="6DB413F5" w:rsidR="00E475BB" w:rsidRDefault="00324D08" w:rsidP="008A0799">
      <w:pPr>
        <w:pStyle w:val="Nadpis1"/>
        <w:tabs>
          <w:tab w:val="clear" w:pos="851"/>
          <w:tab w:val="left" w:pos="567"/>
        </w:tabs>
        <w:ind w:left="567" w:hanging="567"/>
      </w:pPr>
      <w:bookmarkStart w:id="6" w:name="_Toc131775824"/>
      <w:r>
        <w:lastRenderedPageBreak/>
        <w:t>Introduction</w:t>
      </w:r>
      <w:bookmarkEnd w:id="6"/>
    </w:p>
    <w:p w14:paraId="00603359" w14:textId="0C48A31D" w:rsidR="007B2A43" w:rsidRPr="007B2A43" w:rsidRDefault="007B2A43" w:rsidP="007B2A43">
      <w:pPr>
        <w:pStyle w:val="Nadpis2"/>
      </w:pPr>
      <w:bookmarkStart w:id="7" w:name="_Toc131775825"/>
      <w:r>
        <w:t>Developing DNSH guidelines in Czechia</w:t>
      </w:r>
      <w:bookmarkEnd w:id="7"/>
    </w:p>
    <w:p w14:paraId="73EB98E9" w14:textId="2D810714" w:rsidR="003B51DD" w:rsidRDefault="00EF5008" w:rsidP="00037384">
      <w:pPr>
        <w:rPr>
          <w:lang w:val="en-GB"/>
        </w:rPr>
      </w:pPr>
      <w:r w:rsidRPr="00EF5008">
        <w:t xml:space="preserve">The European Green Deal aims to make Europe climate neutral by 2050. To reach this goal, support from various EU funds and programmes are instrumental for Czechia. Czechia has allocated 42% of </w:t>
      </w:r>
      <w:r w:rsidR="00DA5608">
        <w:t xml:space="preserve">its </w:t>
      </w:r>
      <w:r w:rsidRPr="00EF5008">
        <w:t>Recovery and Resilience Facility (RRF) funds to support the domestic green transition. When preparing its Recovery and Resilience Plan under the RRF, Czechia has confirmed its compliance with the DNSH principle, which is defined by Article 17 of the Taxonomy Regulation. This principle can also be recognised</w:t>
      </w:r>
      <w:r w:rsidR="00105851">
        <w:t xml:space="preserve">, </w:t>
      </w:r>
      <w:r w:rsidRPr="00EF5008">
        <w:t>though to a lesser extent</w:t>
      </w:r>
      <w:r w:rsidR="00105851">
        <w:t xml:space="preserve">, </w:t>
      </w:r>
      <w:r w:rsidRPr="00EF5008">
        <w:t>in other established EU funded programmes such as the Just Transition, InvestEU, Horizon Europe</w:t>
      </w:r>
      <w:r w:rsidR="00EB281F">
        <w:t>, Cohesion</w:t>
      </w:r>
      <w:r w:rsidRPr="00EF5008">
        <w:t xml:space="preserve"> </w:t>
      </w:r>
      <w:r w:rsidR="00C17FA2">
        <w:t>Policy Funds</w:t>
      </w:r>
      <w:r w:rsidR="00EC73C1">
        <w:t xml:space="preserve">. </w:t>
      </w:r>
      <w:r w:rsidRPr="00EF5008">
        <w:t>Czechia intends to increase its administrative capabilities and knowledge on the application of the DNSH principle to ensure that reforms and investments planned in the country are in line with EU and national climate and environmental targets.</w:t>
      </w:r>
    </w:p>
    <w:p w14:paraId="73F6AB67" w14:textId="77777777" w:rsidR="003B51DD" w:rsidRDefault="003B51DD" w:rsidP="00037384">
      <w:pPr>
        <w:rPr>
          <w:lang w:val="en-GB"/>
        </w:rPr>
      </w:pPr>
    </w:p>
    <w:p w14:paraId="0BB7296E" w14:textId="20B9857C" w:rsidR="004D20CD" w:rsidRDefault="009F4DAA" w:rsidP="00037384">
      <w:pPr>
        <w:rPr>
          <w:lang w:val="en-GB"/>
        </w:rPr>
      </w:pPr>
      <w:r>
        <w:rPr>
          <w:lang w:val="en-GB"/>
        </w:rPr>
        <w:t>‘</w:t>
      </w:r>
      <w:r w:rsidRPr="00771227">
        <w:rPr>
          <w:i/>
          <w:lang w:val="en-GB"/>
        </w:rPr>
        <w:t xml:space="preserve">Methodology for the Application of the ‘Do No Significant Harm’ (DNSH) </w:t>
      </w:r>
      <w:r w:rsidRPr="00771227">
        <w:rPr>
          <w:i/>
          <w:iCs/>
          <w:lang w:val="en-GB"/>
        </w:rPr>
        <w:t>principle</w:t>
      </w:r>
      <w:r w:rsidR="00771227">
        <w:rPr>
          <w:lang w:val="en-GB"/>
        </w:rPr>
        <w:t>’</w:t>
      </w:r>
      <w:r>
        <w:rPr>
          <w:lang w:val="en-GB"/>
        </w:rPr>
        <w:t xml:space="preserve">, is </w:t>
      </w:r>
      <w:r w:rsidR="00055E7C">
        <w:rPr>
          <w:lang w:val="en-GB"/>
        </w:rPr>
        <w:t>a project funded b</w:t>
      </w:r>
      <w:r w:rsidR="007F33E4">
        <w:rPr>
          <w:lang w:val="en-GB"/>
        </w:rPr>
        <w:t xml:space="preserve">y the European Commission </w:t>
      </w:r>
      <w:r w:rsidR="00F11808">
        <w:rPr>
          <w:lang w:val="en-GB"/>
        </w:rPr>
        <w:t xml:space="preserve">via the Technical Support Instrument </w:t>
      </w:r>
      <w:r w:rsidR="00771227">
        <w:rPr>
          <w:lang w:val="en-GB"/>
        </w:rPr>
        <w:t>(TSI)</w:t>
      </w:r>
      <w:r w:rsidR="00EC73C1">
        <w:rPr>
          <w:lang w:val="en-GB"/>
        </w:rPr>
        <w:t>,</w:t>
      </w:r>
      <w:r w:rsidR="00F11808">
        <w:rPr>
          <w:lang w:val="en-GB"/>
        </w:rPr>
        <w:t xml:space="preserve"> </w:t>
      </w:r>
      <w:r w:rsidR="00732951">
        <w:rPr>
          <w:lang w:val="en-GB"/>
        </w:rPr>
        <w:t xml:space="preserve">where the competent authorities of the Czech Republic </w:t>
      </w:r>
      <w:r w:rsidR="000054CE">
        <w:rPr>
          <w:lang w:val="en-GB"/>
        </w:rPr>
        <w:t xml:space="preserve">are the beneficiary. </w:t>
      </w:r>
    </w:p>
    <w:p w14:paraId="4E021022" w14:textId="77777777" w:rsidR="004D20CD" w:rsidRDefault="004D20CD" w:rsidP="00037384">
      <w:pPr>
        <w:rPr>
          <w:lang w:val="en-GB"/>
        </w:rPr>
      </w:pPr>
    </w:p>
    <w:p w14:paraId="6C2415EB" w14:textId="3D424D18" w:rsidR="00037384" w:rsidRDefault="001E1B51" w:rsidP="00037384">
      <w:pPr>
        <w:rPr>
          <w:lang w:val="en-GB"/>
        </w:rPr>
      </w:pPr>
      <w:r>
        <w:rPr>
          <w:lang w:val="en-GB"/>
        </w:rPr>
        <w:t>Th</w:t>
      </w:r>
      <w:r w:rsidR="005C43BF">
        <w:rPr>
          <w:lang w:val="en-GB"/>
        </w:rPr>
        <w:t>is</w:t>
      </w:r>
      <w:r>
        <w:rPr>
          <w:lang w:val="en-GB"/>
        </w:rPr>
        <w:t xml:space="preserve"> TSI project </w:t>
      </w:r>
      <w:r w:rsidR="003F18BC">
        <w:rPr>
          <w:lang w:val="en-GB"/>
        </w:rPr>
        <w:t>specifically provides the following support:</w:t>
      </w:r>
    </w:p>
    <w:p w14:paraId="632B4302" w14:textId="7E9809DF" w:rsidR="00582285" w:rsidRPr="00582285" w:rsidRDefault="00582285" w:rsidP="005C43BF">
      <w:pPr>
        <w:pStyle w:val="Bulletpoint"/>
        <w:ind w:left="851" w:hanging="284"/>
      </w:pPr>
      <w:r w:rsidRPr="003B51DD">
        <w:t xml:space="preserve">Identifying and understanding existing mechanisms and guidelines for the application of </w:t>
      </w:r>
      <w:r w:rsidR="00EC73C1">
        <w:t xml:space="preserve">the </w:t>
      </w:r>
      <w:r w:rsidRPr="003B51DD">
        <w:t>DNSH</w:t>
      </w:r>
      <w:r w:rsidR="00EC73C1">
        <w:t xml:space="preserve"> principle</w:t>
      </w:r>
      <w:r w:rsidRPr="003B51DD">
        <w:t xml:space="preserve"> in the Czech context as well as in other EU</w:t>
      </w:r>
      <w:r w:rsidR="003B51DD">
        <w:t xml:space="preserve"> </w:t>
      </w:r>
      <w:r w:rsidRPr="003B51DD">
        <w:t>Member States.</w:t>
      </w:r>
    </w:p>
    <w:p w14:paraId="3A496275" w14:textId="4F5FDC1D" w:rsidR="00582285" w:rsidRPr="00582285" w:rsidRDefault="00582285" w:rsidP="005C43BF">
      <w:pPr>
        <w:pStyle w:val="Bulletpoint"/>
        <w:ind w:left="851" w:hanging="284"/>
      </w:pPr>
      <w:r w:rsidRPr="003B51DD">
        <w:t>Creating DNSH guidelines for Czech funding authorities and funding beneficiaries</w:t>
      </w:r>
      <w:r w:rsidR="00EC73C1">
        <w:t>,</w:t>
      </w:r>
      <w:r w:rsidRPr="003B51DD">
        <w:t xml:space="preserve"> and delivering capacity building and communication material on the national guidelines to the Czech authorities who provide funding.</w:t>
      </w:r>
    </w:p>
    <w:p w14:paraId="797CE44F" w14:textId="1B109545" w:rsidR="003F18BC" w:rsidRPr="003F18BC" w:rsidRDefault="00582285" w:rsidP="005C43BF">
      <w:pPr>
        <w:pStyle w:val="Bulletpoint"/>
        <w:ind w:left="851" w:hanging="284"/>
      </w:pPr>
      <w:r w:rsidRPr="003B51DD">
        <w:t xml:space="preserve">Providing accompanying support for implementation of the national DNSH guidelines, including organisation of </w:t>
      </w:r>
      <w:r w:rsidR="00DF12A2">
        <w:t>webinars</w:t>
      </w:r>
      <w:r w:rsidRPr="003B51DD">
        <w:t xml:space="preserve"> to raise awareness and share experiences nationally and at EU-level. </w:t>
      </w:r>
    </w:p>
    <w:p w14:paraId="0F879BB9" w14:textId="246C6630" w:rsidR="006D1046" w:rsidRDefault="006D1046" w:rsidP="00037384">
      <w:pPr>
        <w:rPr>
          <w:lang w:val="en-GB"/>
        </w:rPr>
      </w:pPr>
    </w:p>
    <w:p w14:paraId="211F0B1E" w14:textId="27E6ADB6" w:rsidR="009B7E8C" w:rsidRDefault="009B7E8C" w:rsidP="00037384">
      <w:pPr>
        <w:rPr>
          <w:lang w:val="en-GB"/>
        </w:rPr>
      </w:pPr>
      <w:r>
        <w:rPr>
          <w:lang w:val="en-GB"/>
        </w:rPr>
        <w:t>As mentioned above</w:t>
      </w:r>
      <w:r w:rsidR="00E03B4E">
        <w:rPr>
          <w:lang w:val="en-GB"/>
        </w:rPr>
        <w:t xml:space="preserve">, the project contributes to the implementation of the Green Deal, </w:t>
      </w:r>
      <w:r w:rsidR="00E21BE4">
        <w:rPr>
          <w:lang w:val="en-GB"/>
        </w:rPr>
        <w:t xml:space="preserve">hence </w:t>
      </w:r>
      <w:r w:rsidR="003F2F13">
        <w:rPr>
          <w:lang w:val="en-GB"/>
        </w:rPr>
        <w:t xml:space="preserve">the results of the project ought to be </w:t>
      </w:r>
      <w:r w:rsidR="00470494">
        <w:rPr>
          <w:lang w:val="en-GB"/>
        </w:rPr>
        <w:t>twofold; namely</w:t>
      </w:r>
      <w:r w:rsidR="00EC73C1">
        <w:rPr>
          <w:lang w:val="en-GB"/>
        </w:rPr>
        <w:t>,</w:t>
      </w:r>
      <w:r w:rsidR="00470494">
        <w:rPr>
          <w:lang w:val="en-GB"/>
        </w:rPr>
        <w:t xml:space="preserve"> </w:t>
      </w:r>
      <w:r w:rsidR="001C31D6">
        <w:rPr>
          <w:lang w:val="en-GB"/>
        </w:rPr>
        <w:t>providing</w:t>
      </w:r>
      <w:r w:rsidR="00470494">
        <w:rPr>
          <w:lang w:val="en-GB"/>
        </w:rPr>
        <w:t xml:space="preserve"> Czech</w:t>
      </w:r>
      <w:r w:rsidR="001C31D6">
        <w:rPr>
          <w:lang w:val="en-GB"/>
        </w:rPr>
        <w:t xml:space="preserve"> authorities with practical and usable results</w:t>
      </w:r>
      <w:r w:rsidR="00470494">
        <w:rPr>
          <w:lang w:val="en-GB"/>
        </w:rPr>
        <w:t xml:space="preserve"> </w:t>
      </w:r>
      <w:r w:rsidR="001C31D6">
        <w:rPr>
          <w:lang w:val="en-GB"/>
        </w:rPr>
        <w:t xml:space="preserve">and </w:t>
      </w:r>
      <w:r w:rsidR="00D44882">
        <w:rPr>
          <w:lang w:val="en-GB"/>
        </w:rPr>
        <w:t xml:space="preserve">demonstrating an added value of sharing lessons </w:t>
      </w:r>
      <w:r w:rsidR="00105851">
        <w:rPr>
          <w:lang w:val="en-GB"/>
        </w:rPr>
        <w:t>among EU Member States and the E</w:t>
      </w:r>
      <w:r w:rsidR="006449E4">
        <w:rPr>
          <w:lang w:val="en-GB"/>
        </w:rPr>
        <w:t>uropean Commission. The impact</w:t>
      </w:r>
      <w:r w:rsidR="00EC73C1">
        <w:rPr>
          <w:lang w:val="en-GB"/>
        </w:rPr>
        <w:t xml:space="preserve"> and</w:t>
      </w:r>
      <w:r w:rsidR="006449E4">
        <w:rPr>
          <w:lang w:val="en-GB"/>
        </w:rPr>
        <w:t xml:space="preserve"> goals of this project are understood as follows:</w:t>
      </w:r>
    </w:p>
    <w:p w14:paraId="0BB8F1F4" w14:textId="1A530F13" w:rsidR="006449E4" w:rsidRDefault="000E7C02" w:rsidP="005C43BF">
      <w:pPr>
        <w:pStyle w:val="Odstavecseseznamem"/>
        <w:ind w:left="851" w:hanging="284"/>
      </w:pPr>
      <w:r>
        <w:t>Enhanced capacity</w:t>
      </w:r>
      <w:r w:rsidR="006449E4">
        <w:t xml:space="preserve"> of the Czech authorities </w:t>
      </w:r>
      <w:r>
        <w:t xml:space="preserve">to integrate the application of the DNSH principle and </w:t>
      </w:r>
      <w:r w:rsidR="00EB6E74">
        <w:t>climate proofing</w:t>
      </w:r>
      <w:r>
        <w:t xml:space="preserve"> guidelines into public investments; and</w:t>
      </w:r>
    </w:p>
    <w:p w14:paraId="36A48290" w14:textId="46A055A5" w:rsidR="000E7C02" w:rsidRPr="00037384" w:rsidRDefault="00EB6E74" w:rsidP="005C43BF">
      <w:pPr>
        <w:pStyle w:val="Odstavecseseznamem"/>
        <w:ind w:left="851" w:hanging="284"/>
      </w:pPr>
      <w:r>
        <w:t>Ability of the beneficiary authorities to integrate the DNSH principle and climate proofin</w:t>
      </w:r>
      <w:r w:rsidR="00303FA4">
        <w:t>g</w:t>
      </w:r>
      <w:r>
        <w:t xml:space="preserve"> application as part of their standard procedures. To this end, the</w:t>
      </w:r>
      <w:r w:rsidR="001F18D0">
        <w:t xml:space="preserve"> project is developing a clear set of guidelines and tools to facilitate their use</w:t>
      </w:r>
      <w:r w:rsidR="00303FA4">
        <w:t xml:space="preserve"> by relevant stakeholders</w:t>
      </w:r>
      <w:r w:rsidR="001F18D0">
        <w:t xml:space="preserve"> (both by the competent authorities and</w:t>
      </w:r>
      <w:r w:rsidR="00EC73C1">
        <w:t xml:space="preserve"> by</w:t>
      </w:r>
      <w:r w:rsidR="001F18D0">
        <w:t xml:space="preserve"> private stakeholders</w:t>
      </w:r>
      <w:r w:rsidR="00303FA4">
        <w:t xml:space="preserve">), including training sessions of these stakeholders, where necessary.  </w:t>
      </w:r>
    </w:p>
    <w:p w14:paraId="7F868567" w14:textId="77777777" w:rsidR="00110F76" w:rsidRDefault="00110F76" w:rsidP="00037384">
      <w:pPr>
        <w:rPr>
          <w:highlight w:val="yellow"/>
        </w:rPr>
      </w:pPr>
    </w:p>
    <w:p w14:paraId="7189763F" w14:textId="0758F10C" w:rsidR="003B51DD" w:rsidRDefault="00110F76" w:rsidP="00037384">
      <w:r w:rsidRPr="00110F76">
        <w:t>In summary, a</w:t>
      </w:r>
      <w:r w:rsidR="006B1F87" w:rsidRPr="00110F76">
        <w:t>s a result</w:t>
      </w:r>
      <w:r w:rsidRPr="00110F76">
        <w:t xml:space="preserve"> of this project</w:t>
      </w:r>
      <w:r w:rsidR="00EC73C1">
        <w:t>, the</w:t>
      </w:r>
      <w:r w:rsidR="006B1F87" w:rsidRPr="00110F76">
        <w:t xml:space="preserve"> Czech authorities will have a good understanding of how public funds are currently directed to help achieve climate and energy objectives. They will have the capability to quickly and reliably make funding decisions that accelerate the green transition and do not cause harm to the environment.</w:t>
      </w:r>
      <w:r w:rsidR="006703CD">
        <w:t xml:space="preserve"> </w:t>
      </w:r>
      <w:r w:rsidR="00AE4494">
        <w:t xml:space="preserve"> </w:t>
      </w:r>
    </w:p>
    <w:p w14:paraId="125CF0F9" w14:textId="6E53CE52" w:rsidR="00EA353A" w:rsidRDefault="008A0799" w:rsidP="00110F76">
      <w:pPr>
        <w:ind w:left="0"/>
      </w:pPr>
      <w:r>
        <w:br w:type="page"/>
      </w:r>
    </w:p>
    <w:p w14:paraId="30F4D40C" w14:textId="6DA6D1F0" w:rsidR="00A9468F" w:rsidRDefault="00A9468F" w:rsidP="00A9468F">
      <w:pPr>
        <w:pStyle w:val="Nadpis2"/>
      </w:pPr>
      <w:bookmarkStart w:id="8" w:name="_Toc131775826"/>
      <w:r>
        <w:lastRenderedPageBreak/>
        <w:t>Objectives and structure of th</w:t>
      </w:r>
      <w:r w:rsidR="00C54B61">
        <w:t>is</w:t>
      </w:r>
      <w:r>
        <w:t xml:space="preserve"> report</w:t>
      </w:r>
      <w:bookmarkEnd w:id="8"/>
    </w:p>
    <w:p w14:paraId="4F4B150D" w14:textId="4F788129" w:rsidR="00312DDF" w:rsidRDefault="009E2DA5" w:rsidP="009E2DA5">
      <w:pPr>
        <w:rPr>
          <w:lang w:val="en-GB"/>
        </w:rPr>
      </w:pPr>
      <w:r>
        <w:rPr>
          <w:lang w:val="en-GB"/>
        </w:rPr>
        <w:t xml:space="preserve">The objective of </w:t>
      </w:r>
      <w:r w:rsidR="00E35128">
        <w:rPr>
          <w:lang w:val="en-GB"/>
        </w:rPr>
        <w:t>the peer learning</w:t>
      </w:r>
      <w:r w:rsidR="004C47FE">
        <w:rPr>
          <w:lang w:val="en-GB"/>
        </w:rPr>
        <w:t xml:space="preserve"> is</w:t>
      </w:r>
      <w:r>
        <w:rPr>
          <w:lang w:val="en-GB"/>
        </w:rPr>
        <w:t xml:space="preserve"> to identif</w:t>
      </w:r>
      <w:r w:rsidR="004C47FE">
        <w:rPr>
          <w:lang w:val="en-GB"/>
        </w:rPr>
        <w:t>y</w:t>
      </w:r>
      <w:r>
        <w:rPr>
          <w:lang w:val="en-GB"/>
        </w:rPr>
        <w:t xml:space="preserve"> lessons learned and</w:t>
      </w:r>
      <w:r w:rsidR="00EC73C1">
        <w:rPr>
          <w:lang w:val="en-GB"/>
        </w:rPr>
        <w:t xml:space="preserve"> share insights into the</w:t>
      </w:r>
      <w:r>
        <w:rPr>
          <w:lang w:val="en-GB"/>
        </w:rPr>
        <w:t xml:space="preserve"> </w:t>
      </w:r>
      <w:r w:rsidR="005E2E01">
        <w:rPr>
          <w:lang w:val="en-GB"/>
        </w:rPr>
        <w:t xml:space="preserve">existing practices </w:t>
      </w:r>
      <w:r w:rsidR="002E5EA6">
        <w:rPr>
          <w:lang w:val="en-GB"/>
        </w:rPr>
        <w:t xml:space="preserve">of </w:t>
      </w:r>
      <w:r w:rsidR="00060334">
        <w:rPr>
          <w:lang w:val="en-GB"/>
        </w:rPr>
        <w:t>peer EU</w:t>
      </w:r>
      <w:r w:rsidR="002E5EA6">
        <w:rPr>
          <w:lang w:val="en-GB"/>
        </w:rPr>
        <w:t xml:space="preserve"> Member States, </w:t>
      </w:r>
      <w:r w:rsidR="00017DE5">
        <w:rPr>
          <w:lang w:val="en-GB"/>
        </w:rPr>
        <w:t xml:space="preserve">with a focus on those </w:t>
      </w:r>
      <w:r w:rsidR="002E5EA6">
        <w:rPr>
          <w:lang w:val="en-GB"/>
        </w:rPr>
        <w:t>that are relevant for the Czech context. The overarching aim of this deliverable</w:t>
      </w:r>
      <w:r w:rsidR="00017DE5">
        <w:rPr>
          <w:lang w:val="en-GB"/>
        </w:rPr>
        <w:t>, however,</w:t>
      </w:r>
      <w:r w:rsidR="002E5EA6">
        <w:rPr>
          <w:lang w:val="en-GB"/>
        </w:rPr>
        <w:t xml:space="preserve"> is to</w:t>
      </w:r>
      <w:r w:rsidR="00F44426">
        <w:rPr>
          <w:lang w:val="en-GB"/>
        </w:rPr>
        <w:t xml:space="preserve"> gather </w:t>
      </w:r>
      <w:r w:rsidR="00BD2F0B">
        <w:rPr>
          <w:lang w:val="en-GB"/>
        </w:rPr>
        <w:t xml:space="preserve">lessons learned and existing (good) practices applicable to all Member States. </w:t>
      </w:r>
    </w:p>
    <w:p w14:paraId="7D058191" w14:textId="77777777" w:rsidR="00312DDF" w:rsidRDefault="00312DDF" w:rsidP="009E2DA5">
      <w:pPr>
        <w:rPr>
          <w:lang w:val="en-GB"/>
        </w:rPr>
      </w:pPr>
    </w:p>
    <w:p w14:paraId="335A0EDA" w14:textId="5DD12747" w:rsidR="009E2DA5" w:rsidRDefault="00021411" w:rsidP="009E2DA5">
      <w:r>
        <w:rPr>
          <w:lang w:val="en-GB"/>
        </w:rPr>
        <w:t>This</w:t>
      </w:r>
      <w:r w:rsidR="00256054">
        <w:rPr>
          <w:lang w:val="en-GB"/>
        </w:rPr>
        <w:t xml:space="preserve"> report </w:t>
      </w:r>
      <w:r w:rsidR="002037CF">
        <w:rPr>
          <w:lang w:val="en-GB"/>
        </w:rPr>
        <w:t xml:space="preserve">is </w:t>
      </w:r>
      <w:r w:rsidR="00B90625">
        <w:rPr>
          <w:lang w:val="en-GB"/>
        </w:rPr>
        <w:t xml:space="preserve">also </w:t>
      </w:r>
      <w:r w:rsidR="002037CF">
        <w:rPr>
          <w:lang w:val="en-GB"/>
        </w:rPr>
        <w:t xml:space="preserve">intended to become a </w:t>
      </w:r>
      <w:r w:rsidR="002037CF">
        <w:t>reference document for a wider DNSH community within the EU</w:t>
      </w:r>
      <w:r w:rsidR="00EC73C1">
        <w:t>,</w:t>
      </w:r>
      <w:r w:rsidR="002037CF">
        <w:t xml:space="preserve"> and is expected to be sharable beyond this project. It follows the following structure</w:t>
      </w:r>
      <w:r w:rsidR="00EC73C1">
        <w:t>.</w:t>
      </w:r>
    </w:p>
    <w:p w14:paraId="68F1ECCC" w14:textId="1D0AB207" w:rsidR="002037CF" w:rsidRDefault="002037CF" w:rsidP="005C43BF">
      <w:pPr>
        <w:pStyle w:val="Odstavecseseznamem"/>
        <w:numPr>
          <w:ilvl w:val="0"/>
          <w:numId w:val="11"/>
        </w:numPr>
        <w:ind w:left="851" w:hanging="284"/>
      </w:pPr>
      <w:r w:rsidRPr="00CE0B46">
        <w:rPr>
          <w:b/>
          <w:bCs/>
        </w:rPr>
        <w:t xml:space="preserve">Executive </w:t>
      </w:r>
      <w:r w:rsidR="004D20CD">
        <w:rPr>
          <w:b/>
          <w:bCs/>
        </w:rPr>
        <w:t>S</w:t>
      </w:r>
      <w:r w:rsidRPr="00CE0B46">
        <w:rPr>
          <w:b/>
          <w:bCs/>
        </w:rPr>
        <w:t>ummary</w:t>
      </w:r>
      <w:r>
        <w:t>;</w:t>
      </w:r>
    </w:p>
    <w:p w14:paraId="3DE556CD" w14:textId="7B7C8C07" w:rsidR="002037CF" w:rsidRDefault="002037CF" w:rsidP="005C43BF">
      <w:pPr>
        <w:pStyle w:val="Odstavecseseznamem"/>
        <w:numPr>
          <w:ilvl w:val="0"/>
          <w:numId w:val="11"/>
        </w:numPr>
        <w:ind w:left="851" w:hanging="284"/>
      </w:pPr>
      <w:r w:rsidRPr="00CE0B46">
        <w:rPr>
          <w:b/>
          <w:bCs/>
        </w:rPr>
        <w:t>Introduction</w:t>
      </w:r>
      <w:r>
        <w:t xml:space="preserve"> </w:t>
      </w:r>
      <w:r w:rsidR="00CE0B46">
        <w:t xml:space="preserve">- </w:t>
      </w:r>
      <w:r>
        <w:t>the chapter at hand, which is setting the scene and context of the project as a whole as well of this deliverable;</w:t>
      </w:r>
    </w:p>
    <w:p w14:paraId="44421223" w14:textId="51486DA5" w:rsidR="002037CF" w:rsidRDefault="00274386" w:rsidP="005C43BF">
      <w:pPr>
        <w:pStyle w:val="Odstavecseseznamem"/>
        <w:numPr>
          <w:ilvl w:val="0"/>
          <w:numId w:val="11"/>
        </w:numPr>
        <w:ind w:left="851" w:hanging="284"/>
      </w:pPr>
      <w:r w:rsidRPr="00CE0B46">
        <w:rPr>
          <w:b/>
          <w:bCs/>
        </w:rPr>
        <w:t>Identification of</w:t>
      </w:r>
      <w:r w:rsidR="00565F71" w:rsidRPr="00CE0B46">
        <w:rPr>
          <w:b/>
          <w:bCs/>
        </w:rPr>
        <w:t xml:space="preserve"> </w:t>
      </w:r>
      <w:r w:rsidR="00CE0B46" w:rsidRPr="00CE0B46">
        <w:rPr>
          <w:b/>
          <w:bCs/>
        </w:rPr>
        <w:t>good practices and lessons learned</w:t>
      </w:r>
      <w:r w:rsidR="00CE0B46">
        <w:t xml:space="preserve"> – </w:t>
      </w:r>
      <w:r w:rsidR="00EC73C1">
        <w:t xml:space="preserve">this section </w:t>
      </w:r>
      <w:r w:rsidR="00CE0B46">
        <w:t xml:space="preserve">provides an overview of the process for reviewing and selecting up to </w:t>
      </w:r>
      <w:r w:rsidR="00EC73C1">
        <w:t xml:space="preserve">five </w:t>
      </w:r>
      <w:r w:rsidR="00CE0B46">
        <w:t>other EU Member States in terms of their good practices (and examples) and lessons learnt a</w:t>
      </w:r>
      <w:r w:rsidR="00EC73C1">
        <w:t xml:space="preserve">bout </w:t>
      </w:r>
      <w:r w:rsidR="00CE0B46">
        <w:t>the application of the DNSH principle under the RRF and beyond</w:t>
      </w:r>
      <w:r w:rsidR="003513B4">
        <w:t>;</w:t>
      </w:r>
    </w:p>
    <w:p w14:paraId="1A8E1F0E" w14:textId="63F1660C" w:rsidR="00CE0B46" w:rsidRPr="00A47676" w:rsidRDefault="00CE0B46" w:rsidP="005C43BF">
      <w:pPr>
        <w:pStyle w:val="Odstavecseseznamem"/>
        <w:numPr>
          <w:ilvl w:val="0"/>
          <w:numId w:val="11"/>
        </w:numPr>
        <w:ind w:left="851" w:hanging="284"/>
        <w:rPr>
          <w:lang w:val="en-US"/>
        </w:rPr>
      </w:pPr>
      <w:r w:rsidRPr="00CE0B46">
        <w:rPr>
          <w:b/>
          <w:bCs/>
        </w:rPr>
        <w:t>Analysis of good practices and lessons learned</w:t>
      </w:r>
      <w:r w:rsidR="00A47676">
        <w:t xml:space="preserve"> – </w:t>
      </w:r>
      <w:r w:rsidR="00EC73C1">
        <w:t>this part</w:t>
      </w:r>
      <w:r w:rsidR="00A47676">
        <w:t xml:space="preserve"> </w:t>
      </w:r>
      <w:r w:rsidR="00A47676" w:rsidRPr="00A47676">
        <w:rPr>
          <w:lang w:val="en-US"/>
        </w:rPr>
        <w:t>provides an overview of the challenges related to the application of the DNSH principle in terms of governance, detailed and simplified assessments, and R&amp;D and green technologies</w:t>
      </w:r>
      <w:r w:rsidR="00A47676">
        <w:rPr>
          <w:lang w:val="en-US"/>
        </w:rPr>
        <w:t>;</w:t>
      </w:r>
    </w:p>
    <w:p w14:paraId="2AE6D69E" w14:textId="4CAF8429" w:rsidR="00CE0B46" w:rsidRDefault="00CE0B46" w:rsidP="005C43BF">
      <w:pPr>
        <w:pStyle w:val="Odstavecseseznamem"/>
        <w:numPr>
          <w:ilvl w:val="0"/>
          <w:numId w:val="11"/>
        </w:numPr>
        <w:ind w:left="851" w:hanging="284"/>
      </w:pPr>
      <w:r w:rsidRPr="00CE0B46">
        <w:rPr>
          <w:b/>
          <w:bCs/>
        </w:rPr>
        <w:t>Peer-learning exchange webinars</w:t>
      </w:r>
      <w:r w:rsidR="00A47676">
        <w:rPr>
          <w:b/>
          <w:bCs/>
        </w:rPr>
        <w:t xml:space="preserve"> – </w:t>
      </w:r>
      <w:r w:rsidR="00EC73C1">
        <w:t>this section</w:t>
      </w:r>
      <w:r w:rsidR="00A47676">
        <w:t xml:space="preserve"> </w:t>
      </w:r>
      <w:r w:rsidR="00A47676" w:rsidRPr="00197DBE">
        <w:t>provide</w:t>
      </w:r>
      <w:r w:rsidR="00EC73C1">
        <w:t>s</w:t>
      </w:r>
      <w:r w:rsidR="00A47676" w:rsidRPr="00197DBE">
        <w:t xml:space="preserve"> </w:t>
      </w:r>
      <w:r w:rsidR="00A47676">
        <w:t>reflections on the process for organising the webinars and evaluate</w:t>
      </w:r>
      <w:r w:rsidR="00EC73C1">
        <w:t>s</w:t>
      </w:r>
      <w:r w:rsidR="00A47676">
        <w:t xml:space="preserve"> the</w:t>
      </w:r>
      <w:r w:rsidR="00195337">
        <w:t>ir</w:t>
      </w:r>
      <w:r w:rsidR="00A47676">
        <w:t xml:space="preserve"> outcomes</w:t>
      </w:r>
      <w:r w:rsidR="009D7800">
        <w:t xml:space="preserve">. It also shows </w:t>
      </w:r>
      <w:r w:rsidR="00A47676">
        <w:t>how the peer-learning webinars can/will inform further</w:t>
      </w:r>
      <w:r w:rsidR="00A47676">
        <w:rPr>
          <w:b/>
          <w:bCs/>
        </w:rPr>
        <w:t xml:space="preserve"> </w:t>
      </w:r>
      <w:r w:rsidR="00A47676" w:rsidRPr="00A47676">
        <w:t>deliverables</w:t>
      </w:r>
      <w:r>
        <w:t>; and</w:t>
      </w:r>
    </w:p>
    <w:p w14:paraId="172F0BE0" w14:textId="0F268987" w:rsidR="00CE0B46" w:rsidRDefault="00CE0B46" w:rsidP="005C43BF">
      <w:pPr>
        <w:pStyle w:val="Odstavecseseznamem"/>
        <w:numPr>
          <w:ilvl w:val="0"/>
          <w:numId w:val="11"/>
        </w:numPr>
        <w:ind w:left="851" w:hanging="284"/>
      </w:pPr>
      <w:r w:rsidRPr="00CE0B46">
        <w:rPr>
          <w:b/>
          <w:bCs/>
        </w:rPr>
        <w:t>Annex</w:t>
      </w:r>
      <w:r w:rsidR="00A47676" w:rsidRPr="00A47676">
        <w:t xml:space="preserve">, </w:t>
      </w:r>
      <w:r w:rsidR="00990838">
        <w:t>including</w:t>
      </w:r>
      <w:r w:rsidR="00990838" w:rsidRPr="00A47676">
        <w:t xml:space="preserve"> </w:t>
      </w:r>
      <w:r w:rsidR="00A47676" w:rsidRPr="00A47676">
        <w:t>supporting materials shared with participants ahead of each webinar</w:t>
      </w:r>
      <w:r w:rsidR="00990838">
        <w:t>.</w:t>
      </w:r>
    </w:p>
    <w:p w14:paraId="259ADFAC" w14:textId="58C8ABE4" w:rsidR="00256054" w:rsidRDefault="00256054" w:rsidP="00256054">
      <w:pPr>
        <w:rPr>
          <w:lang w:val="en-GB"/>
        </w:rPr>
      </w:pPr>
    </w:p>
    <w:p w14:paraId="317A1B49" w14:textId="1E81D9B5" w:rsidR="006A2AFA" w:rsidRDefault="00BE5950" w:rsidP="005B07DD">
      <w:r>
        <w:rPr>
          <w:lang w:val="en-GB"/>
        </w:rPr>
        <w:t xml:space="preserve">The findings </w:t>
      </w:r>
      <w:r w:rsidR="002858BA">
        <w:rPr>
          <w:lang w:val="en-GB"/>
        </w:rPr>
        <w:t>of th</w:t>
      </w:r>
      <w:r w:rsidR="00650388">
        <w:rPr>
          <w:lang w:val="en-GB"/>
        </w:rPr>
        <w:t>is</w:t>
      </w:r>
      <w:r w:rsidR="00AD31B3">
        <w:rPr>
          <w:lang w:val="en-GB"/>
        </w:rPr>
        <w:t xml:space="preserve"> peer learning</w:t>
      </w:r>
      <w:r w:rsidR="00AB08CA">
        <w:rPr>
          <w:lang w:val="en-GB"/>
        </w:rPr>
        <w:t xml:space="preserve"> (DVL 3)</w:t>
      </w:r>
      <w:r w:rsidR="00650388">
        <w:rPr>
          <w:lang w:val="en-GB"/>
        </w:rPr>
        <w:t xml:space="preserve"> </w:t>
      </w:r>
      <w:r w:rsidR="002858BA">
        <w:rPr>
          <w:lang w:val="en-GB"/>
        </w:rPr>
        <w:t xml:space="preserve">report will feed into the </w:t>
      </w:r>
      <w:r w:rsidR="00BA0413">
        <w:rPr>
          <w:lang w:val="en-GB"/>
        </w:rPr>
        <w:t>fo</w:t>
      </w:r>
      <w:r w:rsidR="00EC73C1">
        <w:rPr>
          <w:lang w:val="en-GB"/>
        </w:rPr>
        <w:t>rthcoming</w:t>
      </w:r>
      <w:r w:rsidR="00BA0413">
        <w:rPr>
          <w:lang w:val="en-GB"/>
        </w:rPr>
        <w:t xml:space="preserve"> deliverables</w:t>
      </w:r>
      <w:r w:rsidR="00230F99">
        <w:rPr>
          <w:lang w:val="en-GB"/>
        </w:rPr>
        <w:t xml:space="preserve">. The most important deliverable which will </w:t>
      </w:r>
      <w:r w:rsidR="00CA4DD4">
        <w:rPr>
          <w:lang w:val="en-GB"/>
        </w:rPr>
        <w:t xml:space="preserve">build on the findings of this </w:t>
      </w:r>
      <w:r w:rsidR="00FD3036">
        <w:rPr>
          <w:lang w:val="en-GB"/>
        </w:rPr>
        <w:t xml:space="preserve">one will be </w:t>
      </w:r>
      <w:r w:rsidR="00576FA2">
        <w:rPr>
          <w:lang w:val="en-GB"/>
        </w:rPr>
        <w:t xml:space="preserve">the development of </w:t>
      </w:r>
      <w:r w:rsidR="006637C3">
        <w:rPr>
          <w:lang w:val="en-GB"/>
        </w:rPr>
        <w:t>the actual national DNSH guidelines for Czechia</w:t>
      </w:r>
      <w:r w:rsidR="00576FA2">
        <w:rPr>
          <w:lang w:val="en-GB"/>
        </w:rPr>
        <w:t xml:space="preserve"> (DVL5)</w:t>
      </w:r>
      <w:r w:rsidR="00EC73C1">
        <w:rPr>
          <w:lang w:val="en-GB"/>
        </w:rPr>
        <w:t xml:space="preserve">: </w:t>
      </w:r>
      <w:r w:rsidR="000F07B1">
        <w:t xml:space="preserve">overarching methodological guidelines on the application of the DNSH principle </w:t>
      </w:r>
      <w:r w:rsidR="006A10A4">
        <w:t xml:space="preserve">both </w:t>
      </w:r>
      <w:r w:rsidR="000F07B1">
        <w:t>for authorities managing public investments and for project implementers/grant beneficiaries.</w:t>
      </w:r>
      <w:r w:rsidR="003C7BA9">
        <w:t xml:space="preserve"> </w:t>
      </w:r>
      <w:r w:rsidR="001420E6">
        <w:t>However, it ought to be noted that this report</w:t>
      </w:r>
      <w:r w:rsidR="00224368">
        <w:t xml:space="preserve"> is only reflecting the current situation at the time of its delivery (February 2023), while the </w:t>
      </w:r>
      <w:r w:rsidR="00EC73C1">
        <w:t>application and implementation</w:t>
      </w:r>
      <w:r w:rsidR="00EC73C1" w:rsidDel="00EC73C1">
        <w:t xml:space="preserve"> </w:t>
      </w:r>
      <w:r w:rsidR="00EC73C1">
        <w:t xml:space="preserve">of the </w:t>
      </w:r>
      <w:r w:rsidR="00224368">
        <w:t>DNSH</w:t>
      </w:r>
      <w:r w:rsidR="00EC73C1">
        <w:t xml:space="preserve"> principle </w:t>
      </w:r>
      <w:r w:rsidR="00A04646">
        <w:t xml:space="preserve">is </w:t>
      </w:r>
      <w:r w:rsidR="00082A81">
        <w:t xml:space="preserve">an ongoing and evolving matter. </w:t>
      </w:r>
    </w:p>
    <w:p w14:paraId="3207B325" w14:textId="77777777" w:rsidR="0039352F" w:rsidRDefault="0039352F" w:rsidP="006A2AFA"/>
    <w:p w14:paraId="2EEC85AC" w14:textId="1386B27D" w:rsidR="006A2AFA" w:rsidRDefault="006A2AFA" w:rsidP="006A2AFA">
      <w:r>
        <w:br w:type="page"/>
      </w:r>
    </w:p>
    <w:p w14:paraId="240368E3" w14:textId="2FC458D9" w:rsidR="003A623E" w:rsidRDefault="00CA2049" w:rsidP="008A0799">
      <w:pPr>
        <w:pStyle w:val="Nadpis1"/>
        <w:tabs>
          <w:tab w:val="clear" w:pos="851"/>
          <w:tab w:val="left" w:pos="567"/>
        </w:tabs>
        <w:ind w:left="567" w:hanging="567"/>
      </w:pPr>
      <w:bookmarkStart w:id="9" w:name="_Toc131775827"/>
      <w:r>
        <w:lastRenderedPageBreak/>
        <w:t>Identification of</w:t>
      </w:r>
      <w:r w:rsidR="008F0A11">
        <w:t xml:space="preserve"> good practices</w:t>
      </w:r>
      <w:r w:rsidR="00347C25">
        <w:t xml:space="preserve"> and lessons learned</w:t>
      </w:r>
      <w:bookmarkEnd w:id="9"/>
    </w:p>
    <w:p w14:paraId="77F4D015" w14:textId="08877C03" w:rsidR="008324C4" w:rsidRDefault="000B279D" w:rsidP="00FC1E69">
      <w:r>
        <w:t>This chapter</w:t>
      </w:r>
      <w:r w:rsidR="00E86E5E">
        <w:t xml:space="preserve"> provides an overview of</w:t>
      </w:r>
      <w:r w:rsidR="00363273">
        <w:t xml:space="preserve"> the process for </w:t>
      </w:r>
      <w:r w:rsidR="005C5550">
        <w:t xml:space="preserve">reviewing and </w:t>
      </w:r>
      <w:r w:rsidR="00363273">
        <w:t>selecting</w:t>
      </w:r>
      <w:r w:rsidR="004506A8">
        <w:t xml:space="preserve"> up to </w:t>
      </w:r>
      <w:r w:rsidR="008A6BD8">
        <w:t>five (</w:t>
      </w:r>
      <w:r w:rsidR="004506A8">
        <w:t>5</w:t>
      </w:r>
      <w:r w:rsidR="008A6BD8">
        <w:t>) peer</w:t>
      </w:r>
      <w:r w:rsidR="004506A8">
        <w:t xml:space="preserve"> EU Member States</w:t>
      </w:r>
      <w:r w:rsidR="00671164">
        <w:t xml:space="preserve"> with </w:t>
      </w:r>
      <w:r w:rsidR="005C5550">
        <w:t>good practices</w:t>
      </w:r>
      <w:r w:rsidR="008A6BD8">
        <w:t>,</w:t>
      </w:r>
      <w:r w:rsidR="005C5550">
        <w:t xml:space="preserve"> examples and lessons learn</w:t>
      </w:r>
      <w:r w:rsidR="00B311D6">
        <w:t xml:space="preserve">t </w:t>
      </w:r>
      <w:r w:rsidR="00EC73C1">
        <w:t xml:space="preserve">related to </w:t>
      </w:r>
      <w:r w:rsidR="00B311D6">
        <w:t>the application of the DNSH principle under the RRF</w:t>
      </w:r>
      <w:r w:rsidR="00152CDF">
        <w:t>, the Cohesion Policy Funds (CPF)</w:t>
      </w:r>
      <w:r w:rsidR="00EC73C1">
        <w:t>,</w:t>
      </w:r>
      <w:r w:rsidR="00B311D6">
        <w:t xml:space="preserve"> and beyond</w:t>
      </w:r>
      <w:r w:rsidR="000D2BC5">
        <w:t xml:space="preserve">. </w:t>
      </w:r>
      <w:r w:rsidR="00135BBA">
        <w:t>T</w:t>
      </w:r>
      <w:r w:rsidR="00FC1E69">
        <w:t>he peer learning exchange webinars</w:t>
      </w:r>
      <w:r w:rsidR="000D7176">
        <w:t xml:space="preserve"> </w:t>
      </w:r>
      <w:r w:rsidR="000D2BC5">
        <w:t>were specifically tail</w:t>
      </w:r>
      <w:r w:rsidR="00C540D2">
        <w:t>ored to the needs of</w:t>
      </w:r>
      <w:r w:rsidR="000D7176">
        <w:t xml:space="preserve"> Czech authorities</w:t>
      </w:r>
      <w:r w:rsidR="00135BBA">
        <w:t>, wh</w:t>
      </w:r>
      <w:r w:rsidR="003100E2">
        <w:t>ich</w:t>
      </w:r>
      <w:r w:rsidR="00135BBA">
        <w:t xml:space="preserve"> </w:t>
      </w:r>
      <w:r w:rsidR="003100E2">
        <w:t>were part of the selection process</w:t>
      </w:r>
      <w:r w:rsidR="00B311D6">
        <w:t>.</w:t>
      </w:r>
      <w:r w:rsidR="00461743">
        <w:t xml:space="preserve"> In particular, the chapter will briefly describe the approach taken by the project team for the </w:t>
      </w:r>
      <w:r w:rsidR="002537C9">
        <w:t>horizon-scanning of relevant DNSH practices within the EU</w:t>
      </w:r>
      <w:r w:rsidR="009119E9">
        <w:t>, a</w:t>
      </w:r>
      <w:r w:rsidR="00EC73C1">
        <w:t xml:space="preserve">nd </w:t>
      </w:r>
      <w:r w:rsidR="009119E9">
        <w:t xml:space="preserve">how the selection matrix has been adjusted </w:t>
      </w:r>
      <w:r w:rsidR="001C309A">
        <w:t xml:space="preserve">and updated </w:t>
      </w:r>
      <w:r w:rsidR="009119E9">
        <w:t>compared to the inception report (DLV1)</w:t>
      </w:r>
      <w:r w:rsidR="001C309A">
        <w:t xml:space="preserve"> for the actual selection process of the peer EU Member States</w:t>
      </w:r>
      <w:r w:rsidR="00B311D6">
        <w:t>.</w:t>
      </w:r>
    </w:p>
    <w:p w14:paraId="75141477" w14:textId="77777777" w:rsidR="00B311D6" w:rsidRPr="008324C4" w:rsidRDefault="00B311D6" w:rsidP="00162245"/>
    <w:p w14:paraId="6391DFB4" w14:textId="02AB2BD5" w:rsidR="008F0A11" w:rsidRDefault="00E17E3D" w:rsidP="008F0A11">
      <w:pPr>
        <w:pStyle w:val="Nadpis2"/>
      </w:pPr>
      <w:bookmarkStart w:id="10" w:name="_Toc131775828"/>
      <w:r>
        <w:t>Approach</w:t>
      </w:r>
      <w:bookmarkEnd w:id="10"/>
    </w:p>
    <w:p w14:paraId="0E07A984" w14:textId="73D2C6E5" w:rsidR="000471C3" w:rsidRDefault="00AD75A0" w:rsidP="000471C3">
      <w:pPr>
        <w:pStyle w:val="Nadpis4"/>
        <w:rPr>
          <w:lang w:val="en-GB"/>
        </w:rPr>
      </w:pPr>
      <w:r>
        <w:rPr>
          <w:lang w:val="en-GB"/>
        </w:rPr>
        <w:t>A</w:t>
      </w:r>
      <w:r w:rsidR="007F2C07">
        <w:rPr>
          <w:lang w:val="en-GB"/>
        </w:rPr>
        <w:t>pproach for gathering</w:t>
      </w:r>
      <w:r w:rsidR="000471C3">
        <w:rPr>
          <w:lang w:val="en-GB"/>
        </w:rPr>
        <w:t xml:space="preserve"> </w:t>
      </w:r>
      <w:r w:rsidR="001B459F">
        <w:rPr>
          <w:lang w:val="en-GB"/>
        </w:rPr>
        <w:t xml:space="preserve">insights on </w:t>
      </w:r>
      <w:r w:rsidR="000471C3">
        <w:rPr>
          <w:lang w:val="en-GB"/>
        </w:rPr>
        <w:t>good practices and lessons learned</w:t>
      </w:r>
    </w:p>
    <w:p w14:paraId="2CA916AA" w14:textId="6A56E390" w:rsidR="005400B9" w:rsidRDefault="00610480" w:rsidP="00D36BAF">
      <w:pPr>
        <w:rPr>
          <w:lang w:val="en-GB"/>
        </w:rPr>
      </w:pPr>
      <w:r>
        <w:rPr>
          <w:lang w:val="en-GB"/>
        </w:rPr>
        <w:t>In order to inform the identification</w:t>
      </w:r>
      <w:r w:rsidR="00FC651A">
        <w:rPr>
          <w:lang w:val="en-GB"/>
        </w:rPr>
        <w:t xml:space="preserve"> process of relevant good practices, exa</w:t>
      </w:r>
      <w:r w:rsidR="00694BC9">
        <w:rPr>
          <w:lang w:val="en-GB"/>
        </w:rPr>
        <w:t>mples and lessons learned around the application of the DNSH principle by other peer Member States so far, the project team</w:t>
      </w:r>
      <w:r w:rsidR="00896B44">
        <w:rPr>
          <w:lang w:val="en-GB"/>
        </w:rPr>
        <w:t xml:space="preserve"> </w:t>
      </w:r>
      <w:r w:rsidR="009723F8">
        <w:rPr>
          <w:lang w:val="en-GB"/>
        </w:rPr>
        <w:t xml:space="preserve">has </w:t>
      </w:r>
      <w:r w:rsidR="00896B44">
        <w:rPr>
          <w:lang w:val="en-GB"/>
        </w:rPr>
        <w:t>carr</w:t>
      </w:r>
      <w:r w:rsidR="00726FBB">
        <w:rPr>
          <w:lang w:val="en-GB"/>
        </w:rPr>
        <w:t>ied out the following</w:t>
      </w:r>
      <w:r w:rsidR="00847A98">
        <w:rPr>
          <w:lang w:val="en-GB"/>
        </w:rPr>
        <w:t xml:space="preserve"> review activities</w:t>
      </w:r>
      <w:r w:rsidR="00BF03D4">
        <w:rPr>
          <w:lang w:val="en-GB"/>
        </w:rPr>
        <w:t xml:space="preserve"> and steps</w:t>
      </w:r>
      <w:r w:rsidR="00EC73C1">
        <w:rPr>
          <w:lang w:val="en-GB"/>
        </w:rPr>
        <w:t>.</w:t>
      </w:r>
    </w:p>
    <w:p w14:paraId="3373C7C4" w14:textId="119813C7" w:rsidR="00A00BB4" w:rsidRDefault="001E2E32" w:rsidP="00E503FB">
      <w:pPr>
        <w:pStyle w:val="Odstavecseseznamem"/>
        <w:ind w:left="851" w:hanging="284"/>
      </w:pPr>
      <w:r>
        <w:rPr>
          <w:b/>
          <w:bCs/>
          <w:color w:val="005962"/>
        </w:rPr>
        <w:t xml:space="preserve">[Step 1] </w:t>
      </w:r>
      <w:r w:rsidR="008B2D04" w:rsidRPr="00E503FB">
        <w:rPr>
          <w:b/>
          <w:bCs/>
          <w:color w:val="005962"/>
        </w:rPr>
        <w:t>Desk review</w:t>
      </w:r>
      <w:r w:rsidR="00352E71" w:rsidRPr="00E503FB">
        <w:rPr>
          <w:b/>
          <w:bCs/>
          <w:color w:val="005962"/>
        </w:rPr>
        <w:t>:</w:t>
      </w:r>
      <w:r w:rsidR="00847A98" w:rsidRPr="00E503FB">
        <w:rPr>
          <w:color w:val="005962"/>
        </w:rPr>
        <w:t xml:space="preserve"> </w:t>
      </w:r>
      <w:r w:rsidR="00F60B98">
        <w:t>the project team carried out a</w:t>
      </w:r>
      <w:r w:rsidR="006314FB">
        <w:t xml:space="preserve"> </w:t>
      </w:r>
      <w:r w:rsidR="006314FB" w:rsidRPr="001E2E32">
        <w:rPr>
          <w:b/>
        </w:rPr>
        <w:t>horizon-scanning analysis</w:t>
      </w:r>
      <w:r w:rsidR="00F60B98">
        <w:t xml:space="preserve"> of relevant</w:t>
      </w:r>
      <w:r w:rsidR="00157801">
        <w:t xml:space="preserve"> </w:t>
      </w:r>
      <w:r w:rsidR="00EA6CA7">
        <w:t>existing EU</w:t>
      </w:r>
      <w:r w:rsidR="00876E62">
        <w:t xml:space="preserve"> docu</w:t>
      </w:r>
      <w:r w:rsidR="00B909D3">
        <w:t>ments</w:t>
      </w:r>
      <w:r w:rsidR="00504B45">
        <w:t xml:space="preserve"> </w:t>
      </w:r>
      <w:r w:rsidR="00EA6CA7">
        <w:t xml:space="preserve">and guidance </w:t>
      </w:r>
      <w:r w:rsidR="00504B45">
        <w:t>on</w:t>
      </w:r>
      <w:r w:rsidR="00EA6CA7">
        <w:t xml:space="preserve"> and around the implementation of DN</w:t>
      </w:r>
      <w:r w:rsidR="00CF11B0">
        <w:t>SH (such as the “</w:t>
      </w:r>
      <w:r w:rsidR="00CF11B0" w:rsidRPr="00E503FB">
        <w:rPr>
          <w:i/>
          <w:iCs/>
        </w:rPr>
        <w:t>Technical guidance on the application of the DNSH principle under the RRF Regulation</w:t>
      </w:r>
      <w:r w:rsidR="00D50B84">
        <w:rPr>
          <w:i/>
          <w:iCs/>
        </w:rPr>
        <w:t>”</w:t>
      </w:r>
      <w:r w:rsidR="00FA6D7B" w:rsidRPr="00FA6D7B">
        <w:rPr>
          <w:vertAlign w:val="superscript"/>
          <w:lang w:val="en-IE"/>
        </w:rPr>
        <w:footnoteReference w:id="2"/>
      </w:r>
      <w:r w:rsidR="00440048">
        <w:t>) in order to d</w:t>
      </w:r>
      <w:r w:rsidR="0061557E">
        <w:t>evelop a list of</w:t>
      </w:r>
      <w:r w:rsidR="00BF553B">
        <w:t xml:space="preserve"> guiding principles and</w:t>
      </w:r>
      <w:r w:rsidR="000D3A35">
        <w:t xml:space="preserve"> “</w:t>
      </w:r>
      <w:r w:rsidR="00EE1CB8">
        <w:t>potential</w:t>
      </w:r>
      <w:r w:rsidR="000D3A35">
        <w:t xml:space="preserve">” challenges </w:t>
      </w:r>
      <w:r w:rsidR="00547797">
        <w:t>already identified</w:t>
      </w:r>
      <w:r w:rsidR="00F161BE">
        <w:t xml:space="preserve"> by the Commission</w:t>
      </w:r>
      <w:r w:rsidR="003B353F">
        <w:t xml:space="preserve"> in their application guidance</w:t>
      </w:r>
      <w:r>
        <w:t xml:space="preserve">. </w:t>
      </w:r>
    </w:p>
    <w:p w14:paraId="679AF877" w14:textId="02FE679A" w:rsidR="00E503FB" w:rsidRDefault="001E2E32" w:rsidP="005C43BF">
      <w:pPr>
        <w:pStyle w:val="2ndlevelbulletpoint"/>
        <w:ind w:left="1134" w:hanging="283"/>
      </w:pPr>
      <w:r>
        <w:t>The desk review has</w:t>
      </w:r>
      <w:r w:rsidR="000F1CAD">
        <w:t xml:space="preserve"> provided insights into relevant </w:t>
      </w:r>
      <w:r w:rsidR="00E11A81">
        <w:t xml:space="preserve">determination and refinement of the </w:t>
      </w:r>
      <w:r w:rsidR="000F1CAD" w:rsidRPr="00193573">
        <w:rPr>
          <w:b/>
          <w:bCs/>
        </w:rPr>
        <w:t>selection criteria</w:t>
      </w:r>
      <w:r w:rsidR="00193573" w:rsidRPr="00193573">
        <w:rPr>
          <w:b/>
          <w:bCs/>
        </w:rPr>
        <w:t xml:space="preserve"> </w:t>
      </w:r>
      <w:r w:rsidR="00A00BB4" w:rsidRPr="00A00BB4">
        <w:t xml:space="preserve">within the consolidated selection criteria </w:t>
      </w:r>
      <w:r w:rsidR="00193573" w:rsidRPr="00A00BB4">
        <w:t>matrix</w:t>
      </w:r>
      <w:r w:rsidR="000F1CAD">
        <w:t xml:space="preserve"> </w:t>
      </w:r>
      <w:r w:rsidR="00E11A81">
        <w:t>(see section 3.2)</w:t>
      </w:r>
      <w:r w:rsidR="00EC73C1">
        <w:t>.</w:t>
      </w:r>
    </w:p>
    <w:p w14:paraId="7396C379" w14:textId="77777777" w:rsidR="005400B9" w:rsidRPr="005400B9" w:rsidRDefault="005400B9" w:rsidP="005400B9">
      <w:pPr>
        <w:pStyle w:val="3rdlevelbulletpoint"/>
        <w:numPr>
          <w:ilvl w:val="0"/>
          <w:numId w:val="0"/>
        </w:numPr>
      </w:pPr>
    </w:p>
    <w:p w14:paraId="4207070A" w14:textId="5469DEB5" w:rsidR="005F3D92" w:rsidRDefault="00A00BB4" w:rsidP="00E503FB">
      <w:pPr>
        <w:pStyle w:val="Odstavecseseznamem"/>
        <w:ind w:left="851" w:hanging="284"/>
      </w:pPr>
      <w:r>
        <w:rPr>
          <w:b/>
          <w:bCs/>
          <w:color w:val="005962"/>
        </w:rPr>
        <w:t>[Step 2] Learning from d</w:t>
      </w:r>
      <w:r w:rsidR="006D6A64">
        <w:rPr>
          <w:b/>
          <w:bCs/>
          <w:color w:val="005962"/>
        </w:rPr>
        <w:t xml:space="preserve">iagnostic analysis (DLV2): </w:t>
      </w:r>
      <w:r w:rsidR="001B5714">
        <w:t>through the technical consultations and interviews carried out by the project team as part of the inception phase and diagnostic analysis (DLV2) on the implementation of DNSH in Czechia</w:t>
      </w:r>
      <w:r w:rsidR="001966D3">
        <w:t xml:space="preserve">, the team </w:t>
      </w:r>
      <w:r w:rsidR="00920469">
        <w:t>obtained</w:t>
      </w:r>
      <w:r w:rsidR="001966D3">
        <w:t xml:space="preserve"> </w:t>
      </w:r>
      <w:r w:rsidR="008D3DAC">
        <w:t xml:space="preserve">useful insights and </w:t>
      </w:r>
      <w:r w:rsidR="00EC73C1">
        <w:t xml:space="preserve">an improved </w:t>
      </w:r>
      <w:r w:rsidR="008D3DAC">
        <w:t xml:space="preserve">understanding </w:t>
      </w:r>
      <w:r w:rsidR="00EC73C1">
        <w:t>of</w:t>
      </w:r>
      <w:r w:rsidR="008D3DAC">
        <w:t xml:space="preserve"> the </w:t>
      </w:r>
      <w:r w:rsidR="003E11F8">
        <w:t xml:space="preserve">main challenges </w:t>
      </w:r>
      <w:r w:rsidR="005F7C33">
        <w:t>faced</w:t>
      </w:r>
      <w:r w:rsidR="00664A4B">
        <w:t xml:space="preserve"> by the different</w:t>
      </w:r>
      <w:r w:rsidR="003952FA">
        <w:t xml:space="preserve"> Czech authorities</w:t>
      </w:r>
      <w:r w:rsidR="00411A37">
        <w:t>.</w:t>
      </w:r>
    </w:p>
    <w:p w14:paraId="260EA659" w14:textId="0E443588" w:rsidR="00A00BB4" w:rsidRDefault="003B7B32" w:rsidP="005C43BF">
      <w:pPr>
        <w:pStyle w:val="2ndlevelbulletpoint"/>
        <w:ind w:left="1134" w:hanging="283"/>
      </w:pPr>
      <w:r>
        <w:t>Inputs from the work under DLV2 has</w:t>
      </w:r>
      <w:r w:rsidR="004860E5">
        <w:t xml:space="preserve"> supported the </w:t>
      </w:r>
      <w:r w:rsidR="004860E5" w:rsidRPr="00801DE1">
        <w:rPr>
          <w:b/>
          <w:bCs/>
        </w:rPr>
        <w:t>priority setting</w:t>
      </w:r>
      <w:r w:rsidR="00CF22D0" w:rsidRPr="00801DE1">
        <w:rPr>
          <w:b/>
          <w:bCs/>
        </w:rPr>
        <w:t xml:space="preserve"> </w:t>
      </w:r>
      <w:r w:rsidR="004F47E3" w:rsidRPr="00801DE1">
        <w:rPr>
          <w:b/>
          <w:bCs/>
        </w:rPr>
        <w:t>of</w:t>
      </w:r>
      <w:r w:rsidR="00CF22D0" w:rsidRPr="00801DE1">
        <w:rPr>
          <w:b/>
          <w:bCs/>
        </w:rPr>
        <w:t xml:space="preserve"> the</w:t>
      </w:r>
      <w:r w:rsidR="003338A3" w:rsidRPr="00801DE1">
        <w:rPr>
          <w:b/>
          <w:bCs/>
        </w:rPr>
        <w:t xml:space="preserve"> key DNSH challenges</w:t>
      </w:r>
      <w:r w:rsidR="002D57FE">
        <w:t>,</w:t>
      </w:r>
      <w:r w:rsidR="003338A3">
        <w:t xml:space="preserve"> based on the Czech experience</w:t>
      </w:r>
      <w:r w:rsidR="002D57FE">
        <w:t>,</w:t>
      </w:r>
      <w:r w:rsidR="003338A3">
        <w:t xml:space="preserve"> </w:t>
      </w:r>
      <w:r w:rsidR="002D57FE">
        <w:t>for the analysis of (simila</w:t>
      </w:r>
      <w:r w:rsidR="00D656EF">
        <w:t>r) challenges, good practices and examples of peer Member States</w:t>
      </w:r>
      <w:r w:rsidR="00801DE1">
        <w:t>, complementing the analysis of Step 1</w:t>
      </w:r>
      <w:r w:rsidR="00EC73C1">
        <w:t>.</w:t>
      </w:r>
    </w:p>
    <w:p w14:paraId="6C5D94CF" w14:textId="77777777" w:rsidR="005400B9" w:rsidRPr="005400B9" w:rsidRDefault="005400B9" w:rsidP="005400B9">
      <w:pPr>
        <w:pStyle w:val="3rdlevelbulletpoint"/>
        <w:numPr>
          <w:ilvl w:val="0"/>
          <w:numId w:val="0"/>
        </w:numPr>
      </w:pPr>
    </w:p>
    <w:p w14:paraId="76583ECB" w14:textId="5B863AC9" w:rsidR="00847A98" w:rsidRDefault="006D5A71" w:rsidP="00BC1B18">
      <w:pPr>
        <w:pStyle w:val="Odstavecseseznamem"/>
        <w:numPr>
          <w:ilvl w:val="0"/>
          <w:numId w:val="34"/>
        </w:numPr>
        <w:ind w:left="851" w:hanging="284"/>
      </w:pPr>
      <w:r>
        <w:rPr>
          <w:b/>
          <w:bCs/>
          <w:color w:val="005962"/>
        </w:rPr>
        <w:t xml:space="preserve">[Step 3] </w:t>
      </w:r>
      <w:r w:rsidR="006314FB" w:rsidRPr="00007F7F">
        <w:rPr>
          <w:b/>
          <w:bCs/>
          <w:color w:val="005962"/>
        </w:rPr>
        <w:t xml:space="preserve">Experience </w:t>
      </w:r>
      <w:r w:rsidR="00D14024">
        <w:rPr>
          <w:b/>
          <w:bCs/>
          <w:color w:val="005962"/>
        </w:rPr>
        <w:t xml:space="preserve">of </w:t>
      </w:r>
      <w:r w:rsidR="006314FB" w:rsidRPr="00007F7F">
        <w:rPr>
          <w:b/>
          <w:bCs/>
          <w:color w:val="005962"/>
        </w:rPr>
        <w:t>working with other EU Member States on DNSH implementation:</w:t>
      </w:r>
      <w:r w:rsidR="006314FB">
        <w:t xml:space="preserve"> </w:t>
      </w:r>
      <w:r w:rsidR="00244B44">
        <w:t>Trinomics carries out various</w:t>
      </w:r>
      <w:r w:rsidR="00A80332">
        <w:t xml:space="preserve"> other technical support projects for DG REFORM in other EU Member States around </w:t>
      </w:r>
      <w:r w:rsidR="0011020D">
        <w:t>the</w:t>
      </w:r>
      <w:r w:rsidR="00A80332">
        <w:t xml:space="preserve"> </w:t>
      </w:r>
      <w:r w:rsidR="005D5A0E">
        <w:t xml:space="preserve">DNSH </w:t>
      </w:r>
      <w:r w:rsidR="001E033F">
        <w:t>guidance development specifically (i.e.</w:t>
      </w:r>
      <w:r w:rsidR="00D06C4C">
        <w:t>,</w:t>
      </w:r>
      <w:r w:rsidR="001E033F">
        <w:t xml:space="preserve"> </w:t>
      </w:r>
      <w:r w:rsidR="00B31825">
        <w:t>Finland)</w:t>
      </w:r>
      <w:r w:rsidR="00137DF8">
        <w:t xml:space="preserve"> </w:t>
      </w:r>
      <w:r w:rsidR="00F42644">
        <w:t xml:space="preserve">or with DNSH support being </w:t>
      </w:r>
      <w:r w:rsidR="0098303A">
        <w:t>within the scope of particular deliverables or tasks as part of</w:t>
      </w:r>
      <w:r w:rsidR="008708AC">
        <w:t xml:space="preserve"> RRP implementation and monitoring support activities (</w:t>
      </w:r>
      <w:r w:rsidR="00EC73C1">
        <w:t>i.e.,</w:t>
      </w:r>
      <w:r w:rsidR="0027515E">
        <w:t xml:space="preserve"> Spain, Slovakia</w:t>
      </w:r>
      <w:r w:rsidR="003E2E92">
        <w:t>, Belgium</w:t>
      </w:r>
      <w:r w:rsidR="0027515E">
        <w:t>)</w:t>
      </w:r>
      <w:r w:rsidR="003952FA">
        <w:t>.</w:t>
      </w:r>
      <w:r w:rsidR="00651F42">
        <w:t xml:space="preserve"> </w:t>
      </w:r>
      <w:r w:rsidR="006476C7">
        <w:t>Through</w:t>
      </w:r>
      <w:r w:rsidR="00553757">
        <w:t xml:space="preserve"> these other TSI projects, the project team has a </w:t>
      </w:r>
      <w:r w:rsidR="00A05B90" w:rsidRPr="00426498">
        <w:rPr>
          <w:b/>
        </w:rPr>
        <w:t xml:space="preserve">good </w:t>
      </w:r>
      <w:r w:rsidR="00BE20E8" w:rsidRPr="00426498">
        <w:rPr>
          <w:b/>
        </w:rPr>
        <w:t>understanding</w:t>
      </w:r>
      <w:r w:rsidR="00A05B90" w:rsidRPr="00426498">
        <w:rPr>
          <w:b/>
        </w:rPr>
        <w:t xml:space="preserve"> of (similar) challenges in other EU Member States</w:t>
      </w:r>
      <w:r w:rsidR="00A05B90">
        <w:t xml:space="preserve"> compared to those </w:t>
      </w:r>
      <w:r w:rsidR="00426498">
        <w:t>challenges</w:t>
      </w:r>
      <w:r w:rsidR="00A05B90">
        <w:t xml:space="preserve"> being encountered by the</w:t>
      </w:r>
      <w:r w:rsidR="00D6028C">
        <w:t xml:space="preserve"> Czech authorities</w:t>
      </w:r>
      <w:r w:rsidR="00411A37">
        <w:t>.</w:t>
      </w:r>
    </w:p>
    <w:p w14:paraId="722FF222" w14:textId="59A14C35" w:rsidR="00411A37" w:rsidRDefault="00886E39" w:rsidP="005C43BF">
      <w:pPr>
        <w:pStyle w:val="Odstavecseseznamem"/>
        <w:numPr>
          <w:ilvl w:val="1"/>
          <w:numId w:val="34"/>
        </w:numPr>
        <w:ind w:left="1134" w:hanging="283"/>
      </w:pPr>
      <w:r>
        <w:t xml:space="preserve">Due to Trinomics’ previous and ongoing experience around supporting other EU Member States on their journey </w:t>
      </w:r>
      <w:r w:rsidR="00742B9D">
        <w:t xml:space="preserve">to </w:t>
      </w:r>
      <w:r>
        <w:t xml:space="preserve">understand and unpack </w:t>
      </w:r>
      <w:r w:rsidR="00742B9D">
        <w:t>the</w:t>
      </w:r>
      <w:r>
        <w:t xml:space="preserve"> DNSH</w:t>
      </w:r>
      <w:r w:rsidR="00742B9D">
        <w:t xml:space="preserve"> principle</w:t>
      </w:r>
      <w:r w:rsidR="00D352C9">
        <w:t>, the</w:t>
      </w:r>
      <w:r w:rsidR="00DE4F27">
        <w:t xml:space="preserve"> project team was able to </w:t>
      </w:r>
      <w:r w:rsidR="00DE4F27">
        <w:lastRenderedPageBreak/>
        <w:t xml:space="preserve">bring </w:t>
      </w:r>
      <w:r w:rsidR="00DE4F27" w:rsidRPr="003D281D">
        <w:rPr>
          <w:b/>
        </w:rPr>
        <w:t>relevant examples and experiences</w:t>
      </w:r>
      <w:r w:rsidR="00DE4F27">
        <w:t xml:space="preserve"> to the selection </w:t>
      </w:r>
      <w:r w:rsidR="005A7905">
        <w:t xml:space="preserve">criteria matrix and “match” </w:t>
      </w:r>
      <w:r w:rsidR="00161B85">
        <w:t>(national) examples with the DNSH challenges identified under Steps 1 and 2 above</w:t>
      </w:r>
      <w:r w:rsidR="00EC73C1">
        <w:t>.</w:t>
      </w:r>
    </w:p>
    <w:p w14:paraId="3BD8500F" w14:textId="77777777" w:rsidR="005400B9" w:rsidRDefault="005400B9" w:rsidP="005400B9"/>
    <w:p w14:paraId="72B1EA33" w14:textId="314EF14F" w:rsidR="000E7C66" w:rsidRPr="00847A98" w:rsidRDefault="00161B85" w:rsidP="00DD0D15">
      <w:pPr>
        <w:pStyle w:val="Odstavecseseznamem"/>
        <w:numPr>
          <w:ilvl w:val="0"/>
          <w:numId w:val="0"/>
        </w:numPr>
        <w:ind w:left="851"/>
      </w:pPr>
      <w:r>
        <w:rPr>
          <w:b/>
          <w:bCs/>
          <w:color w:val="005962"/>
        </w:rPr>
        <w:t xml:space="preserve">[Step 4] </w:t>
      </w:r>
      <w:r w:rsidR="00A221EB" w:rsidRPr="009D532C">
        <w:rPr>
          <w:b/>
          <w:bCs/>
          <w:color w:val="005962"/>
        </w:rPr>
        <w:t>Consultation</w:t>
      </w:r>
      <w:r w:rsidR="000E7C66" w:rsidRPr="009D532C">
        <w:rPr>
          <w:b/>
          <w:bCs/>
          <w:color w:val="005962"/>
        </w:rPr>
        <w:t xml:space="preserve"> with EC services</w:t>
      </w:r>
      <w:r w:rsidR="000E7C66">
        <w:t xml:space="preserve">: </w:t>
      </w:r>
      <w:r w:rsidR="00BE20E8">
        <w:t xml:space="preserve">the project team has liaised with </w:t>
      </w:r>
      <w:r w:rsidR="00863665">
        <w:t>various parts of the Commission services</w:t>
      </w:r>
      <w:r w:rsidR="00330868">
        <w:t xml:space="preserve"> (i.e.</w:t>
      </w:r>
      <w:r w:rsidR="00D06C4C">
        <w:t>,</w:t>
      </w:r>
      <w:r w:rsidR="00330868">
        <w:t xml:space="preserve"> DG REFORM, DG CLIMA, DG ENV, DG REGIO, DG ECFIN, SG-RECOVER</w:t>
      </w:r>
      <w:r w:rsidR="00CB2369">
        <w:t>, JRC</w:t>
      </w:r>
      <w:r w:rsidR="00FD5DE2">
        <w:t>)</w:t>
      </w:r>
      <w:r w:rsidR="00214455">
        <w:t xml:space="preserve"> to understand</w:t>
      </w:r>
      <w:r w:rsidR="0035293B">
        <w:t xml:space="preserve"> w</w:t>
      </w:r>
      <w:r w:rsidR="0060407F">
        <w:t>hether certain best</w:t>
      </w:r>
      <w:r w:rsidR="0035293B">
        <w:t xml:space="preserve"> practices, lessons learned and examples </w:t>
      </w:r>
      <w:r w:rsidR="001E2E32">
        <w:t xml:space="preserve">within EU Member States </w:t>
      </w:r>
      <w:r w:rsidR="0060407F">
        <w:t>are</w:t>
      </w:r>
      <w:r w:rsidR="005A7881">
        <w:t xml:space="preserve"> known to </w:t>
      </w:r>
      <w:r w:rsidR="00FB50FB">
        <w:t xml:space="preserve">or have been observed by </w:t>
      </w:r>
      <w:r w:rsidR="005A7881">
        <w:t>the Commission already</w:t>
      </w:r>
      <w:r w:rsidR="00781AFF">
        <w:t xml:space="preserve"> in a more anecdotal </w:t>
      </w:r>
      <w:r w:rsidR="00EC73C1">
        <w:t xml:space="preserve">or ad hoc </w:t>
      </w:r>
      <w:r w:rsidR="00781AFF">
        <w:t>way. The project team has consulted the Commissions services through:</w:t>
      </w:r>
    </w:p>
    <w:p w14:paraId="6CB5FBFC" w14:textId="536EE2D4" w:rsidR="00F96052" w:rsidRDefault="00781AFF" w:rsidP="00F96052">
      <w:pPr>
        <w:pStyle w:val="2ndlevelbulletpoint"/>
        <w:ind w:left="1134" w:hanging="283"/>
      </w:pPr>
      <w:r>
        <w:t xml:space="preserve">A </w:t>
      </w:r>
      <w:r w:rsidRPr="009D532C">
        <w:rPr>
          <w:b/>
          <w:bCs/>
        </w:rPr>
        <w:t>questionnaire</w:t>
      </w:r>
      <w:r>
        <w:t xml:space="preserve"> circulated among all EC services mentioned above with technical</w:t>
      </w:r>
      <w:r w:rsidR="00685EFE">
        <w:t xml:space="preserve"> (clarification) questions</w:t>
      </w:r>
      <w:r w:rsidR="002C34CE">
        <w:t xml:space="preserve"> around the application of</w:t>
      </w:r>
      <w:r w:rsidR="00B81DE9">
        <w:t xml:space="preserve"> DNSH</w:t>
      </w:r>
      <w:r w:rsidR="00031D54">
        <w:t xml:space="preserve"> (as well as climate proofing</w:t>
      </w:r>
      <w:r w:rsidR="006F6BA0">
        <w:t>, as an input to the DLV2 work</w:t>
      </w:r>
      <w:r w:rsidR="00031D54">
        <w:t>)</w:t>
      </w:r>
      <w:r w:rsidR="0023771E">
        <w:t>, together with</w:t>
      </w:r>
      <w:r w:rsidR="00594FAE">
        <w:t xml:space="preserve"> practices and examples observed</w:t>
      </w:r>
      <w:r w:rsidR="00F96052">
        <w:t xml:space="preserve"> within EU Member States</w:t>
      </w:r>
      <w:r w:rsidR="00F96052" w:rsidDel="00EC73C1">
        <w:t>;</w:t>
      </w:r>
    </w:p>
    <w:p w14:paraId="100639EF" w14:textId="0ADE41C2" w:rsidR="00F96052" w:rsidRDefault="00F96052" w:rsidP="00BC1B18">
      <w:pPr>
        <w:pStyle w:val="3rdlevelbulletpoint"/>
        <w:numPr>
          <w:ilvl w:val="0"/>
          <w:numId w:val="33"/>
        </w:numPr>
        <w:ind w:left="1134" w:hanging="283"/>
      </w:pPr>
      <w:r>
        <w:t xml:space="preserve">A </w:t>
      </w:r>
      <w:r w:rsidRPr="009D532C">
        <w:rPr>
          <w:b/>
          <w:bCs/>
        </w:rPr>
        <w:t>plenary meeting</w:t>
      </w:r>
      <w:r>
        <w:t xml:space="preserve"> with the</w:t>
      </w:r>
      <w:r w:rsidR="00A75149">
        <w:t xml:space="preserve"> above-mentioned Commission services, convened by DG REFORM</w:t>
      </w:r>
      <w:r w:rsidR="002427E5">
        <w:t xml:space="preserve"> on November 10</w:t>
      </w:r>
      <w:r w:rsidR="002427E5" w:rsidRPr="002427E5">
        <w:rPr>
          <w:vertAlign w:val="superscript"/>
        </w:rPr>
        <w:t>th</w:t>
      </w:r>
      <w:r w:rsidR="002427E5">
        <w:t xml:space="preserve"> 2022</w:t>
      </w:r>
      <w:r w:rsidR="00A75149">
        <w:t>,</w:t>
      </w:r>
      <w:r w:rsidR="00892CF2">
        <w:t xml:space="preserve"> </w:t>
      </w:r>
      <w:r w:rsidR="007F5136">
        <w:t xml:space="preserve">in order to discuss key challenges around </w:t>
      </w:r>
      <w:r w:rsidR="00892CF2">
        <w:t xml:space="preserve">DNSH </w:t>
      </w:r>
      <w:r w:rsidR="00F741AC">
        <w:t xml:space="preserve">implementation </w:t>
      </w:r>
      <w:r w:rsidR="005C32B1">
        <w:t xml:space="preserve">and (emerging) good practices at MS level </w:t>
      </w:r>
      <w:r w:rsidR="00F741AC">
        <w:t>from the EC’s perspective</w:t>
      </w:r>
      <w:r w:rsidR="00A14D0A" w:rsidDel="00EC73C1">
        <w:t>;</w:t>
      </w:r>
    </w:p>
    <w:p w14:paraId="20CCCECC" w14:textId="230776CE" w:rsidR="00A14D0A" w:rsidRPr="00F96052" w:rsidRDefault="005E7B20" w:rsidP="00BC1B18">
      <w:pPr>
        <w:pStyle w:val="3rdlevelbulletpoint"/>
        <w:numPr>
          <w:ilvl w:val="0"/>
          <w:numId w:val="33"/>
        </w:numPr>
        <w:ind w:left="1134" w:hanging="283"/>
      </w:pPr>
      <w:r>
        <w:t xml:space="preserve">As a follow-up to the plenary meeting, various </w:t>
      </w:r>
      <w:r w:rsidRPr="00B2121F">
        <w:rPr>
          <w:b/>
          <w:bCs/>
        </w:rPr>
        <w:t xml:space="preserve">dedicated </w:t>
      </w:r>
      <w:r w:rsidR="00B2121F" w:rsidRPr="00B2121F">
        <w:rPr>
          <w:b/>
          <w:bCs/>
        </w:rPr>
        <w:t xml:space="preserve">technical </w:t>
      </w:r>
      <w:r w:rsidR="00BB58E3">
        <w:rPr>
          <w:b/>
          <w:bCs/>
        </w:rPr>
        <w:t xml:space="preserve">knowledge sharing </w:t>
      </w:r>
      <w:r w:rsidRPr="00B2121F">
        <w:rPr>
          <w:b/>
          <w:bCs/>
        </w:rPr>
        <w:t>meetings</w:t>
      </w:r>
      <w:r>
        <w:t xml:space="preserve"> (online, hybrid or</w:t>
      </w:r>
      <w:r w:rsidR="00EF3126">
        <w:t xml:space="preserve"> physically in Brussels) have</w:t>
      </w:r>
      <w:r w:rsidR="00772C5B">
        <w:t xml:space="preserve"> taken place with DG REGIO, SG-RECOVER</w:t>
      </w:r>
      <w:r w:rsidR="00EC73C1">
        <w:t>,</w:t>
      </w:r>
      <w:r w:rsidR="00BB58E3">
        <w:t xml:space="preserve"> and the EU Taxonomy team within the JRC in particular,</w:t>
      </w:r>
      <w:r w:rsidR="00BD785C">
        <w:t xml:space="preserve"> starting in late November </w:t>
      </w:r>
      <w:r w:rsidR="00EC73C1">
        <w:t xml:space="preserve">2022 </w:t>
      </w:r>
      <w:r w:rsidR="00BD785C">
        <w:t>throughout into the first half of January 2023</w:t>
      </w:r>
      <w:r w:rsidR="00BB58E3">
        <w:t>.</w:t>
      </w:r>
    </w:p>
    <w:p w14:paraId="5015D87C" w14:textId="77777777" w:rsidR="00EA0277" w:rsidRDefault="00EA0277" w:rsidP="00D36BAF">
      <w:pPr>
        <w:rPr>
          <w:lang w:val="en-GB"/>
        </w:rPr>
      </w:pPr>
    </w:p>
    <w:p w14:paraId="3A6565BD" w14:textId="77777777" w:rsidR="00FF03F9" w:rsidRDefault="00612F40" w:rsidP="00D36BAF">
      <w:pPr>
        <w:rPr>
          <w:lang w:val="en-GB"/>
        </w:rPr>
      </w:pPr>
      <w:r>
        <w:rPr>
          <w:lang w:val="en-GB"/>
        </w:rPr>
        <w:t xml:space="preserve">The above steps have supported the project team to identify the </w:t>
      </w:r>
      <w:r w:rsidRPr="00BB3267">
        <w:rPr>
          <w:b/>
          <w:bCs/>
          <w:lang w:val="en-GB"/>
        </w:rPr>
        <w:t>key DNSH challenges</w:t>
      </w:r>
      <w:r w:rsidR="00F024D3">
        <w:rPr>
          <w:lang w:val="en-GB"/>
        </w:rPr>
        <w:t xml:space="preserve"> observed in general terms, and in Czechia in particular</w:t>
      </w:r>
      <w:r w:rsidR="00915BC3">
        <w:rPr>
          <w:lang w:val="en-GB"/>
        </w:rPr>
        <w:t xml:space="preserve">, and </w:t>
      </w:r>
      <w:r w:rsidR="00915BC3" w:rsidRPr="00BB3267">
        <w:rPr>
          <w:b/>
          <w:bCs/>
          <w:lang w:val="en-GB"/>
        </w:rPr>
        <w:t>“match”</w:t>
      </w:r>
      <w:r w:rsidR="00915BC3">
        <w:rPr>
          <w:lang w:val="en-GB"/>
        </w:rPr>
        <w:t xml:space="preserve"> them with similar challenges </w:t>
      </w:r>
      <w:r w:rsidR="007E04B8">
        <w:rPr>
          <w:lang w:val="en-GB"/>
        </w:rPr>
        <w:t xml:space="preserve">in other EU Member States and how they have </w:t>
      </w:r>
      <w:r w:rsidR="000471C3">
        <w:rPr>
          <w:lang w:val="en-GB"/>
        </w:rPr>
        <w:t>addressed the challenge</w:t>
      </w:r>
      <w:r w:rsidR="007E04B8">
        <w:rPr>
          <w:lang w:val="en-GB"/>
        </w:rPr>
        <w:t xml:space="preserve"> </w:t>
      </w:r>
      <w:r w:rsidR="00F54788">
        <w:rPr>
          <w:lang w:val="en-GB"/>
        </w:rPr>
        <w:t>(so far)</w:t>
      </w:r>
      <w:r w:rsidR="000471C3">
        <w:rPr>
          <w:lang w:val="en-GB"/>
        </w:rPr>
        <w:t xml:space="preserve"> by sharing </w:t>
      </w:r>
      <w:r w:rsidR="000471C3" w:rsidRPr="001B459F">
        <w:rPr>
          <w:b/>
          <w:bCs/>
          <w:lang w:val="en-GB"/>
        </w:rPr>
        <w:t>their (practical) experience and examples</w:t>
      </w:r>
      <w:r w:rsidR="00D15E10">
        <w:rPr>
          <w:lang w:val="en-GB"/>
        </w:rPr>
        <w:t>, as an input to the consolidated selection criteria matrix (see section 3.2).</w:t>
      </w:r>
      <w:r w:rsidR="00E52719">
        <w:rPr>
          <w:lang w:val="en-GB"/>
        </w:rPr>
        <w:t xml:space="preserve"> </w:t>
      </w:r>
    </w:p>
    <w:p w14:paraId="22BF4C39" w14:textId="77777777" w:rsidR="00FF03F9" w:rsidRDefault="00FF03F9" w:rsidP="00D36BAF">
      <w:pPr>
        <w:rPr>
          <w:lang w:val="en-GB"/>
        </w:rPr>
      </w:pPr>
    </w:p>
    <w:p w14:paraId="5C4034DB" w14:textId="76AF38B0" w:rsidR="002C3379" w:rsidRDefault="00FF03F9" w:rsidP="00D36BAF">
      <w:pPr>
        <w:rPr>
          <w:lang w:val="en-GB"/>
        </w:rPr>
      </w:pPr>
      <w:r>
        <w:rPr>
          <w:lang w:val="en-GB"/>
        </w:rPr>
        <w:t>The approach taken for the analysis of the</w:t>
      </w:r>
      <w:r w:rsidR="006F4B79">
        <w:rPr>
          <w:lang w:val="en-GB"/>
        </w:rPr>
        <w:t xml:space="preserve"> examples and lessons learned from other peer EU Member States, as well as the </w:t>
      </w:r>
      <w:r>
        <w:rPr>
          <w:lang w:val="en-GB"/>
        </w:rPr>
        <w:t>organisation of the three (3) online webinars</w:t>
      </w:r>
      <w:r w:rsidR="006F4B79">
        <w:rPr>
          <w:lang w:val="en-GB"/>
        </w:rPr>
        <w:t>, are</w:t>
      </w:r>
      <w:r>
        <w:rPr>
          <w:lang w:val="en-GB"/>
        </w:rPr>
        <w:t xml:space="preserve"> described in more detail in </w:t>
      </w:r>
      <w:r w:rsidR="006F4B79">
        <w:rPr>
          <w:lang w:val="en-GB"/>
        </w:rPr>
        <w:t>Chapters 4 and 5 respectively</w:t>
      </w:r>
      <w:r>
        <w:rPr>
          <w:lang w:val="en-GB"/>
        </w:rPr>
        <w:t xml:space="preserve"> of this DLV3 report.</w:t>
      </w:r>
    </w:p>
    <w:p w14:paraId="356D269B" w14:textId="77777777" w:rsidR="00E17E3D" w:rsidRDefault="00E17E3D" w:rsidP="00E17E3D">
      <w:pPr>
        <w:rPr>
          <w:lang w:val="en-GB"/>
        </w:rPr>
      </w:pPr>
    </w:p>
    <w:p w14:paraId="2808BC2D" w14:textId="1B07ED27" w:rsidR="00E17E3D" w:rsidRPr="00986C91" w:rsidRDefault="00AB0984" w:rsidP="007B2030">
      <w:pPr>
        <w:pStyle w:val="Nadpis2"/>
        <w:rPr>
          <w:lang w:val="en-US"/>
        </w:rPr>
      </w:pPr>
      <w:bookmarkStart w:id="11" w:name="_Toc131775829"/>
      <w:r w:rsidRPr="00986C91">
        <w:rPr>
          <w:lang w:val="en-US"/>
        </w:rPr>
        <w:t>Consolidated s</w:t>
      </w:r>
      <w:r w:rsidR="00700533" w:rsidRPr="00986C91">
        <w:rPr>
          <w:lang w:val="en-US"/>
        </w:rPr>
        <w:t>election criteria matrix</w:t>
      </w:r>
      <w:bookmarkEnd w:id="11"/>
    </w:p>
    <w:p w14:paraId="36E48EEC" w14:textId="460C6507" w:rsidR="00303065" w:rsidRPr="00303065" w:rsidRDefault="00A0097A" w:rsidP="00303065">
      <w:pPr>
        <w:rPr>
          <w:lang w:val="en-GB"/>
        </w:rPr>
      </w:pPr>
      <w:r w:rsidRPr="00A0097A">
        <w:t>The inception report of t</w:t>
      </w:r>
      <w:r>
        <w:t xml:space="preserve">his TSI project (DLV1) </w:t>
      </w:r>
      <w:r w:rsidR="005301E1">
        <w:t>contained a preliminary selection criteria matrix</w:t>
      </w:r>
      <w:r w:rsidR="006A36D4">
        <w:t>, which in turn was based on the team’s suggestion for a scoring-type of matrix</w:t>
      </w:r>
      <w:r w:rsidR="00FF2F88">
        <w:t xml:space="preserve">, </w:t>
      </w:r>
      <w:r w:rsidR="003325EB">
        <w:t>in order to give a framework for how DNSH challenges and</w:t>
      </w:r>
      <w:r w:rsidR="00CD23F6">
        <w:t xml:space="preserve"> good practices and lessons learned (i.e.</w:t>
      </w:r>
      <w:r w:rsidR="00EC73C1">
        <w:t>,</w:t>
      </w:r>
      <w:r w:rsidR="00CD23F6">
        <w:t xml:space="preserve"> “focus cases”)</w:t>
      </w:r>
      <w:r w:rsidR="007E36A7">
        <w:t xml:space="preserve"> would be </w:t>
      </w:r>
      <w:r w:rsidR="007E36A7" w:rsidRPr="00986C91">
        <w:rPr>
          <w:lang w:val="en-GB"/>
        </w:rPr>
        <w:t>analysed</w:t>
      </w:r>
      <w:r w:rsidR="007E36A7">
        <w:t xml:space="preserve"> and brought forward </w:t>
      </w:r>
      <w:r w:rsidR="00FA6B0D">
        <w:t>to</w:t>
      </w:r>
      <w:r w:rsidR="007E36A7">
        <w:t xml:space="preserve"> the peer learning exchange webinars</w:t>
      </w:r>
      <w:r w:rsidR="00DF0537">
        <w:t>.</w:t>
      </w:r>
      <w:r w:rsidR="00AB2A1C">
        <w:t xml:space="preserve"> </w:t>
      </w:r>
      <w:r w:rsidR="0025337A">
        <w:t xml:space="preserve">The selection criteria matrix has been </w:t>
      </w:r>
      <w:r w:rsidR="00E236B1">
        <w:t xml:space="preserve">further </w:t>
      </w:r>
      <w:r w:rsidR="0025337A">
        <w:t>refined</w:t>
      </w:r>
      <w:r w:rsidR="00547CEA">
        <w:t xml:space="preserve"> after the desk review and consultation activities with the EC services and Czech authorities</w:t>
      </w:r>
      <w:r w:rsidR="00EA357B">
        <w:t xml:space="preserve">, as presented below. </w:t>
      </w:r>
      <w:r w:rsidR="00303065" w:rsidRPr="00303065">
        <w:rPr>
          <w:lang w:val="en-IE"/>
        </w:rPr>
        <w:t>The project team has, in this process</w:t>
      </w:r>
      <w:r w:rsidR="00841F4E">
        <w:rPr>
          <w:lang w:val="en-IE"/>
        </w:rPr>
        <w:t xml:space="preserve"> and to the extent possible</w:t>
      </w:r>
      <w:r w:rsidR="00303065" w:rsidRPr="00303065">
        <w:rPr>
          <w:lang w:val="en-IE"/>
        </w:rPr>
        <w:t xml:space="preserve">, focused on Member States with similar policy and governance context as Czechia, to ensure usability of the lessons learned </w:t>
      </w:r>
      <w:r w:rsidR="00EC73C1">
        <w:rPr>
          <w:lang w:val="en-IE"/>
        </w:rPr>
        <w:t>with</w:t>
      </w:r>
      <w:r w:rsidR="00303065" w:rsidRPr="00303065">
        <w:rPr>
          <w:lang w:val="en-IE"/>
        </w:rPr>
        <w:t>in the Czech context.</w:t>
      </w:r>
    </w:p>
    <w:p w14:paraId="6AFCAAED" w14:textId="77777777" w:rsidR="00C34F8A" w:rsidRDefault="00C34F8A" w:rsidP="00FF03F9"/>
    <w:p w14:paraId="233CA88C" w14:textId="510CE977" w:rsidR="000B2837" w:rsidRPr="00A0097A" w:rsidRDefault="00E0427D" w:rsidP="00FF03F9">
      <w:r>
        <w:t>The main changes of refinement should (better) reflect the key DNSH challenges identified within Czechia</w:t>
      </w:r>
      <w:r w:rsidR="00796142">
        <w:t>, which were selected for the analysis and</w:t>
      </w:r>
      <w:r w:rsidR="009323B3">
        <w:t xml:space="preserve"> serve as central themes for each of the webinars, as agreed between the project team and</w:t>
      </w:r>
      <w:r w:rsidR="00F4345E">
        <w:t xml:space="preserve"> Management Committee </w:t>
      </w:r>
      <w:r w:rsidR="00360431">
        <w:t xml:space="preserve">(MC) </w:t>
      </w:r>
      <w:r w:rsidR="00F4345E">
        <w:t xml:space="preserve">on </w:t>
      </w:r>
      <w:r w:rsidR="00300EE5" w:rsidRPr="00986C91">
        <w:t>December 15</w:t>
      </w:r>
      <w:r w:rsidR="00300EE5" w:rsidRPr="00986C91">
        <w:rPr>
          <w:vertAlign w:val="superscript"/>
        </w:rPr>
        <w:t>th</w:t>
      </w:r>
      <w:r w:rsidR="00300EE5" w:rsidRPr="00986C91">
        <w:t xml:space="preserve"> 2022</w:t>
      </w:r>
      <w:r w:rsidR="00F4345E">
        <w:t>.</w:t>
      </w:r>
      <w:r w:rsidR="00C34F8A">
        <w:t xml:space="preserve"> </w:t>
      </w:r>
      <w:r w:rsidR="000B2837">
        <w:t xml:space="preserve">The </w:t>
      </w:r>
      <w:r w:rsidR="00D37858">
        <w:t>key challenges</w:t>
      </w:r>
      <w:r w:rsidR="0000251B">
        <w:t xml:space="preserve"> </w:t>
      </w:r>
      <w:r w:rsidR="00AD6BD4">
        <w:t xml:space="preserve">identified </w:t>
      </w:r>
      <w:r w:rsidR="0000251B">
        <w:t>around DNSH implementation identified</w:t>
      </w:r>
      <w:r w:rsidR="00AD6BD4">
        <w:t xml:space="preserve"> </w:t>
      </w:r>
      <w:r w:rsidR="00CF6499">
        <w:t>center around:</w:t>
      </w:r>
    </w:p>
    <w:p w14:paraId="0A8B5008" w14:textId="6FF45646" w:rsidR="00652EA7" w:rsidRPr="00CF6499" w:rsidRDefault="00652EA7" w:rsidP="005C43BF">
      <w:pPr>
        <w:pStyle w:val="Odstavecseseznamem"/>
        <w:numPr>
          <w:ilvl w:val="0"/>
          <w:numId w:val="34"/>
        </w:numPr>
        <w:ind w:left="851" w:hanging="284"/>
      </w:pPr>
      <w:r w:rsidRPr="00F51676">
        <w:rPr>
          <w:b/>
          <w:bCs/>
        </w:rPr>
        <w:t>Governance process</w:t>
      </w:r>
      <w:r w:rsidR="00CF6499" w:rsidRPr="00F51676">
        <w:rPr>
          <w:b/>
          <w:bCs/>
        </w:rPr>
        <w:t>es</w:t>
      </w:r>
      <w:r w:rsidRPr="00F51676">
        <w:rPr>
          <w:b/>
          <w:bCs/>
        </w:rPr>
        <w:t xml:space="preserve"> &amp; practices</w:t>
      </w:r>
      <w:r w:rsidR="00CF6499" w:rsidRPr="00CF6499">
        <w:t xml:space="preserve"> around the implementation of the DNSH principle</w:t>
      </w:r>
      <w:r w:rsidR="002F0156">
        <w:t>;</w:t>
      </w:r>
    </w:p>
    <w:p w14:paraId="7BC7FEA0" w14:textId="0B9EBDF6" w:rsidR="00652EA7" w:rsidRPr="00652EA7" w:rsidRDefault="00652EA7" w:rsidP="005C43BF">
      <w:pPr>
        <w:numPr>
          <w:ilvl w:val="0"/>
          <w:numId w:val="35"/>
        </w:numPr>
        <w:tabs>
          <w:tab w:val="clear" w:pos="720"/>
          <w:tab w:val="left" w:pos="851"/>
        </w:tabs>
        <w:ind w:left="851" w:hanging="284"/>
      </w:pPr>
      <w:r w:rsidRPr="00E70229">
        <w:t>Implementing (and monitoring) the application of DNSH</w:t>
      </w:r>
      <w:r w:rsidR="00F65D01">
        <w:rPr>
          <w:b/>
          <w:bCs/>
        </w:rPr>
        <w:t xml:space="preserve"> </w:t>
      </w:r>
      <w:r w:rsidR="00E70229">
        <w:rPr>
          <w:b/>
          <w:bCs/>
        </w:rPr>
        <w:t>–</w:t>
      </w:r>
      <w:r w:rsidR="00F65D01">
        <w:rPr>
          <w:b/>
          <w:bCs/>
        </w:rPr>
        <w:t xml:space="preserve"> simplif</w:t>
      </w:r>
      <w:r w:rsidR="00E70229">
        <w:rPr>
          <w:b/>
          <w:bCs/>
        </w:rPr>
        <w:t>ied and detailed assessments</w:t>
      </w:r>
      <w:r w:rsidR="002F0156">
        <w:rPr>
          <w:b/>
          <w:bCs/>
        </w:rPr>
        <w:t>;</w:t>
      </w:r>
    </w:p>
    <w:p w14:paraId="24261D4D" w14:textId="7477F028" w:rsidR="00E15BF6" w:rsidRPr="00D94B7A" w:rsidRDefault="00E70229" w:rsidP="005C43BF">
      <w:pPr>
        <w:numPr>
          <w:ilvl w:val="0"/>
          <w:numId w:val="35"/>
        </w:numPr>
        <w:tabs>
          <w:tab w:val="clear" w:pos="720"/>
          <w:tab w:val="left" w:pos="851"/>
        </w:tabs>
        <w:ind w:left="851" w:hanging="284"/>
        <w:rPr>
          <w:lang w:val="en-IE"/>
        </w:rPr>
      </w:pPr>
      <w:r w:rsidRPr="0070073F">
        <w:lastRenderedPageBreak/>
        <w:t>Application of the DNSH principle to</w:t>
      </w:r>
      <w:r w:rsidRPr="00303065">
        <w:rPr>
          <w:b/>
          <w:bCs/>
        </w:rPr>
        <w:t xml:space="preserve"> </w:t>
      </w:r>
      <w:r w:rsidR="002F0156">
        <w:rPr>
          <w:b/>
          <w:bCs/>
        </w:rPr>
        <w:t>research and development (</w:t>
      </w:r>
      <w:r w:rsidRPr="00303065">
        <w:rPr>
          <w:b/>
          <w:bCs/>
        </w:rPr>
        <w:t>R&amp;D</w:t>
      </w:r>
      <w:r w:rsidR="002F0156">
        <w:rPr>
          <w:b/>
          <w:bCs/>
        </w:rPr>
        <w:t>)</w:t>
      </w:r>
      <w:r w:rsidRPr="00303065">
        <w:rPr>
          <w:b/>
          <w:bCs/>
        </w:rPr>
        <w:t xml:space="preserve"> and green innovation projects</w:t>
      </w:r>
      <w:r w:rsidR="002F0156">
        <w:rPr>
          <w:b/>
          <w:bCs/>
        </w:rPr>
        <w:t>.</w:t>
      </w:r>
    </w:p>
    <w:p w14:paraId="0DE05E5D" w14:textId="77777777" w:rsidR="00D94B7A" w:rsidRPr="00303065" w:rsidRDefault="00D94B7A" w:rsidP="00DD0D15">
      <w:pPr>
        <w:tabs>
          <w:tab w:val="left" w:pos="1134"/>
        </w:tabs>
        <w:rPr>
          <w:lang w:val="en-IE"/>
        </w:rPr>
      </w:pPr>
    </w:p>
    <w:p w14:paraId="58EE1729" w14:textId="28F8CF5E" w:rsidR="00D907A0" w:rsidRDefault="00D907A0" w:rsidP="00D907A0">
      <w:pPr>
        <w:pStyle w:val="Titulek"/>
        <w:keepNext/>
      </w:pPr>
      <w:r>
        <w:t xml:space="preserve">Table </w:t>
      </w:r>
      <w:fldSimple w:instr=" SEQ Table \* ARABIC ">
        <w:r w:rsidR="0031368D">
          <w:rPr>
            <w:noProof/>
          </w:rPr>
          <w:t>1</w:t>
        </w:r>
      </w:fldSimple>
      <w:r>
        <w:t xml:space="preserve"> </w:t>
      </w:r>
      <w:r w:rsidRPr="004F48F1">
        <w:t>Consolidated selection criteria matrix for the analysis of lessons learnt</w:t>
      </w:r>
    </w:p>
    <w:tbl>
      <w:tblPr>
        <w:tblStyle w:val="Mkatabulky"/>
        <w:tblW w:w="0" w:type="auto"/>
        <w:tblInd w:w="562" w:type="dxa"/>
        <w:tblLook w:val="04A0" w:firstRow="1" w:lastRow="0" w:firstColumn="1" w:lastColumn="0" w:noHBand="0" w:noVBand="1"/>
      </w:tblPr>
      <w:tblGrid>
        <w:gridCol w:w="408"/>
        <w:gridCol w:w="2440"/>
        <w:gridCol w:w="3421"/>
        <w:gridCol w:w="2185"/>
      </w:tblGrid>
      <w:tr w:rsidR="006E5A57" w14:paraId="1058DE5D" w14:textId="77777777" w:rsidTr="00871226">
        <w:tc>
          <w:tcPr>
            <w:tcW w:w="0" w:type="auto"/>
            <w:shd w:val="clear" w:color="auto" w:fill="002C54" w:themeFill="accent5"/>
          </w:tcPr>
          <w:p w14:paraId="22A38EA5" w14:textId="77777777" w:rsidR="002D0FB7" w:rsidRPr="00724CEB" w:rsidRDefault="002D0FB7" w:rsidP="00E15BF6">
            <w:pPr>
              <w:spacing w:line="240" w:lineRule="atLeast"/>
              <w:ind w:left="0"/>
              <w:jc w:val="both"/>
              <w:rPr>
                <w:b/>
                <w:color w:val="FFFFFF" w:themeColor="background1"/>
                <w:sz w:val="16"/>
                <w:lang w:val="en-IE"/>
              </w:rPr>
            </w:pPr>
          </w:p>
        </w:tc>
        <w:tc>
          <w:tcPr>
            <w:tcW w:w="0" w:type="auto"/>
            <w:shd w:val="clear" w:color="auto" w:fill="002C54" w:themeFill="accent5"/>
          </w:tcPr>
          <w:p w14:paraId="392CA374" w14:textId="00F807C0" w:rsidR="002D0FB7" w:rsidRPr="00724CEB" w:rsidRDefault="002D0FB7" w:rsidP="00E15BF6">
            <w:pPr>
              <w:spacing w:line="240" w:lineRule="atLeast"/>
              <w:ind w:left="0"/>
              <w:jc w:val="both"/>
              <w:rPr>
                <w:b/>
                <w:color w:val="FFFFFF" w:themeColor="background1"/>
                <w:sz w:val="16"/>
                <w:lang w:val="en-IE"/>
              </w:rPr>
            </w:pPr>
            <w:r w:rsidRPr="00724CEB">
              <w:rPr>
                <w:b/>
                <w:color w:val="FFFFFF" w:themeColor="background1"/>
                <w:sz w:val="16"/>
                <w:lang w:val="en-IE"/>
              </w:rPr>
              <w:t xml:space="preserve">Elements </w:t>
            </w:r>
            <w:r w:rsidR="00483E52">
              <w:rPr>
                <w:b/>
                <w:color w:val="FFFFFF" w:themeColor="background1"/>
                <w:sz w:val="16"/>
                <w:lang w:val="en-IE"/>
              </w:rPr>
              <w:t xml:space="preserve">and challenges </w:t>
            </w:r>
            <w:r>
              <w:rPr>
                <w:b/>
                <w:color w:val="FFFFFF" w:themeColor="background1"/>
                <w:sz w:val="16"/>
                <w:lang w:val="en-IE"/>
              </w:rPr>
              <w:t>for learning exchange with peer</w:t>
            </w:r>
            <w:r w:rsidRPr="00724CEB">
              <w:rPr>
                <w:b/>
                <w:color w:val="FFFFFF" w:themeColor="background1"/>
                <w:sz w:val="16"/>
                <w:lang w:val="en-IE"/>
              </w:rPr>
              <w:t xml:space="preserve"> Member States</w:t>
            </w:r>
          </w:p>
        </w:tc>
        <w:tc>
          <w:tcPr>
            <w:tcW w:w="0" w:type="auto"/>
            <w:shd w:val="clear" w:color="auto" w:fill="002C54" w:themeFill="accent5"/>
          </w:tcPr>
          <w:p w14:paraId="00875ED4" w14:textId="0A4F59B0" w:rsidR="002D0FB7" w:rsidRPr="00724CEB" w:rsidRDefault="002D0FB7" w:rsidP="00E15BF6">
            <w:pPr>
              <w:spacing w:line="240" w:lineRule="atLeast"/>
              <w:ind w:left="0"/>
              <w:rPr>
                <w:b/>
                <w:color w:val="FFFFFF" w:themeColor="background1"/>
                <w:sz w:val="16"/>
                <w:lang w:val="en-IE"/>
              </w:rPr>
            </w:pPr>
            <w:r>
              <w:rPr>
                <w:b/>
                <w:color w:val="FFFFFF" w:themeColor="background1"/>
                <w:sz w:val="16"/>
                <w:lang w:val="en-IE"/>
              </w:rPr>
              <w:t xml:space="preserve">Rationale </w:t>
            </w:r>
            <w:r w:rsidRPr="00724CEB">
              <w:rPr>
                <w:b/>
                <w:color w:val="FFFFFF" w:themeColor="background1"/>
                <w:sz w:val="16"/>
                <w:lang w:val="en-IE"/>
              </w:rPr>
              <w:t>for selecting Member States</w:t>
            </w:r>
          </w:p>
        </w:tc>
        <w:tc>
          <w:tcPr>
            <w:tcW w:w="0" w:type="auto"/>
            <w:shd w:val="clear" w:color="auto" w:fill="002C54" w:themeFill="accent5"/>
          </w:tcPr>
          <w:p w14:paraId="470476B0" w14:textId="5E4A77E8" w:rsidR="002D0FB7" w:rsidRPr="00724CEB" w:rsidRDefault="002D0FB7" w:rsidP="00E15BF6">
            <w:pPr>
              <w:spacing w:line="240" w:lineRule="atLeast"/>
              <w:ind w:left="0"/>
              <w:rPr>
                <w:b/>
                <w:color w:val="FFFFFF" w:themeColor="background1"/>
                <w:sz w:val="16"/>
                <w:lang w:val="en-IE"/>
              </w:rPr>
            </w:pPr>
            <w:r>
              <w:rPr>
                <w:b/>
                <w:color w:val="FFFFFF" w:themeColor="background1"/>
                <w:sz w:val="16"/>
                <w:lang w:val="en-IE"/>
              </w:rPr>
              <w:t>Amendments based on Steps 1 and 2</w:t>
            </w:r>
          </w:p>
        </w:tc>
      </w:tr>
      <w:tr w:rsidR="006E5A57" w:rsidRPr="00E53E5D" w14:paraId="2AAE3862" w14:textId="77777777" w:rsidTr="00C54B61">
        <w:tc>
          <w:tcPr>
            <w:tcW w:w="0" w:type="auto"/>
            <w:shd w:val="clear" w:color="auto" w:fill="E0EBEB" w:themeFill="accent3" w:themeFillTint="66"/>
          </w:tcPr>
          <w:p w14:paraId="7CAFE1FF" w14:textId="25DCDE10" w:rsidR="002D0FB7" w:rsidRPr="00C54B61" w:rsidRDefault="002D0FB7" w:rsidP="00E15BF6">
            <w:pPr>
              <w:spacing w:line="240" w:lineRule="atLeast"/>
              <w:ind w:left="0"/>
              <w:rPr>
                <w:b/>
                <w:color w:val="000000" w:themeColor="text1"/>
                <w:sz w:val="16"/>
                <w:lang w:val="en-IE"/>
              </w:rPr>
            </w:pPr>
            <w:r w:rsidRPr="00C54B61">
              <w:rPr>
                <w:b/>
                <w:color w:val="000000" w:themeColor="text1"/>
                <w:sz w:val="16"/>
                <w:lang w:val="en-IE"/>
              </w:rPr>
              <w:t>C1</w:t>
            </w:r>
          </w:p>
        </w:tc>
        <w:tc>
          <w:tcPr>
            <w:tcW w:w="0" w:type="auto"/>
          </w:tcPr>
          <w:p w14:paraId="36FFE549" w14:textId="77777777" w:rsidR="002D0FB7" w:rsidRDefault="002D0FB7" w:rsidP="00E15BF6">
            <w:pPr>
              <w:spacing w:line="240" w:lineRule="atLeast"/>
              <w:ind w:left="0"/>
              <w:rPr>
                <w:bCs/>
                <w:color w:val="000000" w:themeColor="text1"/>
                <w:sz w:val="16"/>
                <w:lang w:val="en-IE"/>
              </w:rPr>
            </w:pPr>
            <w:r w:rsidRPr="00834F40">
              <w:rPr>
                <w:color w:val="000000" w:themeColor="text1"/>
                <w:sz w:val="16"/>
                <w:lang w:val="en-IE"/>
              </w:rPr>
              <w:t>Implementation of the DNSH principle in projects developed by private actors in a similar economic context and in a similar governance setting</w:t>
            </w:r>
          </w:p>
          <w:p w14:paraId="6DA60D66" w14:textId="77777777" w:rsidR="00CA723A" w:rsidRDefault="00CA723A" w:rsidP="00E15BF6">
            <w:pPr>
              <w:spacing w:line="240" w:lineRule="atLeast"/>
              <w:ind w:left="0"/>
              <w:rPr>
                <w:bCs/>
                <w:color w:val="000000" w:themeColor="text1"/>
                <w:sz w:val="16"/>
                <w:lang w:val="en-IE"/>
              </w:rPr>
            </w:pPr>
          </w:p>
          <w:p w14:paraId="58AFDA75" w14:textId="77777777" w:rsidR="00CA723A" w:rsidRDefault="001B5085" w:rsidP="00CA723A">
            <w:pPr>
              <w:spacing w:line="240" w:lineRule="atLeast"/>
              <w:ind w:left="0"/>
              <w:rPr>
                <w:bCs/>
                <w:color w:val="000000" w:themeColor="text1"/>
                <w:sz w:val="16"/>
                <w:lang w:val="en-GB"/>
              </w:rPr>
            </w:pPr>
            <w:r>
              <w:rPr>
                <w:b/>
                <w:color w:val="000000" w:themeColor="text1"/>
                <w:sz w:val="16"/>
                <w:u w:val="single"/>
                <w:lang w:val="en-IE"/>
              </w:rPr>
              <w:t>C</w:t>
            </w:r>
            <w:r w:rsidR="00CA723A" w:rsidRPr="00CA723A">
              <w:rPr>
                <w:b/>
                <w:color w:val="000000" w:themeColor="text1"/>
                <w:sz w:val="16"/>
                <w:u w:val="single"/>
                <w:lang w:val="en-IE"/>
              </w:rPr>
              <w:t>hallenge:</w:t>
            </w:r>
            <w:r w:rsidR="00CA723A">
              <w:rPr>
                <w:bCs/>
                <w:color w:val="000000" w:themeColor="text1"/>
                <w:sz w:val="16"/>
                <w:lang w:val="en-IE"/>
              </w:rPr>
              <w:t xml:space="preserve"> </w:t>
            </w:r>
            <w:r w:rsidR="00CA723A" w:rsidRPr="00CA723A">
              <w:rPr>
                <w:color w:val="000000" w:themeColor="text1"/>
                <w:sz w:val="16"/>
                <w:lang w:val="en-GB"/>
              </w:rPr>
              <w:t>Governance processes &amp; practices</w:t>
            </w:r>
            <w:r w:rsidR="00CA723A" w:rsidRPr="00CA723A">
              <w:rPr>
                <w:bCs/>
                <w:color w:val="000000" w:themeColor="text1"/>
                <w:sz w:val="16"/>
                <w:lang w:val="en-GB"/>
              </w:rPr>
              <w:t xml:space="preserve"> </w:t>
            </w:r>
          </w:p>
          <w:p w14:paraId="3C57576C" w14:textId="77963659" w:rsidR="00D31676" w:rsidRPr="00CA723A" w:rsidRDefault="00D31676" w:rsidP="00CA723A">
            <w:pPr>
              <w:spacing w:line="240" w:lineRule="atLeast"/>
              <w:ind w:left="0"/>
              <w:rPr>
                <w:color w:val="000000" w:themeColor="text1"/>
                <w:sz w:val="16"/>
                <w:lang w:val="en-GB"/>
              </w:rPr>
            </w:pPr>
          </w:p>
        </w:tc>
        <w:tc>
          <w:tcPr>
            <w:tcW w:w="0" w:type="auto"/>
          </w:tcPr>
          <w:p w14:paraId="7DC1A891" w14:textId="52CC57B1" w:rsidR="002471BE" w:rsidRPr="00986C91" w:rsidRDefault="002D0FB7" w:rsidP="002471BE">
            <w:pPr>
              <w:spacing w:line="240" w:lineRule="atLeast"/>
              <w:ind w:left="0"/>
              <w:rPr>
                <w:color w:val="000000" w:themeColor="text1"/>
                <w:sz w:val="16"/>
                <w:lang w:val="en-GB"/>
              </w:rPr>
            </w:pPr>
            <w:r w:rsidRPr="00986C91">
              <w:rPr>
                <w:color w:val="000000" w:themeColor="text1"/>
                <w:sz w:val="16"/>
                <w:lang w:val="en-GB"/>
              </w:rPr>
              <w:t>The Member State benefits from the Just Transition Fund and/or develops guidelines for the DNSH principle in a decentralised manner (i.e., involving equally several administrations)</w:t>
            </w:r>
            <w:r w:rsidR="002471BE" w:rsidRPr="00986C91">
              <w:rPr>
                <w:color w:val="000000" w:themeColor="text1"/>
                <w:sz w:val="16"/>
                <w:lang w:val="en-GB"/>
              </w:rPr>
              <w:t>.</w:t>
            </w:r>
          </w:p>
        </w:tc>
        <w:tc>
          <w:tcPr>
            <w:tcW w:w="0" w:type="auto"/>
          </w:tcPr>
          <w:p w14:paraId="228947BF" w14:textId="700E3E7D" w:rsidR="002471BE" w:rsidRPr="00E53E5D" w:rsidRDefault="002D0FB7" w:rsidP="00E15BF6">
            <w:pPr>
              <w:spacing w:line="240" w:lineRule="atLeast"/>
              <w:ind w:left="0"/>
              <w:rPr>
                <w:color w:val="000000" w:themeColor="text1"/>
                <w:sz w:val="16"/>
              </w:rPr>
            </w:pPr>
            <w:r w:rsidRPr="00871226">
              <w:rPr>
                <w:b/>
                <w:color w:val="000000" w:themeColor="text1"/>
                <w:sz w:val="16"/>
              </w:rPr>
              <w:t>Merged</w:t>
            </w:r>
            <w:r>
              <w:rPr>
                <w:color w:val="000000" w:themeColor="text1"/>
                <w:sz w:val="16"/>
              </w:rPr>
              <w:t xml:space="preserve"> the criteria around </w:t>
            </w:r>
            <w:r w:rsidRPr="00871226">
              <w:rPr>
                <w:b/>
                <w:color w:val="000000" w:themeColor="text1"/>
                <w:sz w:val="16"/>
              </w:rPr>
              <w:t>similar economic context</w:t>
            </w:r>
            <w:r>
              <w:rPr>
                <w:color w:val="000000" w:themeColor="text1"/>
                <w:sz w:val="16"/>
              </w:rPr>
              <w:t xml:space="preserve"> with the criteria around a </w:t>
            </w:r>
            <w:r w:rsidRPr="00871226">
              <w:rPr>
                <w:b/>
                <w:color w:val="000000" w:themeColor="text1"/>
                <w:sz w:val="16"/>
              </w:rPr>
              <w:t>similar governance setting</w:t>
            </w:r>
          </w:p>
        </w:tc>
      </w:tr>
      <w:tr w:rsidR="006E5A57" w:rsidRPr="00534C94" w14:paraId="110C160E" w14:textId="77777777" w:rsidTr="00C54B61">
        <w:tc>
          <w:tcPr>
            <w:tcW w:w="0" w:type="auto"/>
            <w:shd w:val="clear" w:color="auto" w:fill="E0EBEB" w:themeFill="accent3" w:themeFillTint="66"/>
          </w:tcPr>
          <w:p w14:paraId="1A4965D1" w14:textId="1B6636DD" w:rsidR="002D0FB7" w:rsidRPr="00C54B61" w:rsidRDefault="002D0FB7" w:rsidP="00E15BF6">
            <w:pPr>
              <w:spacing w:line="240" w:lineRule="atLeast"/>
              <w:ind w:left="0"/>
              <w:rPr>
                <w:b/>
                <w:color w:val="000000" w:themeColor="text1"/>
                <w:sz w:val="16"/>
                <w:lang w:val="en-IE"/>
              </w:rPr>
            </w:pPr>
            <w:r w:rsidRPr="00C54B61">
              <w:rPr>
                <w:b/>
                <w:color w:val="000000" w:themeColor="text1"/>
                <w:sz w:val="16"/>
                <w:lang w:val="en-IE"/>
              </w:rPr>
              <w:t>C2</w:t>
            </w:r>
          </w:p>
        </w:tc>
        <w:tc>
          <w:tcPr>
            <w:tcW w:w="0" w:type="auto"/>
          </w:tcPr>
          <w:p w14:paraId="5642F696" w14:textId="77777777" w:rsidR="002D0FB7" w:rsidRDefault="002D0FB7" w:rsidP="00E15BF6">
            <w:pPr>
              <w:spacing w:line="240" w:lineRule="atLeast"/>
              <w:ind w:left="0"/>
              <w:rPr>
                <w:bCs/>
                <w:color w:val="000000" w:themeColor="text1"/>
                <w:sz w:val="16"/>
                <w:lang w:val="en-IE"/>
              </w:rPr>
            </w:pPr>
            <w:r w:rsidRPr="00834F40">
              <w:rPr>
                <w:color w:val="000000" w:themeColor="text1"/>
                <w:sz w:val="16"/>
                <w:lang w:val="en-IE"/>
              </w:rPr>
              <w:t xml:space="preserve">Implementation of the DNSH principle in transitioning sectors that are at a similar stage of maturity </w:t>
            </w:r>
            <w:r w:rsidRPr="00834F40">
              <w:rPr>
                <w:rFonts w:eastAsia="Trebuchet MS" w:cs="Trebuchet MS"/>
                <w:color w:val="000000" w:themeColor="text1"/>
                <w:sz w:val="16"/>
                <w:szCs w:val="16"/>
                <w:lang w:val="en-IE"/>
              </w:rPr>
              <w:t xml:space="preserve">as </w:t>
            </w:r>
            <w:r w:rsidRPr="00834F40">
              <w:rPr>
                <w:color w:val="000000" w:themeColor="text1"/>
                <w:sz w:val="16"/>
                <w:lang w:val="en-IE"/>
              </w:rPr>
              <w:t>in Czechia</w:t>
            </w:r>
          </w:p>
          <w:p w14:paraId="6D8EEAE5" w14:textId="77777777" w:rsidR="00CA723A" w:rsidRDefault="00CA723A" w:rsidP="00E15BF6">
            <w:pPr>
              <w:spacing w:line="240" w:lineRule="atLeast"/>
              <w:ind w:left="0"/>
              <w:rPr>
                <w:bCs/>
                <w:color w:val="000000" w:themeColor="text1"/>
                <w:sz w:val="16"/>
                <w:lang w:val="en-IE"/>
              </w:rPr>
            </w:pPr>
          </w:p>
          <w:p w14:paraId="17069F5D" w14:textId="77777777" w:rsidR="00CA723A" w:rsidRDefault="00CA723A" w:rsidP="00CA723A">
            <w:pPr>
              <w:spacing w:line="240" w:lineRule="atLeast"/>
              <w:ind w:left="0"/>
              <w:rPr>
                <w:bCs/>
                <w:color w:val="000000" w:themeColor="text1"/>
                <w:sz w:val="16"/>
                <w:lang w:val="en-IE"/>
              </w:rPr>
            </w:pPr>
            <w:r w:rsidRPr="00CA723A">
              <w:rPr>
                <w:b/>
                <w:color w:val="000000" w:themeColor="text1"/>
                <w:sz w:val="16"/>
                <w:u w:val="single"/>
                <w:lang w:val="en-IE"/>
              </w:rPr>
              <w:t>Challenge:</w:t>
            </w:r>
            <w:r w:rsidRPr="00CA723A">
              <w:t xml:space="preserve"> </w:t>
            </w:r>
            <w:r w:rsidRPr="00CA723A">
              <w:rPr>
                <w:bCs/>
                <w:color w:val="000000" w:themeColor="text1"/>
                <w:sz w:val="16"/>
              </w:rPr>
              <w:t>Implementing the application of DNSH</w:t>
            </w:r>
            <w:r w:rsidRPr="00CA723A">
              <w:rPr>
                <w:b/>
                <w:bCs/>
                <w:color w:val="000000" w:themeColor="text1"/>
                <w:sz w:val="16"/>
              </w:rPr>
              <w:t xml:space="preserve"> – </w:t>
            </w:r>
            <w:r w:rsidRPr="00CA723A">
              <w:rPr>
                <w:color w:val="000000" w:themeColor="text1"/>
                <w:sz w:val="16"/>
              </w:rPr>
              <w:t>simplified and detailed assessments</w:t>
            </w:r>
            <w:r>
              <w:rPr>
                <w:bCs/>
                <w:color w:val="000000" w:themeColor="text1"/>
                <w:sz w:val="16"/>
                <w:lang w:val="en-IE"/>
              </w:rPr>
              <w:t xml:space="preserve"> </w:t>
            </w:r>
          </w:p>
          <w:p w14:paraId="78B5D3E0" w14:textId="6D5CAA85" w:rsidR="00D31676" w:rsidRPr="00834F40" w:rsidRDefault="00D31676" w:rsidP="00CA723A">
            <w:pPr>
              <w:spacing w:line="240" w:lineRule="atLeast"/>
              <w:ind w:left="0"/>
              <w:rPr>
                <w:color w:val="000000" w:themeColor="text1"/>
                <w:sz w:val="16"/>
                <w:lang w:val="en-IE"/>
              </w:rPr>
            </w:pPr>
          </w:p>
        </w:tc>
        <w:tc>
          <w:tcPr>
            <w:tcW w:w="0" w:type="auto"/>
          </w:tcPr>
          <w:p w14:paraId="728E3521" w14:textId="044D0CC0" w:rsidR="00EC5EB4" w:rsidRPr="002471BE" w:rsidRDefault="002D0FB7" w:rsidP="00E15BF6">
            <w:pPr>
              <w:spacing w:line="240" w:lineRule="atLeast"/>
              <w:ind w:left="0"/>
              <w:rPr>
                <w:color w:val="000000" w:themeColor="text1"/>
                <w:sz w:val="16"/>
              </w:rPr>
            </w:pPr>
            <w:r w:rsidRPr="00724CEB">
              <w:rPr>
                <w:color w:val="000000" w:themeColor="text1"/>
                <w:sz w:val="16"/>
                <w:lang w:val="en-IE"/>
              </w:rPr>
              <w:t xml:space="preserve">The Member State </w:t>
            </w:r>
            <w:r w:rsidRPr="0066447A">
              <w:rPr>
                <w:color w:val="000000" w:themeColor="text1"/>
                <w:sz w:val="16"/>
              </w:rPr>
              <w:t>applies the DNSH principle to operations and projects in cyber-security, R&amp;D, competitiveness, health and social issues</w:t>
            </w:r>
            <w:r w:rsidR="002471BE">
              <w:rPr>
                <w:color w:val="000000" w:themeColor="text1"/>
                <w:sz w:val="16"/>
              </w:rPr>
              <w:t>.</w:t>
            </w:r>
          </w:p>
        </w:tc>
        <w:tc>
          <w:tcPr>
            <w:tcW w:w="0" w:type="auto"/>
          </w:tcPr>
          <w:p w14:paraId="085E86CE" w14:textId="77777777" w:rsidR="002D0FB7" w:rsidRDefault="002D0FB7" w:rsidP="00E15BF6">
            <w:pPr>
              <w:spacing w:line="240" w:lineRule="atLeast"/>
              <w:ind w:left="0"/>
              <w:rPr>
                <w:b/>
                <w:bCs/>
                <w:color w:val="000000" w:themeColor="text1"/>
                <w:sz w:val="16"/>
              </w:rPr>
            </w:pPr>
            <w:r w:rsidRPr="00E44861">
              <w:rPr>
                <w:color w:val="000000" w:themeColor="text1"/>
                <w:sz w:val="16"/>
              </w:rPr>
              <w:t xml:space="preserve">Transitioning sectors should mainly focus on sectors that require a </w:t>
            </w:r>
            <w:r w:rsidRPr="00F36340">
              <w:rPr>
                <w:b/>
                <w:color w:val="000000" w:themeColor="text1"/>
                <w:sz w:val="16"/>
              </w:rPr>
              <w:t>simplified assessment</w:t>
            </w:r>
          </w:p>
          <w:p w14:paraId="68D3ACD3" w14:textId="459BE2F4" w:rsidR="002471BE" w:rsidRPr="00E44861" w:rsidRDefault="002471BE" w:rsidP="00E15BF6">
            <w:pPr>
              <w:spacing w:line="240" w:lineRule="atLeast"/>
              <w:ind w:left="0"/>
              <w:rPr>
                <w:color w:val="000000" w:themeColor="text1"/>
                <w:sz w:val="16"/>
              </w:rPr>
            </w:pPr>
          </w:p>
        </w:tc>
      </w:tr>
      <w:tr w:rsidR="006E5A57" w14:paraId="6FDF61DE" w14:textId="77777777" w:rsidTr="00C54B61">
        <w:tc>
          <w:tcPr>
            <w:tcW w:w="0" w:type="auto"/>
            <w:shd w:val="clear" w:color="auto" w:fill="E0EBEB" w:themeFill="accent3" w:themeFillTint="66"/>
          </w:tcPr>
          <w:p w14:paraId="1A8402CE" w14:textId="0F8DE87E" w:rsidR="002D0FB7" w:rsidRPr="00C54B61" w:rsidRDefault="002D0FB7" w:rsidP="00E15BF6">
            <w:pPr>
              <w:spacing w:line="240" w:lineRule="atLeast"/>
              <w:ind w:left="0"/>
              <w:rPr>
                <w:b/>
                <w:color w:val="000000" w:themeColor="text1"/>
                <w:sz w:val="16"/>
                <w:lang w:val="en-IE"/>
              </w:rPr>
            </w:pPr>
            <w:r w:rsidRPr="00C54B61">
              <w:rPr>
                <w:b/>
                <w:color w:val="000000" w:themeColor="text1"/>
                <w:sz w:val="16"/>
                <w:lang w:val="en-IE"/>
              </w:rPr>
              <w:t>C3</w:t>
            </w:r>
          </w:p>
        </w:tc>
        <w:tc>
          <w:tcPr>
            <w:tcW w:w="0" w:type="auto"/>
          </w:tcPr>
          <w:p w14:paraId="4CFC4063" w14:textId="77777777" w:rsidR="002D0FB7" w:rsidRDefault="002D0FB7" w:rsidP="00E15BF6">
            <w:pPr>
              <w:spacing w:line="240" w:lineRule="atLeast"/>
              <w:ind w:left="0"/>
              <w:rPr>
                <w:bCs/>
                <w:color w:val="000000" w:themeColor="text1"/>
                <w:sz w:val="16"/>
                <w:lang w:val="en-IE"/>
              </w:rPr>
            </w:pPr>
            <w:r w:rsidRPr="00834F40">
              <w:rPr>
                <w:color w:val="000000" w:themeColor="text1"/>
                <w:sz w:val="16"/>
                <w:lang w:val="en-IE"/>
              </w:rPr>
              <w:t>Implementation of the DNSH principle in key sectors identified in the RRP and that are most likely to represent a risk of significant harm at the implementation level</w:t>
            </w:r>
          </w:p>
          <w:p w14:paraId="7D0CA8CF" w14:textId="77777777" w:rsidR="00CA723A" w:rsidRDefault="00CA723A" w:rsidP="00E15BF6">
            <w:pPr>
              <w:spacing w:line="240" w:lineRule="atLeast"/>
              <w:ind w:left="0"/>
              <w:rPr>
                <w:bCs/>
                <w:color w:val="000000" w:themeColor="text1"/>
                <w:sz w:val="16"/>
                <w:lang w:val="en-IE"/>
              </w:rPr>
            </w:pPr>
          </w:p>
          <w:p w14:paraId="01AB5D15" w14:textId="77777777" w:rsidR="00CA723A" w:rsidRDefault="00CA723A" w:rsidP="00CA723A">
            <w:pPr>
              <w:spacing w:line="240" w:lineRule="atLeast"/>
              <w:ind w:left="0"/>
              <w:rPr>
                <w:color w:val="000000" w:themeColor="text1"/>
                <w:sz w:val="16"/>
              </w:rPr>
            </w:pPr>
            <w:r w:rsidRPr="00483E52">
              <w:rPr>
                <w:b/>
                <w:color w:val="000000" w:themeColor="text1"/>
                <w:sz w:val="16"/>
                <w:u w:val="single"/>
                <w:lang w:val="en-IE"/>
              </w:rPr>
              <w:t>Challenge:</w:t>
            </w:r>
            <w:r>
              <w:rPr>
                <w:bCs/>
                <w:color w:val="000000" w:themeColor="text1"/>
                <w:sz w:val="16"/>
                <w:lang w:val="en-IE"/>
              </w:rPr>
              <w:t xml:space="preserve"> </w:t>
            </w:r>
            <w:r w:rsidRPr="00CA723A">
              <w:rPr>
                <w:bCs/>
                <w:color w:val="000000" w:themeColor="text1"/>
                <w:sz w:val="16"/>
              </w:rPr>
              <w:t>Application of the DNSH principle to</w:t>
            </w:r>
            <w:r w:rsidRPr="00CA723A">
              <w:rPr>
                <w:b/>
                <w:bCs/>
                <w:color w:val="000000" w:themeColor="text1"/>
                <w:sz w:val="16"/>
              </w:rPr>
              <w:t xml:space="preserve"> </w:t>
            </w:r>
            <w:r w:rsidRPr="00483E52">
              <w:rPr>
                <w:color w:val="000000" w:themeColor="text1"/>
                <w:sz w:val="16"/>
              </w:rPr>
              <w:t>R&amp;D and green innovation projects</w:t>
            </w:r>
          </w:p>
          <w:p w14:paraId="17B6D6ED" w14:textId="741C6DC0" w:rsidR="00D31676" w:rsidRPr="00834F40" w:rsidRDefault="00D31676" w:rsidP="00CA723A">
            <w:pPr>
              <w:spacing w:line="240" w:lineRule="atLeast"/>
              <w:ind w:left="0"/>
              <w:rPr>
                <w:color w:val="000000" w:themeColor="text1"/>
                <w:sz w:val="16"/>
                <w:lang w:val="en-IE"/>
              </w:rPr>
            </w:pPr>
          </w:p>
        </w:tc>
        <w:tc>
          <w:tcPr>
            <w:tcW w:w="0" w:type="auto"/>
          </w:tcPr>
          <w:p w14:paraId="666199E3" w14:textId="0FBF9598" w:rsidR="007347CA" w:rsidRDefault="002D0FB7" w:rsidP="00D31676">
            <w:pPr>
              <w:spacing w:line="240" w:lineRule="atLeast"/>
              <w:ind w:left="0"/>
              <w:rPr>
                <w:color w:val="000000" w:themeColor="text1"/>
                <w:sz w:val="16"/>
                <w:lang w:val="en-IE"/>
              </w:rPr>
            </w:pPr>
            <w:r w:rsidRPr="00724CEB">
              <w:rPr>
                <w:color w:val="000000" w:themeColor="text1"/>
                <w:sz w:val="16"/>
                <w:lang w:val="en-IE"/>
              </w:rPr>
              <w:t>The assessment of the Member State's RRP identified risks in the protection of nature and adaptation to climate change in the sector of water infrastructure, the sustainable use of bioenergy, the support to zero- or low-emission vehicles, and the reuse or recycling of construction waste</w:t>
            </w:r>
            <w:r w:rsidR="007347CA">
              <w:rPr>
                <w:color w:val="000000" w:themeColor="text1"/>
                <w:sz w:val="16"/>
                <w:lang w:val="en-IE"/>
              </w:rPr>
              <w:t xml:space="preserve">; </w:t>
            </w:r>
            <w:r w:rsidR="007347CA" w:rsidRPr="007347CA">
              <w:rPr>
                <w:i/>
                <w:iCs/>
                <w:color w:val="000000" w:themeColor="text1"/>
                <w:sz w:val="16"/>
                <w:lang w:val="en-IE"/>
              </w:rPr>
              <w:t>or</w:t>
            </w:r>
          </w:p>
          <w:p w14:paraId="5C6012A5" w14:textId="06ECCD55" w:rsidR="002471BE" w:rsidRPr="00724CEB" w:rsidRDefault="007347CA" w:rsidP="00D31676">
            <w:pPr>
              <w:spacing w:line="240" w:lineRule="atLeast"/>
              <w:ind w:left="0"/>
              <w:rPr>
                <w:color w:val="000000" w:themeColor="text1"/>
                <w:sz w:val="16"/>
                <w:lang w:val="en-IE"/>
              </w:rPr>
            </w:pPr>
            <w:r>
              <w:rPr>
                <w:color w:val="000000" w:themeColor="text1"/>
                <w:sz w:val="16"/>
                <w:lang w:val="en-IE"/>
              </w:rPr>
              <w:t xml:space="preserve">Step 1 revealed a methodology for building </w:t>
            </w:r>
            <w:r w:rsidR="00DA77AD">
              <w:rPr>
                <w:color w:val="000000" w:themeColor="text1"/>
                <w:sz w:val="16"/>
                <w:lang w:val="en-IE"/>
              </w:rPr>
              <w:t xml:space="preserve">specific </w:t>
            </w:r>
            <w:r>
              <w:rPr>
                <w:color w:val="000000" w:themeColor="text1"/>
                <w:sz w:val="16"/>
                <w:lang w:val="en-IE"/>
              </w:rPr>
              <w:t>alternative DNSH processes and/or criteria</w:t>
            </w:r>
            <w:r w:rsidR="00DA77AD">
              <w:rPr>
                <w:color w:val="000000" w:themeColor="text1"/>
                <w:sz w:val="16"/>
                <w:lang w:val="en-IE"/>
              </w:rPr>
              <w:t xml:space="preserve"> </w:t>
            </w:r>
          </w:p>
        </w:tc>
        <w:tc>
          <w:tcPr>
            <w:tcW w:w="0" w:type="auto"/>
          </w:tcPr>
          <w:p w14:paraId="7350BFEC" w14:textId="53097ADE" w:rsidR="002D0FB7" w:rsidRPr="00953412" w:rsidRDefault="002D0FB7" w:rsidP="00E15BF6">
            <w:pPr>
              <w:spacing w:line="240" w:lineRule="atLeast"/>
              <w:ind w:left="0"/>
              <w:rPr>
                <w:color w:val="000000" w:themeColor="text1"/>
                <w:sz w:val="16"/>
                <w:lang w:val="en-IE"/>
              </w:rPr>
            </w:pPr>
            <w:r w:rsidRPr="00F36340">
              <w:rPr>
                <w:b/>
                <w:color w:val="000000" w:themeColor="text1"/>
                <w:sz w:val="16"/>
                <w:lang w:val="en-IE"/>
              </w:rPr>
              <w:t>Challenging sectors</w:t>
            </w:r>
            <w:r w:rsidRPr="00953412">
              <w:rPr>
                <w:color w:val="000000" w:themeColor="text1"/>
                <w:sz w:val="16"/>
                <w:lang w:val="en-IE"/>
              </w:rPr>
              <w:t xml:space="preserve"> should be targeted (biomass-related projects and waste in criteria)</w:t>
            </w:r>
            <w:r w:rsidR="006E5A57">
              <w:rPr>
                <w:color w:val="000000" w:themeColor="text1"/>
                <w:sz w:val="16"/>
                <w:lang w:val="en-IE"/>
              </w:rPr>
              <w:t>,</w:t>
            </w:r>
            <w:r w:rsidR="009252A1">
              <w:rPr>
                <w:color w:val="000000" w:themeColor="text1"/>
                <w:sz w:val="16"/>
                <w:lang w:val="en-IE"/>
              </w:rPr>
              <w:t xml:space="preserve"> and </w:t>
            </w:r>
            <w:r w:rsidR="00384D85">
              <w:rPr>
                <w:color w:val="000000" w:themeColor="text1"/>
                <w:sz w:val="16"/>
                <w:lang w:val="en-IE"/>
              </w:rPr>
              <w:t xml:space="preserve">alternative </w:t>
            </w:r>
            <w:r w:rsidR="007A1912">
              <w:rPr>
                <w:color w:val="000000" w:themeColor="text1"/>
                <w:sz w:val="16"/>
                <w:lang w:val="en-IE"/>
              </w:rPr>
              <w:t>criteria and/or processes</w:t>
            </w:r>
            <w:r w:rsidR="006E5A57">
              <w:rPr>
                <w:color w:val="000000" w:themeColor="text1"/>
                <w:sz w:val="16"/>
                <w:lang w:val="en-IE"/>
              </w:rPr>
              <w:t xml:space="preserve"> should be discussed</w:t>
            </w:r>
          </w:p>
        </w:tc>
      </w:tr>
    </w:tbl>
    <w:p w14:paraId="2CC6ED34" w14:textId="13943278" w:rsidR="00E15BF6" w:rsidRPr="00724CEB" w:rsidRDefault="00E15BF6" w:rsidP="00E15BF6">
      <w:pPr>
        <w:rPr>
          <w:i/>
          <w:iCs/>
          <w:sz w:val="16"/>
          <w:szCs w:val="21"/>
          <w:lang w:val="en-IE"/>
        </w:rPr>
      </w:pPr>
      <w:r w:rsidRPr="00724CEB">
        <w:rPr>
          <w:i/>
          <w:iCs/>
          <w:sz w:val="16"/>
          <w:szCs w:val="21"/>
          <w:lang w:val="en-IE"/>
        </w:rPr>
        <w:t>Note: the analysis of lessons learn</w:t>
      </w:r>
      <w:r w:rsidR="003A2C1F">
        <w:rPr>
          <w:i/>
          <w:iCs/>
          <w:sz w:val="16"/>
          <w:szCs w:val="21"/>
          <w:lang w:val="en-IE"/>
        </w:rPr>
        <w:t>ed</w:t>
      </w:r>
      <w:r w:rsidRPr="00724CEB">
        <w:rPr>
          <w:i/>
          <w:iCs/>
          <w:sz w:val="16"/>
          <w:szCs w:val="21"/>
          <w:lang w:val="en-IE"/>
        </w:rPr>
        <w:t xml:space="preserve"> encompasses both good and bad practices, and challenges faced.</w:t>
      </w:r>
    </w:p>
    <w:p w14:paraId="7326CAAE" w14:textId="77777777" w:rsidR="00E15BF6" w:rsidRPr="00724CEB" w:rsidRDefault="00E15BF6" w:rsidP="00E15BF6">
      <w:pPr>
        <w:rPr>
          <w:lang w:val="en-IE"/>
        </w:rPr>
      </w:pPr>
    </w:p>
    <w:p w14:paraId="4F397648" w14:textId="6C7C2777" w:rsidR="00A60168" w:rsidRDefault="005E559D" w:rsidP="006B276D">
      <w:pPr>
        <w:rPr>
          <w:lang w:val="en-IE"/>
        </w:rPr>
      </w:pPr>
      <w:r>
        <w:rPr>
          <w:lang w:val="en-IE"/>
        </w:rPr>
        <w:t>While t</w:t>
      </w:r>
      <w:r w:rsidR="006B276D" w:rsidRPr="006B276D">
        <w:rPr>
          <w:lang w:val="en-IE"/>
        </w:rPr>
        <w:t xml:space="preserve">he project team </w:t>
      </w:r>
      <w:r w:rsidR="00A60168">
        <w:rPr>
          <w:lang w:val="en-IE"/>
        </w:rPr>
        <w:t xml:space="preserve">initially </w:t>
      </w:r>
      <w:r w:rsidR="006B276D" w:rsidRPr="006B276D">
        <w:rPr>
          <w:lang w:val="en-IE"/>
        </w:rPr>
        <w:t>propose</w:t>
      </w:r>
      <w:r w:rsidR="00A60168">
        <w:rPr>
          <w:lang w:val="en-IE"/>
        </w:rPr>
        <w:t>d</w:t>
      </w:r>
      <w:r w:rsidR="006B276D" w:rsidRPr="006B276D">
        <w:rPr>
          <w:lang w:val="en-IE"/>
        </w:rPr>
        <w:t xml:space="preserve"> </w:t>
      </w:r>
      <w:r w:rsidR="008166C8">
        <w:rPr>
          <w:lang w:val="en-IE"/>
        </w:rPr>
        <w:t xml:space="preserve">to develop a </w:t>
      </w:r>
      <w:r w:rsidR="00A60168" w:rsidRPr="006B276D">
        <w:rPr>
          <w:lang w:val="en-IE"/>
        </w:rPr>
        <w:t>scoring-type matrix that will assess the DNSH implementation developments</w:t>
      </w:r>
      <w:r w:rsidR="008166C8">
        <w:rPr>
          <w:lang w:val="en-IE"/>
        </w:rPr>
        <w:t xml:space="preserve"> around each of the</w:t>
      </w:r>
      <w:r w:rsidR="000B50E6">
        <w:rPr>
          <w:lang w:val="en-IE"/>
        </w:rPr>
        <w:t xml:space="preserve"> above criteria and DNSH challenges, this turned out quite difficult due to the </w:t>
      </w:r>
      <w:r w:rsidR="00DA0545">
        <w:rPr>
          <w:lang w:val="en-IE"/>
        </w:rPr>
        <w:t xml:space="preserve">rather limited (or non-existing) </w:t>
      </w:r>
      <w:r w:rsidR="000B50E6">
        <w:rPr>
          <w:lang w:val="en-IE"/>
        </w:rPr>
        <w:t>publicly available documentation on the</w:t>
      </w:r>
      <w:r w:rsidR="00DA0545">
        <w:rPr>
          <w:lang w:val="en-IE"/>
        </w:rPr>
        <w:t xml:space="preserve"> practices, examples and lessons</w:t>
      </w:r>
      <w:r w:rsidR="00DA0545" w:rsidDel="00EC73C1">
        <w:rPr>
          <w:lang w:val="en-IE"/>
        </w:rPr>
        <w:t xml:space="preserve"> </w:t>
      </w:r>
      <w:r w:rsidR="00DA0545">
        <w:rPr>
          <w:lang w:val="en-IE"/>
        </w:rPr>
        <w:t xml:space="preserve">from EU Member States around </w:t>
      </w:r>
      <w:r w:rsidR="00A00A88">
        <w:rPr>
          <w:lang w:val="en-IE"/>
        </w:rPr>
        <w:t>DNSH implementation. Therefore, the project team had to mainly rely on the good practices</w:t>
      </w:r>
      <w:r w:rsidR="00671028">
        <w:rPr>
          <w:lang w:val="en-IE"/>
        </w:rPr>
        <w:t xml:space="preserve"> </w:t>
      </w:r>
      <w:r>
        <w:rPr>
          <w:lang w:val="en-IE"/>
        </w:rPr>
        <w:t>observed</w:t>
      </w:r>
      <w:r w:rsidR="00671028">
        <w:rPr>
          <w:lang w:val="en-IE"/>
        </w:rPr>
        <w:t xml:space="preserve"> by Trinomics</w:t>
      </w:r>
      <w:r w:rsidR="00EC73C1">
        <w:rPr>
          <w:lang w:val="en-IE"/>
        </w:rPr>
        <w:t xml:space="preserve"> in TSI work through which it</w:t>
      </w:r>
      <w:r w:rsidR="00671028" w:rsidDel="00EC73C1">
        <w:rPr>
          <w:lang w:val="en-IE"/>
        </w:rPr>
        <w:t xml:space="preserve"> </w:t>
      </w:r>
      <w:r w:rsidR="007C1E7A">
        <w:rPr>
          <w:lang w:val="en-IE"/>
        </w:rPr>
        <w:t>provides support around DNSH implementation and monitoring, combined with suggestions from the</w:t>
      </w:r>
      <w:r w:rsidR="00671028">
        <w:rPr>
          <w:lang w:val="en-IE"/>
        </w:rPr>
        <w:t xml:space="preserve"> Commission’s services</w:t>
      </w:r>
      <w:r w:rsidR="007C1E7A">
        <w:rPr>
          <w:lang w:val="en-IE"/>
        </w:rPr>
        <w:t xml:space="preserve"> through the rounds of technical consultation</w:t>
      </w:r>
      <w:r w:rsidR="00EC73C1">
        <w:rPr>
          <w:lang w:val="en-IE"/>
        </w:rPr>
        <w:t>s</w:t>
      </w:r>
      <w:r w:rsidR="0078420F">
        <w:rPr>
          <w:lang w:val="en-IE"/>
        </w:rPr>
        <w:t>.</w:t>
      </w:r>
    </w:p>
    <w:p w14:paraId="478C6A30" w14:textId="77777777" w:rsidR="00700533" w:rsidRPr="003B7DD2" w:rsidRDefault="00700533" w:rsidP="00700533"/>
    <w:p w14:paraId="5522AC10" w14:textId="0B2AF9F5" w:rsidR="00700533" w:rsidRPr="00700533" w:rsidRDefault="00AB0984" w:rsidP="00AB0984">
      <w:pPr>
        <w:pStyle w:val="Nadpis2"/>
      </w:pPr>
      <w:bookmarkStart w:id="12" w:name="_Toc131775830"/>
      <w:r>
        <w:t xml:space="preserve">Selection of DNSH </w:t>
      </w:r>
      <w:r w:rsidR="005F225D">
        <w:t>practices</w:t>
      </w:r>
      <w:r>
        <w:t xml:space="preserve"> and </w:t>
      </w:r>
      <w:r w:rsidR="00ED3FAB">
        <w:t>peer</w:t>
      </w:r>
      <w:r>
        <w:t xml:space="preserve"> EU Member States</w:t>
      </w:r>
      <w:bookmarkEnd w:id="12"/>
    </w:p>
    <w:p w14:paraId="62803E77" w14:textId="7E677B75" w:rsidR="007B19DC" w:rsidRPr="00CB5091" w:rsidRDefault="00CB5091" w:rsidP="00BD3CD3">
      <w:pPr>
        <w:rPr>
          <w:lang w:val="en-IE"/>
        </w:rPr>
      </w:pPr>
      <w:r w:rsidRPr="00CB5091">
        <w:rPr>
          <w:lang w:val="en-IE"/>
        </w:rPr>
        <w:t xml:space="preserve">Based on the updated selection criteria matrix, the project team has gathered examples from other EU Member States against each of the criteria </w:t>
      </w:r>
      <w:r w:rsidR="00937AB1">
        <w:rPr>
          <w:lang w:val="en-IE"/>
        </w:rPr>
        <w:t>and challenges identified</w:t>
      </w:r>
      <w:r w:rsidR="00EB464C">
        <w:rPr>
          <w:lang w:val="en-IE"/>
        </w:rPr>
        <w:t xml:space="preserve">, mostly from </w:t>
      </w:r>
      <w:r w:rsidR="00015A08">
        <w:rPr>
          <w:lang w:val="en-IE"/>
        </w:rPr>
        <w:t>Member States that are being supported by Trinomics under other SRSS/TSI funded projects</w:t>
      </w:r>
      <w:r w:rsidR="00A27D20">
        <w:rPr>
          <w:lang w:val="en-IE"/>
        </w:rPr>
        <w:t xml:space="preserve"> by DG REFORM</w:t>
      </w:r>
      <w:r w:rsidR="00937AB1">
        <w:rPr>
          <w:lang w:val="en-IE"/>
        </w:rPr>
        <w:t xml:space="preserve">. </w:t>
      </w:r>
      <w:r w:rsidR="00A04A46">
        <w:rPr>
          <w:lang w:val="en-IE"/>
        </w:rPr>
        <w:t xml:space="preserve">The </w:t>
      </w:r>
      <w:r w:rsidR="00A04A46">
        <w:rPr>
          <w:lang w:val="en-IE"/>
        </w:rPr>
        <w:lastRenderedPageBreak/>
        <w:t>recommendations</w:t>
      </w:r>
      <w:r w:rsidR="00B142B2">
        <w:rPr>
          <w:lang w:val="en-IE"/>
        </w:rPr>
        <w:t xml:space="preserve"> </w:t>
      </w:r>
      <w:r w:rsidR="00A04A46">
        <w:rPr>
          <w:lang w:val="en-IE"/>
        </w:rPr>
        <w:t xml:space="preserve">made </w:t>
      </w:r>
      <w:r w:rsidR="00B142B2">
        <w:rPr>
          <w:lang w:val="en-IE"/>
        </w:rPr>
        <w:t xml:space="preserve">by the project team </w:t>
      </w:r>
      <w:r w:rsidR="00A04A46">
        <w:rPr>
          <w:lang w:val="en-IE"/>
        </w:rPr>
        <w:t xml:space="preserve">to the </w:t>
      </w:r>
      <w:r w:rsidR="00360431">
        <w:rPr>
          <w:lang w:val="en-IE"/>
        </w:rPr>
        <w:t>project’s MC</w:t>
      </w:r>
      <w:r w:rsidR="00B142B2">
        <w:rPr>
          <w:lang w:val="en-IE"/>
        </w:rPr>
        <w:t>,</w:t>
      </w:r>
      <w:r w:rsidR="00A04A46">
        <w:rPr>
          <w:lang w:val="en-IE"/>
        </w:rPr>
        <w:t xml:space="preserve"> as part of the scoping work for this deliverable</w:t>
      </w:r>
      <w:r w:rsidR="00B142B2">
        <w:rPr>
          <w:lang w:val="en-IE"/>
        </w:rPr>
        <w:t xml:space="preserve">, are listed in </w:t>
      </w:r>
      <w:r w:rsidR="003E3777" w:rsidRPr="00D7218C">
        <w:rPr>
          <w:lang w:val="en-IE"/>
        </w:rPr>
        <w:fldChar w:fldCharType="begin"/>
      </w:r>
      <w:r w:rsidR="003E3777" w:rsidRPr="00D7218C">
        <w:rPr>
          <w:lang w:val="en-IE"/>
        </w:rPr>
        <w:instrText xml:space="preserve"> REF _Ref128060306 \h  \* MERGEFORMAT </w:instrText>
      </w:r>
      <w:r w:rsidR="003E3777" w:rsidRPr="00D7218C">
        <w:rPr>
          <w:lang w:val="en-IE"/>
        </w:rPr>
      </w:r>
      <w:r w:rsidR="003E3777" w:rsidRPr="00D7218C">
        <w:rPr>
          <w:lang w:val="en-IE"/>
        </w:rPr>
        <w:fldChar w:fldCharType="separate"/>
      </w:r>
      <w:r w:rsidR="0031368D">
        <w:t>Table 2</w:t>
      </w:r>
      <w:r w:rsidR="003E3777" w:rsidRPr="00D7218C">
        <w:rPr>
          <w:lang w:val="en-IE"/>
        </w:rPr>
        <w:fldChar w:fldCharType="end"/>
      </w:r>
      <w:r w:rsidR="00B142B2">
        <w:rPr>
          <w:lang w:val="en-IE"/>
        </w:rPr>
        <w:t xml:space="preserve">. </w:t>
      </w:r>
    </w:p>
    <w:p w14:paraId="7B9B4633" w14:textId="77777777" w:rsidR="00CB5091" w:rsidRPr="00CB5091" w:rsidRDefault="00CB5091" w:rsidP="00CB5091">
      <w:pPr>
        <w:rPr>
          <w:lang w:val="en-IE"/>
        </w:rPr>
      </w:pPr>
    </w:p>
    <w:p w14:paraId="1DEAB016" w14:textId="49141EF7" w:rsidR="003E3777" w:rsidRDefault="003E3777" w:rsidP="003E3777">
      <w:pPr>
        <w:pStyle w:val="Titulek"/>
        <w:keepNext/>
      </w:pPr>
      <w:bookmarkStart w:id="13" w:name="_Ref128060306"/>
      <w:r>
        <w:t xml:space="preserve">Table </w:t>
      </w:r>
      <w:fldSimple w:instr=" SEQ Table \* ARABIC ">
        <w:r w:rsidR="0031368D">
          <w:rPr>
            <w:noProof/>
          </w:rPr>
          <w:t>2</w:t>
        </w:r>
      </w:fldSimple>
      <w:bookmarkEnd w:id="13"/>
      <w:r>
        <w:t xml:space="preserve"> </w:t>
      </w:r>
      <w:r w:rsidRPr="008A2C83">
        <w:t>Suggestions for the selection of EU Member States for the peer learning exchange webinars</w:t>
      </w:r>
    </w:p>
    <w:tbl>
      <w:tblPr>
        <w:tblStyle w:val="Mkatabulky"/>
        <w:tblW w:w="0" w:type="auto"/>
        <w:tblInd w:w="562" w:type="dxa"/>
        <w:tblLook w:val="04A0" w:firstRow="1" w:lastRow="0" w:firstColumn="1" w:lastColumn="0" w:noHBand="0" w:noVBand="1"/>
      </w:tblPr>
      <w:tblGrid>
        <w:gridCol w:w="452"/>
        <w:gridCol w:w="1971"/>
        <w:gridCol w:w="6031"/>
      </w:tblGrid>
      <w:tr w:rsidR="002822BB" w14:paraId="2AA2A48E" w14:textId="77777777" w:rsidTr="003E3777">
        <w:tc>
          <w:tcPr>
            <w:tcW w:w="0" w:type="auto"/>
            <w:shd w:val="clear" w:color="auto" w:fill="002C54" w:themeFill="accent5"/>
          </w:tcPr>
          <w:p w14:paraId="406A5A96" w14:textId="77777777" w:rsidR="0003154C" w:rsidRPr="00724CEB" w:rsidRDefault="0003154C" w:rsidP="00605552">
            <w:pPr>
              <w:spacing w:line="240" w:lineRule="atLeast"/>
              <w:ind w:left="0"/>
              <w:jc w:val="both"/>
              <w:rPr>
                <w:b/>
                <w:color w:val="FFFFFF" w:themeColor="background1"/>
                <w:sz w:val="16"/>
                <w:lang w:val="en-IE"/>
              </w:rPr>
            </w:pPr>
          </w:p>
        </w:tc>
        <w:tc>
          <w:tcPr>
            <w:tcW w:w="1971" w:type="dxa"/>
            <w:shd w:val="clear" w:color="auto" w:fill="002C54" w:themeFill="accent5"/>
          </w:tcPr>
          <w:p w14:paraId="4B2206C8" w14:textId="3B74491E" w:rsidR="0003154C" w:rsidRPr="00724CEB" w:rsidRDefault="00483E52" w:rsidP="00605552">
            <w:pPr>
              <w:spacing w:line="240" w:lineRule="atLeast"/>
              <w:ind w:left="0"/>
              <w:jc w:val="both"/>
              <w:rPr>
                <w:b/>
                <w:color w:val="FFFFFF" w:themeColor="background1"/>
                <w:sz w:val="16"/>
                <w:lang w:val="en-IE"/>
              </w:rPr>
            </w:pPr>
            <w:r>
              <w:rPr>
                <w:b/>
                <w:color w:val="FFFFFF" w:themeColor="background1"/>
                <w:sz w:val="16"/>
                <w:lang w:val="en-IE"/>
              </w:rPr>
              <w:t xml:space="preserve">DNSH challenge for peer </w:t>
            </w:r>
            <w:r w:rsidR="0003154C">
              <w:rPr>
                <w:b/>
                <w:color w:val="FFFFFF" w:themeColor="background1"/>
                <w:sz w:val="16"/>
                <w:lang w:val="en-IE"/>
              </w:rPr>
              <w:t xml:space="preserve">learning exchange </w:t>
            </w:r>
          </w:p>
        </w:tc>
        <w:tc>
          <w:tcPr>
            <w:tcW w:w="6031" w:type="dxa"/>
            <w:shd w:val="clear" w:color="auto" w:fill="002C54" w:themeFill="accent5"/>
          </w:tcPr>
          <w:p w14:paraId="736AFBC6" w14:textId="0421FD9A" w:rsidR="0003154C" w:rsidRPr="00724CEB" w:rsidRDefault="009436F0" w:rsidP="00605552">
            <w:pPr>
              <w:spacing w:line="240" w:lineRule="atLeast"/>
              <w:ind w:left="0"/>
              <w:rPr>
                <w:b/>
                <w:color w:val="FFFFFF" w:themeColor="background1"/>
                <w:sz w:val="16"/>
                <w:lang w:val="en-IE"/>
              </w:rPr>
            </w:pPr>
            <w:r>
              <w:rPr>
                <w:b/>
                <w:color w:val="FFFFFF" w:themeColor="background1"/>
                <w:sz w:val="16"/>
                <w:lang w:val="en-IE"/>
              </w:rPr>
              <w:t>Focus cases identified</w:t>
            </w:r>
            <w:r w:rsidR="00BF1851">
              <w:rPr>
                <w:b/>
                <w:color w:val="FFFFFF" w:themeColor="background1"/>
                <w:sz w:val="16"/>
                <w:lang w:val="en-IE"/>
              </w:rPr>
              <w:t xml:space="preserve"> </w:t>
            </w:r>
            <w:r w:rsidR="00A85AA3">
              <w:rPr>
                <w:b/>
                <w:color w:val="FFFFFF" w:themeColor="background1"/>
                <w:sz w:val="16"/>
                <w:lang w:val="en-IE"/>
              </w:rPr>
              <w:t>during the desk-based research</w:t>
            </w:r>
          </w:p>
        </w:tc>
      </w:tr>
      <w:tr w:rsidR="00D907DD" w:rsidRPr="00E53E5D" w14:paraId="05E5183B" w14:textId="77777777" w:rsidTr="003E3777">
        <w:trPr>
          <w:trHeight w:val="1422"/>
        </w:trPr>
        <w:tc>
          <w:tcPr>
            <w:tcW w:w="0" w:type="auto"/>
            <w:shd w:val="clear" w:color="auto" w:fill="E0EBEB" w:themeFill="accent3" w:themeFillTint="66"/>
          </w:tcPr>
          <w:p w14:paraId="3C8F992D" w14:textId="37A01AF7" w:rsidR="00D907DD" w:rsidRPr="00C54B61" w:rsidRDefault="00D907DD" w:rsidP="00605552">
            <w:pPr>
              <w:spacing w:line="240" w:lineRule="atLeast"/>
              <w:ind w:left="0"/>
              <w:rPr>
                <w:b/>
                <w:color w:val="000000" w:themeColor="text1"/>
                <w:sz w:val="16"/>
                <w:lang w:val="en-IE"/>
              </w:rPr>
            </w:pPr>
            <w:r w:rsidRPr="00C54B61">
              <w:rPr>
                <w:b/>
                <w:color w:val="000000" w:themeColor="text1"/>
                <w:sz w:val="16"/>
                <w:lang w:val="en-IE"/>
              </w:rPr>
              <w:t>W1</w:t>
            </w:r>
          </w:p>
        </w:tc>
        <w:tc>
          <w:tcPr>
            <w:tcW w:w="1971" w:type="dxa"/>
          </w:tcPr>
          <w:p w14:paraId="6BF43906" w14:textId="0B9CEFE8" w:rsidR="00D907DD" w:rsidRPr="00483E52" w:rsidRDefault="00D907DD" w:rsidP="00483E52">
            <w:pPr>
              <w:spacing w:line="240" w:lineRule="atLeast"/>
              <w:ind w:left="0"/>
              <w:rPr>
                <w:color w:val="000000" w:themeColor="text1"/>
                <w:sz w:val="16"/>
                <w:lang w:val="en-GB"/>
              </w:rPr>
            </w:pPr>
            <w:r w:rsidRPr="00483E52">
              <w:rPr>
                <w:b/>
                <w:bCs/>
                <w:color w:val="000000" w:themeColor="text1"/>
                <w:sz w:val="16"/>
                <w:lang w:val="en-GB"/>
              </w:rPr>
              <w:t>Governance processes &amp; practices</w:t>
            </w:r>
            <w:r w:rsidRPr="00483E52">
              <w:rPr>
                <w:bCs/>
                <w:color w:val="000000" w:themeColor="text1"/>
                <w:sz w:val="16"/>
                <w:lang w:val="en-GB"/>
              </w:rPr>
              <w:t xml:space="preserve"> around the implementation of the DNSH principle</w:t>
            </w:r>
          </w:p>
        </w:tc>
        <w:tc>
          <w:tcPr>
            <w:tcW w:w="6031" w:type="dxa"/>
            <w:shd w:val="clear" w:color="auto" w:fill="auto"/>
          </w:tcPr>
          <w:p w14:paraId="133C87AE" w14:textId="0311943B" w:rsidR="00D907DD" w:rsidRDefault="00D907DD" w:rsidP="00605552">
            <w:pPr>
              <w:spacing w:line="240" w:lineRule="atLeast"/>
              <w:ind w:left="0"/>
              <w:rPr>
                <w:color w:val="000000" w:themeColor="text1"/>
                <w:sz w:val="16"/>
                <w:lang w:val="en-IE"/>
              </w:rPr>
            </w:pPr>
            <w:r w:rsidRPr="00300EE5">
              <w:rPr>
                <w:b/>
                <w:color w:val="000000" w:themeColor="text1"/>
                <w:sz w:val="16"/>
                <w:u w:val="single"/>
                <w:lang w:val="en-IE"/>
              </w:rPr>
              <w:t>Belgium:</w:t>
            </w:r>
            <w:r w:rsidDel="00EC73C1">
              <w:rPr>
                <w:color w:val="000000" w:themeColor="text1"/>
                <w:sz w:val="16"/>
                <w:lang w:val="en-IE"/>
              </w:rPr>
              <w:t xml:space="preserve"> </w:t>
            </w:r>
            <w:r>
              <w:rPr>
                <w:color w:val="000000" w:themeColor="text1"/>
                <w:sz w:val="16"/>
                <w:lang w:val="en-IE"/>
              </w:rPr>
              <w:t>set-up a dedicated DNSH helpdesk support service centrally located within the federal government, supporting the different line ministries and providing advice to programme managers on DNSH guidance, templates and questionnaires.</w:t>
            </w:r>
          </w:p>
          <w:p w14:paraId="2A966C32" w14:textId="10C98B15" w:rsidR="00D907DD" w:rsidRPr="006C7090" w:rsidRDefault="00D907DD" w:rsidP="002822BB">
            <w:pPr>
              <w:spacing w:line="240" w:lineRule="atLeast"/>
              <w:ind w:left="0"/>
              <w:rPr>
                <w:color w:val="000000" w:themeColor="text1"/>
                <w:sz w:val="16"/>
                <w:lang w:val="en-IE"/>
              </w:rPr>
            </w:pPr>
            <w:r w:rsidRPr="001C605D">
              <w:rPr>
                <w:b/>
                <w:color w:val="000000" w:themeColor="text1"/>
                <w:sz w:val="16"/>
                <w:u w:val="single"/>
                <w:lang w:val="en-IE"/>
              </w:rPr>
              <w:t>Spain:</w:t>
            </w:r>
            <w:r w:rsidRPr="00EA4DF0">
              <w:rPr>
                <w:color w:val="000000" w:themeColor="text1"/>
                <w:sz w:val="16"/>
                <w:lang w:val="en-IE"/>
              </w:rPr>
              <w:t xml:space="preserve"> set-up a dedicated DNSH </w:t>
            </w:r>
            <w:r>
              <w:rPr>
                <w:color w:val="000000" w:themeColor="text1"/>
                <w:sz w:val="16"/>
                <w:lang w:val="en-IE"/>
              </w:rPr>
              <w:t>Division within the Ministry of Ecological Transition and Demographic Change,</w:t>
            </w:r>
            <w:r w:rsidRPr="00EA4DF0">
              <w:rPr>
                <w:color w:val="000000" w:themeColor="text1"/>
                <w:sz w:val="16"/>
                <w:lang w:val="en-IE"/>
              </w:rPr>
              <w:t xml:space="preserve"> supporting the different line ministries and providing advice to programme managers on DNSH guidance, templates and questionnaires</w:t>
            </w:r>
            <w:r>
              <w:rPr>
                <w:color w:val="000000" w:themeColor="text1"/>
                <w:sz w:val="16"/>
                <w:lang w:val="en-IE"/>
              </w:rPr>
              <w:t>.</w:t>
            </w:r>
          </w:p>
        </w:tc>
      </w:tr>
      <w:tr w:rsidR="00DC3FFD" w:rsidRPr="00E53E5D" w14:paraId="78F0D876" w14:textId="77777777" w:rsidTr="003E3777">
        <w:trPr>
          <w:trHeight w:val="1189"/>
        </w:trPr>
        <w:tc>
          <w:tcPr>
            <w:tcW w:w="0" w:type="auto"/>
            <w:shd w:val="clear" w:color="auto" w:fill="E0EBEB" w:themeFill="accent3" w:themeFillTint="66"/>
          </w:tcPr>
          <w:p w14:paraId="053FB73E" w14:textId="0EC2D9DC" w:rsidR="00DC3FFD" w:rsidRPr="00C54B61" w:rsidRDefault="00DC3FFD" w:rsidP="00605552">
            <w:pPr>
              <w:spacing w:line="240" w:lineRule="atLeast"/>
              <w:ind w:left="0"/>
              <w:rPr>
                <w:b/>
                <w:color w:val="000000" w:themeColor="text1"/>
                <w:sz w:val="16"/>
                <w:lang w:val="en-IE"/>
              </w:rPr>
            </w:pPr>
            <w:r w:rsidRPr="00C54B61">
              <w:rPr>
                <w:b/>
                <w:color w:val="000000" w:themeColor="text1"/>
                <w:sz w:val="16"/>
                <w:lang w:val="en-IE"/>
              </w:rPr>
              <w:t>W2</w:t>
            </w:r>
          </w:p>
        </w:tc>
        <w:tc>
          <w:tcPr>
            <w:tcW w:w="1971" w:type="dxa"/>
          </w:tcPr>
          <w:p w14:paraId="7865824A" w14:textId="318322F9" w:rsidR="00DC3FFD" w:rsidRPr="00483E52" w:rsidRDefault="00DC3FFD" w:rsidP="00483E52">
            <w:pPr>
              <w:spacing w:line="240" w:lineRule="atLeast"/>
              <w:ind w:left="0"/>
              <w:rPr>
                <w:b/>
                <w:bCs/>
                <w:color w:val="000000" w:themeColor="text1"/>
                <w:sz w:val="16"/>
                <w:lang w:val="en-GB"/>
              </w:rPr>
            </w:pPr>
            <w:r w:rsidRPr="00483E52">
              <w:rPr>
                <w:bCs/>
                <w:color w:val="000000" w:themeColor="text1"/>
                <w:sz w:val="16"/>
              </w:rPr>
              <w:t>Implementing (and monitoring) the application of DNSH</w:t>
            </w:r>
            <w:r w:rsidRPr="00483E52">
              <w:rPr>
                <w:b/>
                <w:bCs/>
                <w:color w:val="000000" w:themeColor="text1"/>
                <w:sz w:val="16"/>
              </w:rPr>
              <w:t xml:space="preserve"> – simplified and detailed assessments</w:t>
            </w:r>
          </w:p>
        </w:tc>
        <w:tc>
          <w:tcPr>
            <w:tcW w:w="6031" w:type="dxa"/>
            <w:shd w:val="clear" w:color="auto" w:fill="auto"/>
          </w:tcPr>
          <w:p w14:paraId="7D2FC2AF" w14:textId="77777777" w:rsidR="00DC3FFD" w:rsidRPr="008A28B4" w:rsidRDefault="00DC3FFD" w:rsidP="00605552">
            <w:pPr>
              <w:spacing w:line="240" w:lineRule="atLeast"/>
              <w:ind w:left="0"/>
              <w:rPr>
                <w:color w:val="000000" w:themeColor="text1"/>
                <w:sz w:val="16"/>
                <w:lang w:val="en-IE"/>
              </w:rPr>
            </w:pPr>
            <w:r w:rsidRPr="008A28B4">
              <w:rPr>
                <w:b/>
                <w:bCs/>
                <w:color w:val="000000" w:themeColor="text1"/>
                <w:sz w:val="16"/>
                <w:u w:val="single"/>
                <w:lang w:val="en-IE"/>
              </w:rPr>
              <w:t>Slovakia:</w:t>
            </w:r>
            <w:r>
              <w:rPr>
                <w:color w:val="000000" w:themeColor="text1"/>
                <w:sz w:val="16"/>
                <w:lang w:val="en-IE"/>
              </w:rPr>
              <w:t xml:space="preserve"> has a rather granular and detailed approach to conducting DNSH assessments for the buildings sector within the country, with specific (ongoing) support under the TSI to develop sector-specific DNSH guidelines.</w:t>
            </w:r>
          </w:p>
          <w:p w14:paraId="694436A2" w14:textId="2C4CA0F9" w:rsidR="00DC3FFD" w:rsidRPr="001E7893" w:rsidRDefault="00DC3FFD" w:rsidP="00D907DD">
            <w:pPr>
              <w:spacing w:line="240" w:lineRule="atLeast"/>
              <w:ind w:left="0"/>
              <w:rPr>
                <w:b/>
                <w:color w:val="000000" w:themeColor="text1"/>
                <w:sz w:val="16"/>
                <w:lang w:val="en-IE"/>
              </w:rPr>
            </w:pPr>
            <w:r w:rsidRPr="004757CC">
              <w:rPr>
                <w:b/>
                <w:bCs/>
                <w:color w:val="000000" w:themeColor="text1"/>
                <w:sz w:val="16"/>
                <w:u w:val="single"/>
                <w:lang w:val="en-IE"/>
              </w:rPr>
              <w:t>Finland:</w:t>
            </w:r>
            <w:r>
              <w:rPr>
                <w:color w:val="000000" w:themeColor="text1"/>
                <w:sz w:val="16"/>
                <w:lang w:val="en-IE"/>
              </w:rPr>
              <w:t xml:space="preserve"> has recently adopted a </w:t>
            </w:r>
            <w:r>
              <w:rPr>
                <w:color w:val="000000" w:themeColor="text1"/>
                <w:sz w:val="16"/>
              </w:rPr>
              <w:t xml:space="preserve">“priority order law” for which a (simplified) DNSH assessment is requested in order to have priority within the environment permitting process for (large) infrastructure projects, either under the RRF envelope or funded by national funds. </w:t>
            </w:r>
          </w:p>
        </w:tc>
      </w:tr>
      <w:tr w:rsidR="00DC3FFD" w:rsidRPr="00534C94" w14:paraId="03CE1BBE" w14:textId="77777777" w:rsidTr="003E3777">
        <w:trPr>
          <w:trHeight w:val="766"/>
        </w:trPr>
        <w:tc>
          <w:tcPr>
            <w:tcW w:w="0" w:type="auto"/>
            <w:shd w:val="clear" w:color="auto" w:fill="E0EBEB" w:themeFill="accent3" w:themeFillTint="66"/>
          </w:tcPr>
          <w:p w14:paraId="40DF527F" w14:textId="1B23F0C5" w:rsidR="00DC3FFD" w:rsidRPr="00C54B61" w:rsidRDefault="00DC3FFD" w:rsidP="00605552">
            <w:pPr>
              <w:spacing w:line="240" w:lineRule="atLeast"/>
              <w:ind w:left="0"/>
              <w:rPr>
                <w:b/>
                <w:color w:val="000000" w:themeColor="text1"/>
                <w:sz w:val="16"/>
                <w:lang w:val="en-IE"/>
              </w:rPr>
            </w:pPr>
            <w:r w:rsidRPr="00C54B61">
              <w:rPr>
                <w:b/>
                <w:color w:val="000000" w:themeColor="text1"/>
                <w:sz w:val="16"/>
                <w:lang w:val="en-IE"/>
              </w:rPr>
              <w:t>W3</w:t>
            </w:r>
          </w:p>
        </w:tc>
        <w:tc>
          <w:tcPr>
            <w:tcW w:w="1971" w:type="dxa"/>
          </w:tcPr>
          <w:p w14:paraId="526C9B6A" w14:textId="463293A9" w:rsidR="00DC3FFD" w:rsidRPr="00483E52" w:rsidRDefault="00DC3FFD" w:rsidP="00483E52">
            <w:pPr>
              <w:spacing w:line="240" w:lineRule="atLeast"/>
              <w:ind w:left="0"/>
              <w:rPr>
                <w:color w:val="000000" w:themeColor="text1"/>
                <w:sz w:val="16"/>
              </w:rPr>
            </w:pPr>
            <w:r w:rsidRPr="00483E52">
              <w:rPr>
                <w:bCs/>
                <w:color w:val="000000" w:themeColor="text1"/>
                <w:sz w:val="16"/>
              </w:rPr>
              <w:t>Application of the DNSH principle to</w:t>
            </w:r>
            <w:r w:rsidRPr="00483E52">
              <w:rPr>
                <w:b/>
                <w:bCs/>
                <w:color w:val="000000" w:themeColor="text1"/>
                <w:sz w:val="16"/>
              </w:rPr>
              <w:t xml:space="preserve"> R&amp;D and green innovation projects</w:t>
            </w:r>
          </w:p>
        </w:tc>
        <w:tc>
          <w:tcPr>
            <w:tcW w:w="6031" w:type="dxa"/>
            <w:shd w:val="clear" w:color="auto" w:fill="auto"/>
          </w:tcPr>
          <w:p w14:paraId="1D579AC1" w14:textId="77777777" w:rsidR="00DC3FFD" w:rsidRPr="00D428DA" w:rsidRDefault="00DC3FFD" w:rsidP="00605552">
            <w:pPr>
              <w:spacing w:line="240" w:lineRule="atLeast"/>
              <w:ind w:left="0"/>
              <w:rPr>
                <w:color w:val="000000" w:themeColor="text1"/>
                <w:sz w:val="16"/>
                <w:lang w:val="en-IE"/>
              </w:rPr>
            </w:pPr>
            <w:r w:rsidRPr="002A487F">
              <w:rPr>
                <w:b/>
                <w:bCs/>
                <w:color w:val="000000" w:themeColor="text1"/>
                <w:sz w:val="16"/>
                <w:u w:val="single"/>
                <w:lang w:val="en-IE"/>
              </w:rPr>
              <w:t>Finland:</w:t>
            </w:r>
            <w:r>
              <w:rPr>
                <w:color w:val="000000" w:themeColor="text1"/>
                <w:sz w:val="16"/>
                <w:lang w:val="en-IE"/>
              </w:rPr>
              <w:t xml:space="preserve"> the Finnish Climate Fund has developed an alternative approach for applying the DNSH principle through their fund by embedding DNSH as part of their investment decision-making process. Next to that, Finland’s envelope under the RRF has been mainly spent on R&amp;D and green innovation projects, which brings in relevant experience from the RRF perspective in particular.</w:t>
            </w:r>
          </w:p>
          <w:p w14:paraId="5428D144" w14:textId="624F7371" w:rsidR="00DC3FFD" w:rsidRPr="002471BE" w:rsidRDefault="00DC3FFD" w:rsidP="002822BB">
            <w:pPr>
              <w:spacing w:line="240" w:lineRule="atLeast"/>
              <w:ind w:left="0"/>
              <w:rPr>
                <w:color w:val="000000" w:themeColor="text1"/>
                <w:sz w:val="16"/>
              </w:rPr>
            </w:pPr>
            <w:r w:rsidRPr="002A487F">
              <w:rPr>
                <w:b/>
                <w:bCs/>
                <w:color w:val="000000" w:themeColor="text1"/>
                <w:sz w:val="16"/>
                <w:u w:val="single"/>
                <w:lang w:val="en-IE"/>
              </w:rPr>
              <w:t>Austria:</w:t>
            </w:r>
            <w:r>
              <w:rPr>
                <w:color w:val="000000" w:themeColor="text1"/>
                <w:sz w:val="16"/>
                <w:lang w:val="en-IE"/>
              </w:rPr>
              <w:t xml:space="preserve"> is among the pioneers in developing an integrated approach and methodology for green budgeting &amp; tagging</w:t>
            </w:r>
            <w:r w:rsidR="00EC73C1">
              <w:rPr>
                <w:color w:val="000000" w:themeColor="text1"/>
                <w:sz w:val="16"/>
                <w:lang w:val="en-IE"/>
              </w:rPr>
              <w:t>,</w:t>
            </w:r>
            <w:r>
              <w:rPr>
                <w:color w:val="000000" w:themeColor="text1"/>
                <w:sz w:val="16"/>
                <w:lang w:val="en-IE"/>
              </w:rPr>
              <w:t xml:space="preserve"> and conducting the DNSH assessment. Various other Member States are considering similar next steps which could potentially help mainstreaming the application of DNSH within (national) public finance.</w:t>
            </w:r>
          </w:p>
        </w:tc>
      </w:tr>
    </w:tbl>
    <w:p w14:paraId="6933482C" w14:textId="77777777" w:rsidR="00FE0FA7" w:rsidRPr="00FE0FA7" w:rsidRDefault="00FE0FA7" w:rsidP="00C54B61">
      <w:pPr>
        <w:rPr>
          <w:rStyle w:val="Zdraznn"/>
          <w:i w:val="0"/>
          <w:lang w:val="en-GB"/>
        </w:rPr>
      </w:pPr>
    </w:p>
    <w:p w14:paraId="184FB256" w14:textId="1D19F862" w:rsidR="00AD12D5" w:rsidRDefault="00A27D20" w:rsidP="00AB4EBC">
      <w:pPr>
        <w:rPr>
          <w:rStyle w:val="Zdraznn"/>
          <w:i w:val="0"/>
          <w:iCs w:val="0"/>
        </w:rPr>
      </w:pPr>
      <w:r w:rsidRPr="000E6B9D">
        <w:rPr>
          <w:rStyle w:val="Zdraznn"/>
          <w:i w:val="0"/>
          <w:iCs w:val="0"/>
        </w:rPr>
        <w:t>Following the</w:t>
      </w:r>
      <w:r w:rsidR="0034151C" w:rsidRPr="000E6B9D">
        <w:rPr>
          <w:rStyle w:val="Zdraznn"/>
          <w:i w:val="0"/>
          <w:iCs w:val="0"/>
        </w:rPr>
        <w:t xml:space="preserve"> approval of the MC regarding the</w:t>
      </w:r>
      <w:r w:rsidR="00440744" w:rsidRPr="000E6B9D">
        <w:rPr>
          <w:rStyle w:val="Zdraznn"/>
          <w:i w:val="0"/>
          <w:iCs w:val="0"/>
        </w:rPr>
        <w:t xml:space="preserve"> peer Member States </w:t>
      </w:r>
      <w:r w:rsidR="004A6839">
        <w:rPr>
          <w:rStyle w:val="Zdraznn"/>
          <w:i w:val="0"/>
          <w:iCs w:val="0"/>
        </w:rPr>
        <w:t>(i.e.</w:t>
      </w:r>
      <w:r w:rsidR="00EC73C1">
        <w:rPr>
          <w:rStyle w:val="Zdraznn"/>
          <w:i w:val="0"/>
          <w:iCs w:val="0"/>
        </w:rPr>
        <w:t>,</w:t>
      </w:r>
      <w:r w:rsidR="004A6839">
        <w:rPr>
          <w:rStyle w:val="Zdraznn"/>
          <w:i w:val="0"/>
          <w:iCs w:val="0"/>
        </w:rPr>
        <w:t xml:space="preserve"> Austria, Belgium, </w:t>
      </w:r>
      <w:r w:rsidR="005534AC">
        <w:rPr>
          <w:rStyle w:val="Zdraznn"/>
          <w:i w:val="0"/>
          <w:iCs w:val="0"/>
        </w:rPr>
        <w:t>Finland, Slovakia</w:t>
      </w:r>
      <w:r w:rsidR="00EC73C1">
        <w:rPr>
          <w:rStyle w:val="Zdraznn"/>
          <w:i w:val="0"/>
          <w:iCs w:val="0"/>
        </w:rPr>
        <w:t>,</w:t>
      </w:r>
      <w:r w:rsidR="005534AC">
        <w:rPr>
          <w:rStyle w:val="Zdraznn"/>
          <w:i w:val="0"/>
          <w:iCs w:val="0"/>
        </w:rPr>
        <w:t xml:space="preserve"> and Spain) </w:t>
      </w:r>
      <w:r w:rsidR="00440744" w:rsidRPr="000E6B9D">
        <w:rPr>
          <w:rStyle w:val="Zdraznn"/>
          <w:i w:val="0"/>
          <w:iCs w:val="0"/>
        </w:rPr>
        <w:t>to</w:t>
      </w:r>
      <w:r w:rsidR="000E6B9D" w:rsidRPr="000E6B9D">
        <w:rPr>
          <w:rStyle w:val="Zdraznn"/>
          <w:i w:val="0"/>
          <w:iCs w:val="0"/>
        </w:rPr>
        <w:t xml:space="preserve"> be invited for the peer learning exc</w:t>
      </w:r>
      <w:r w:rsidR="000E6B9D">
        <w:rPr>
          <w:rStyle w:val="Zdraznn"/>
          <w:i w:val="0"/>
          <w:iCs w:val="0"/>
        </w:rPr>
        <w:t>hange with the Czech authorities, the project team has ‘formally’ reached out to each of the Member States together with a reference letter from DG REFORM, for encouraging the selected Member States to participate within</w:t>
      </w:r>
      <w:r w:rsidR="00DD7734">
        <w:rPr>
          <w:rStyle w:val="Zdraznn"/>
          <w:i w:val="0"/>
          <w:iCs w:val="0"/>
        </w:rPr>
        <w:t xml:space="preserve"> the peer learning webinars.</w:t>
      </w:r>
      <w:r w:rsidR="00AB4EBC">
        <w:rPr>
          <w:rStyle w:val="Zdraznn"/>
          <w:i w:val="0"/>
          <w:iCs w:val="0"/>
        </w:rPr>
        <w:t xml:space="preserve"> </w:t>
      </w:r>
    </w:p>
    <w:p w14:paraId="7E385C08" w14:textId="77777777" w:rsidR="00AD12D5" w:rsidRDefault="00AD12D5" w:rsidP="00AB4EBC">
      <w:pPr>
        <w:rPr>
          <w:rStyle w:val="Zdraznn"/>
          <w:i w:val="0"/>
          <w:iCs w:val="0"/>
        </w:rPr>
      </w:pPr>
    </w:p>
    <w:p w14:paraId="64C6376F" w14:textId="56DE5EFC" w:rsidR="00767A7C" w:rsidRDefault="00AB4EBC" w:rsidP="00B0375F">
      <w:r>
        <w:rPr>
          <w:rStyle w:val="Zdraznn"/>
          <w:i w:val="0"/>
          <w:iCs w:val="0"/>
        </w:rPr>
        <w:t>After the formal introductions</w:t>
      </w:r>
      <w:r w:rsidR="00E449B5">
        <w:rPr>
          <w:rStyle w:val="Zdraznn"/>
          <w:i w:val="0"/>
          <w:iCs w:val="0"/>
        </w:rPr>
        <w:t xml:space="preserve"> to the different Member State officials, the project team has followed up with each of</w:t>
      </w:r>
      <w:r w:rsidR="00F41EA6">
        <w:rPr>
          <w:rStyle w:val="Zdraznn"/>
          <w:i w:val="0"/>
          <w:iCs w:val="0"/>
        </w:rPr>
        <w:t xml:space="preserve"> them individually to introduce the wider objectives of the peer learning exchange – highlighting that the learnings and webinars </w:t>
      </w:r>
      <w:r w:rsidR="00BD5961">
        <w:rPr>
          <w:rStyle w:val="Zdraznn"/>
          <w:i w:val="0"/>
          <w:iCs w:val="0"/>
        </w:rPr>
        <w:t>aim to be</w:t>
      </w:r>
      <w:r w:rsidR="00F41EA6">
        <w:rPr>
          <w:rStyle w:val="Zdraznn"/>
          <w:i w:val="0"/>
          <w:iCs w:val="0"/>
        </w:rPr>
        <w:t xml:space="preserve"> there for the wider DNSH community in Europe</w:t>
      </w:r>
      <w:r w:rsidR="00AD12D5">
        <w:rPr>
          <w:rStyle w:val="Zdraznn"/>
          <w:i w:val="0"/>
          <w:iCs w:val="0"/>
        </w:rPr>
        <w:t xml:space="preserve">, beyond the (direct) Czech authorities and beneficiary of this TSI project. </w:t>
      </w:r>
      <w:r w:rsidR="00B844A9">
        <w:rPr>
          <w:rStyle w:val="Zdraznn"/>
          <w:i w:val="0"/>
          <w:iCs w:val="0"/>
        </w:rPr>
        <w:t xml:space="preserve">More importantly, these </w:t>
      </w:r>
      <w:r w:rsidR="005534AC">
        <w:rPr>
          <w:rStyle w:val="Zdraznn"/>
          <w:i w:val="0"/>
          <w:iCs w:val="0"/>
        </w:rPr>
        <w:t xml:space="preserve">bilateral </w:t>
      </w:r>
      <w:r w:rsidR="00B844A9">
        <w:rPr>
          <w:rStyle w:val="Zdraznn"/>
          <w:i w:val="0"/>
          <w:iCs w:val="0"/>
        </w:rPr>
        <w:t>interviews have been used to</w:t>
      </w:r>
      <w:r w:rsidR="00066ED7">
        <w:rPr>
          <w:rStyle w:val="Zdraznn"/>
          <w:i w:val="0"/>
          <w:iCs w:val="0"/>
        </w:rPr>
        <w:t xml:space="preserve"> validate</w:t>
      </w:r>
      <w:r w:rsidR="003D47DC">
        <w:rPr>
          <w:rStyle w:val="Zdraznn"/>
          <w:i w:val="0"/>
          <w:iCs w:val="0"/>
        </w:rPr>
        <w:t xml:space="preserve"> and refine</w:t>
      </w:r>
      <w:r w:rsidR="00066ED7">
        <w:rPr>
          <w:rStyle w:val="Zdraznn"/>
          <w:i w:val="0"/>
          <w:iCs w:val="0"/>
        </w:rPr>
        <w:t xml:space="preserve"> the “focus cases” for each of the webinars and confirm the Member State’s interest and availability</w:t>
      </w:r>
      <w:r w:rsidR="00F14E97">
        <w:rPr>
          <w:rStyle w:val="Zdraznn"/>
          <w:i w:val="0"/>
          <w:iCs w:val="0"/>
        </w:rPr>
        <w:t xml:space="preserve"> to attend (some of) the webinars scheduled in January and February 2023.</w:t>
      </w:r>
    </w:p>
    <w:p w14:paraId="12954445" w14:textId="1358BFF9" w:rsidR="00767A7C" w:rsidRDefault="00767A7C" w:rsidP="00F542BA">
      <w:pPr>
        <w:ind w:left="0" w:firstLine="567"/>
      </w:pPr>
      <w:r>
        <w:br w:type="page"/>
      </w:r>
    </w:p>
    <w:p w14:paraId="6D3184B3" w14:textId="37B5875A" w:rsidR="00725C40" w:rsidRDefault="00347C25" w:rsidP="003E77E4">
      <w:pPr>
        <w:pStyle w:val="Nadpis1"/>
        <w:tabs>
          <w:tab w:val="clear" w:pos="851"/>
          <w:tab w:val="left" w:pos="567"/>
        </w:tabs>
        <w:ind w:left="567" w:hanging="567"/>
      </w:pPr>
      <w:bookmarkStart w:id="14" w:name="_Ref131521548"/>
      <w:bookmarkStart w:id="15" w:name="_Toc131775831"/>
      <w:r>
        <w:lastRenderedPageBreak/>
        <w:t>Analysis of good practices and lessons learned</w:t>
      </w:r>
      <w:bookmarkEnd w:id="14"/>
      <w:bookmarkEnd w:id="15"/>
    </w:p>
    <w:p w14:paraId="2D541701" w14:textId="2E3281E2" w:rsidR="00001E18" w:rsidRDefault="00275182" w:rsidP="00275182">
      <w:r>
        <w:t>This c</w:t>
      </w:r>
      <w:r w:rsidR="00001E18" w:rsidRPr="00001E18">
        <w:t xml:space="preserve">hapter provides an overview of the </w:t>
      </w:r>
      <w:r w:rsidR="003D726D">
        <w:t xml:space="preserve">challenges </w:t>
      </w:r>
      <w:r>
        <w:t xml:space="preserve">related to the application </w:t>
      </w:r>
      <w:r w:rsidR="009A2C28">
        <w:t xml:space="preserve">of the DNSH principle </w:t>
      </w:r>
      <w:r w:rsidR="00E4086D">
        <w:t xml:space="preserve">in terms of governance, </w:t>
      </w:r>
      <w:r w:rsidR="008A3831">
        <w:t xml:space="preserve">detailed and simplified assessments, and </w:t>
      </w:r>
      <w:r w:rsidR="00501014">
        <w:t xml:space="preserve">R&amp;D and </w:t>
      </w:r>
      <w:r w:rsidR="009B5B25">
        <w:t xml:space="preserve">green </w:t>
      </w:r>
      <w:r w:rsidR="00BD58AC">
        <w:t>innovation projects</w:t>
      </w:r>
      <w:r w:rsidR="009B5B25">
        <w:t>.</w:t>
      </w:r>
      <w:r w:rsidR="001C79E6">
        <w:t xml:space="preserve"> </w:t>
      </w:r>
      <w:r w:rsidR="00565D7C">
        <w:t xml:space="preserve">For each challenge, </w:t>
      </w:r>
      <w:r w:rsidR="008037A2">
        <w:t>we are</w:t>
      </w:r>
      <w:r w:rsidR="009152B7">
        <w:t xml:space="preserve"> </w:t>
      </w:r>
      <w:r w:rsidR="00565D7C">
        <w:t xml:space="preserve">first </w:t>
      </w:r>
      <w:r w:rsidR="008037A2">
        <w:t>presenting</w:t>
      </w:r>
      <w:r w:rsidR="003A0342">
        <w:t xml:space="preserve"> a review </w:t>
      </w:r>
      <w:r w:rsidR="003012A4">
        <w:t xml:space="preserve">of the issues </w:t>
      </w:r>
      <w:r w:rsidR="002B095C">
        <w:t xml:space="preserve">raised during </w:t>
      </w:r>
      <w:r w:rsidR="00C43FBE">
        <w:t xml:space="preserve">the </w:t>
      </w:r>
      <w:r w:rsidR="00902FE1">
        <w:t xml:space="preserve">technical </w:t>
      </w:r>
      <w:r w:rsidR="00C43FBE">
        <w:t xml:space="preserve">consultations and </w:t>
      </w:r>
      <w:r w:rsidR="008D6B2E">
        <w:t xml:space="preserve">the </w:t>
      </w:r>
      <w:r w:rsidR="00C43FBE">
        <w:t>desk research</w:t>
      </w:r>
      <w:r w:rsidR="00565D7C">
        <w:t xml:space="preserve">. </w:t>
      </w:r>
      <w:r w:rsidR="001E07FD">
        <w:t xml:space="preserve">It then introduces the </w:t>
      </w:r>
      <w:r w:rsidR="00902FE1">
        <w:t>“</w:t>
      </w:r>
      <w:r w:rsidR="001E07FD">
        <w:t>focus cases</w:t>
      </w:r>
      <w:r w:rsidR="00902FE1">
        <w:t>”</w:t>
      </w:r>
      <w:r w:rsidR="001E07FD">
        <w:t xml:space="preserve"> </w:t>
      </w:r>
      <w:r w:rsidR="00A4290B">
        <w:t>p</w:t>
      </w:r>
      <w:r w:rsidR="00E70672">
        <w:t xml:space="preserve">resented by the peer </w:t>
      </w:r>
      <w:r w:rsidR="00BD4D5C">
        <w:t>EU</w:t>
      </w:r>
      <w:r w:rsidR="00E70672">
        <w:t xml:space="preserve"> Member States </w:t>
      </w:r>
      <w:r w:rsidR="00F25911">
        <w:t>and their relevance</w:t>
      </w:r>
      <w:r w:rsidR="00A4290B">
        <w:t xml:space="preserve">, before turning to </w:t>
      </w:r>
      <w:r w:rsidR="002B2321">
        <w:t xml:space="preserve">insightful practices </w:t>
      </w:r>
      <w:r w:rsidR="00DC580C">
        <w:t>to overcome the challenges, as</w:t>
      </w:r>
      <w:r w:rsidR="002B2321">
        <w:t xml:space="preserve"> identified during the interviews and desk research.</w:t>
      </w:r>
      <w:r w:rsidR="00F25911">
        <w:t xml:space="preserve"> </w:t>
      </w:r>
      <w:r w:rsidR="00C76166">
        <w:t xml:space="preserve">Finally, </w:t>
      </w:r>
      <w:r w:rsidR="00370BF1">
        <w:t xml:space="preserve">and based on clear enablers and barriers, </w:t>
      </w:r>
      <w:r w:rsidR="00191C89">
        <w:t>this allows for a</w:t>
      </w:r>
      <w:r w:rsidR="00DC580C">
        <w:t>n analysis of the replicability of the focus cases and practices to Czechia.</w:t>
      </w:r>
      <w:r w:rsidR="00F4034E">
        <w:t xml:space="preserve"> </w:t>
      </w:r>
    </w:p>
    <w:p w14:paraId="1D931330" w14:textId="77777777" w:rsidR="00EC000C" w:rsidRPr="00001E18" w:rsidRDefault="00EC000C" w:rsidP="000B279D"/>
    <w:p w14:paraId="18F0D280" w14:textId="4DA481A5" w:rsidR="00725C40" w:rsidRDefault="003846EE" w:rsidP="003846EE">
      <w:pPr>
        <w:pStyle w:val="Nadpis2"/>
      </w:pPr>
      <w:bookmarkStart w:id="16" w:name="_Toc131775832"/>
      <w:r>
        <w:t>Governance processes of the application of the DNSH principle</w:t>
      </w:r>
      <w:bookmarkEnd w:id="16"/>
    </w:p>
    <w:p w14:paraId="475F2EA6" w14:textId="57247DA2" w:rsidR="00A81A4A" w:rsidRDefault="003D4BAC" w:rsidP="003D4BAC">
      <w:pPr>
        <w:pStyle w:val="Nadpis3"/>
        <w:tabs>
          <w:tab w:val="clear" w:pos="851"/>
          <w:tab w:val="left" w:pos="567"/>
        </w:tabs>
        <w:ind w:left="567" w:hanging="567"/>
      </w:pPr>
      <w:bookmarkStart w:id="17" w:name="_Ref127521879"/>
      <w:bookmarkStart w:id="18" w:name="_Toc131775833"/>
      <w:bookmarkStart w:id="19" w:name="_Hlk125214876"/>
      <w:r>
        <w:t>Context</w:t>
      </w:r>
      <w:r w:rsidR="00A81A4A">
        <w:t xml:space="preserve"> of the </w:t>
      </w:r>
      <w:r w:rsidR="00DD3079">
        <w:t>challenge</w:t>
      </w:r>
      <w:bookmarkEnd w:id="17"/>
      <w:bookmarkEnd w:id="18"/>
    </w:p>
    <w:p w14:paraId="4AC73C2B" w14:textId="57137F5F" w:rsidR="00FD7B7B" w:rsidRDefault="0034100A" w:rsidP="00532591">
      <w:r>
        <w:t xml:space="preserve">Setting up efficient </w:t>
      </w:r>
      <w:r w:rsidR="00AF5750">
        <w:t xml:space="preserve">and </w:t>
      </w:r>
      <w:r w:rsidR="005341E0">
        <w:t xml:space="preserve">clear </w:t>
      </w:r>
      <w:r w:rsidR="009E6710">
        <w:t xml:space="preserve">governance systems to implement </w:t>
      </w:r>
      <w:r w:rsidR="00347677">
        <w:t xml:space="preserve">the </w:t>
      </w:r>
      <w:r w:rsidR="009E6710">
        <w:t xml:space="preserve">DNSH </w:t>
      </w:r>
      <w:r w:rsidR="00347677">
        <w:t>principle</w:t>
      </w:r>
      <w:r w:rsidR="009E6710">
        <w:t xml:space="preserve"> emerge</w:t>
      </w:r>
      <w:r w:rsidR="00521BEF">
        <w:t>d</w:t>
      </w:r>
      <w:r w:rsidR="009E6710">
        <w:t xml:space="preserve"> as a critical challenge </w:t>
      </w:r>
      <w:r w:rsidR="00521BEF">
        <w:t xml:space="preserve">during the technical consultation </w:t>
      </w:r>
      <w:r w:rsidR="00D0751F">
        <w:t xml:space="preserve">meetings </w:t>
      </w:r>
      <w:r w:rsidR="00521BEF">
        <w:t xml:space="preserve">with Czech stakeholders. </w:t>
      </w:r>
      <w:r w:rsidR="009B0921">
        <w:t xml:space="preserve">Member States </w:t>
      </w:r>
      <w:r w:rsidR="00150A15">
        <w:t>face difficult</w:t>
      </w:r>
      <w:r w:rsidR="005B4242">
        <w:t>ies</w:t>
      </w:r>
      <w:r w:rsidR="00150A15">
        <w:t xml:space="preserve"> in establishing </w:t>
      </w:r>
      <w:r w:rsidR="00FD7B7B">
        <w:t xml:space="preserve">these processes, </w:t>
      </w:r>
      <w:r w:rsidR="00096FF2">
        <w:t>and in particular to</w:t>
      </w:r>
      <w:r w:rsidR="00FD7B7B">
        <w:t>:</w:t>
      </w:r>
    </w:p>
    <w:p w14:paraId="316295FB" w14:textId="0D2D440E" w:rsidR="006F0DC7" w:rsidRDefault="00096FF2" w:rsidP="003744B8">
      <w:pPr>
        <w:pStyle w:val="Bulletpoint"/>
        <w:numPr>
          <w:ilvl w:val="0"/>
          <w:numId w:val="11"/>
        </w:numPr>
        <w:ind w:left="851" w:hanging="284"/>
      </w:pPr>
      <w:r w:rsidRPr="004E7539">
        <w:rPr>
          <w:b/>
        </w:rPr>
        <w:t xml:space="preserve">Identify </w:t>
      </w:r>
      <w:r w:rsidR="007D6B9F">
        <w:rPr>
          <w:b/>
          <w:bCs/>
        </w:rPr>
        <w:t>a central</w:t>
      </w:r>
      <w:r w:rsidRPr="004E7539">
        <w:rPr>
          <w:b/>
        </w:rPr>
        <w:t xml:space="preserve"> authorit</w:t>
      </w:r>
      <w:r w:rsidR="00C61354" w:rsidRPr="004E7539">
        <w:rPr>
          <w:b/>
        </w:rPr>
        <w:t>y</w:t>
      </w:r>
      <w:r>
        <w:t xml:space="preserve"> (e.g., ministry</w:t>
      </w:r>
      <w:r w:rsidR="00702457">
        <w:t xml:space="preserve"> or </w:t>
      </w:r>
      <w:r>
        <w:t xml:space="preserve">agency) </w:t>
      </w:r>
      <w:r w:rsidR="00B23D5A">
        <w:t xml:space="preserve">mandated </w:t>
      </w:r>
      <w:r w:rsidR="00A97997">
        <w:t>to</w:t>
      </w:r>
      <w:r w:rsidR="00B21C7B">
        <w:t xml:space="preserve"> establish rules and processes for DNSH assessments</w:t>
      </w:r>
      <w:r w:rsidR="006F0DC7">
        <w:t xml:space="preserve"> </w:t>
      </w:r>
      <w:r w:rsidR="00751E78">
        <w:t xml:space="preserve">(including </w:t>
      </w:r>
      <w:r w:rsidR="006D16C8">
        <w:t xml:space="preserve">guidelines </w:t>
      </w:r>
      <w:r w:rsidR="006F0DC7">
        <w:t xml:space="preserve">and </w:t>
      </w:r>
      <w:r w:rsidR="007B5C73">
        <w:t xml:space="preserve">data sets) </w:t>
      </w:r>
      <w:r w:rsidR="006F0DC7">
        <w:t xml:space="preserve">and </w:t>
      </w:r>
      <w:r w:rsidR="00A97997">
        <w:t>to</w:t>
      </w:r>
      <w:r w:rsidR="003E49BB">
        <w:t xml:space="preserve"> </w:t>
      </w:r>
      <w:r w:rsidR="006F0DC7">
        <w:t xml:space="preserve">train </w:t>
      </w:r>
      <w:r w:rsidR="00B23D5A">
        <w:t>managing</w:t>
      </w:r>
      <w:r w:rsidR="006F0DC7">
        <w:t xml:space="preserve"> authorities;</w:t>
      </w:r>
    </w:p>
    <w:p w14:paraId="5C8EC065" w14:textId="731B7455" w:rsidR="00F20708" w:rsidRDefault="00EC73C1" w:rsidP="003744B8">
      <w:pPr>
        <w:pStyle w:val="Bulletpoint"/>
        <w:numPr>
          <w:ilvl w:val="0"/>
          <w:numId w:val="11"/>
        </w:numPr>
        <w:ind w:left="851" w:hanging="284"/>
      </w:pPr>
      <w:r>
        <w:rPr>
          <w:b/>
        </w:rPr>
        <w:t>On the one hand, to s</w:t>
      </w:r>
      <w:r w:rsidR="00A07D0F" w:rsidRPr="00651328">
        <w:rPr>
          <w:b/>
        </w:rPr>
        <w:t>trik</w:t>
      </w:r>
      <w:r w:rsidR="00F00861" w:rsidRPr="00651328">
        <w:rPr>
          <w:b/>
        </w:rPr>
        <w:t>e</w:t>
      </w:r>
      <w:r w:rsidR="00977795" w:rsidRPr="00651328">
        <w:rPr>
          <w:b/>
        </w:rPr>
        <w:t xml:space="preserve"> a balance between </w:t>
      </w:r>
      <w:r w:rsidR="00A07D0F" w:rsidRPr="00651328">
        <w:rPr>
          <w:b/>
        </w:rPr>
        <w:t>a sole governance process</w:t>
      </w:r>
      <w:r w:rsidR="00702B20" w:rsidRPr="00651328">
        <w:rPr>
          <w:b/>
        </w:rPr>
        <w:t xml:space="preserve"> consistent across all programmes, sectors and investments,</w:t>
      </w:r>
      <w:r>
        <w:rPr>
          <w:b/>
        </w:rPr>
        <w:t xml:space="preserve"> while on the other hand, to maintain</w:t>
      </w:r>
      <w:r w:rsidR="00702B20" w:rsidRPr="00651328">
        <w:rPr>
          <w:b/>
        </w:rPr>
        <w:t xml:space="preserve"> </w:t>
      </w:r>
      <w:r w:rsidR="00702B20" w:rsidRPr="00651328">
        <w:rPr>
          <w:b/>
          <w:bCs/>
        </w:rPr>
        <w:t>flexib</w:t>
      </w:r>
      <w:r w:rsidR="00651328" w:rsidRPr="00651328">
        <w:rPr>
          <w:b/>
          <w:bCs/>
        </w:rPr>
        <w:t>ility</w:t>
      </w:r>
      <w:r w:rsidR="00702B20">
        <w:t xml:space="preserve"> </w:t>
      </w:r>
      <w:r w:rsidR="00651328">
        <w:t xml:space="preserve">to </w:t>
      </w:r>
      <w:r w:rsidR="00702B20">
        <w:t xml:space="preserve">involve sectoral expertise and specialised authorities </w:t>
      </w:r>
      <w:r w:rsidR="00912543">
        <w:t>during DNSH assessments;</w:t>
      </w:r>
    </w:p>
    <w:p w14:paraId="1D430418" w14:textId="474440BC" w:rsidR="00912543" w:rsidRDefault="00E25997" w:rsidP="003744B8">
      <w:pPr>
        <w:pStyle w:val="Bulletpoint"/>
        <w:numPr>
          <w:ilvl w:val="0"/>
          <w:numId w:val="11"/>
        </w:numPr>
        <w:ind w:left="851" w:hanging="284"/>
      </w:pPr>
      <w:r w:rsidRPr="00B51082">
        <w:rPr>
          <w:b/>
        </w:rPr>
        <w:t xml:space="preserve">Avoid </w:t>
      </w:r>
      <w:r w:rsidR="00F00861" w:rsidRPr="00B51082">
        <w:rPr>
          <w:b/>
        </w:rPr>
        <w:t>heavy processes for all authorities</w:t>
      </w:r>
      <w:r w:rsidR="00EC73C1">
        <w:rPr>
          <w:b/>
        </w:rPr>
        <w:t>,</w:t>
      </w:r>
      <w:r w:rsidR="00F00861" w:rsidRPr="00B51082">
        <w:rPr>
          <w:b/>
        </w:rPr>
        <w:t xml:space="preserve"> </w:t>
      </w:r>
      <w:r w:rsidR="00227236" w:rsidRPr="00B51082">
        <w:rPr>
          <w:b/>
        </w:rPr>
        <w:t xml:space="preserve">while ensuring </w:t>
      </w:r>
      <w:r w:rsidR="00613EA3" w:rsidRPr="00B51082">
        <w:rPr>
          <w:b/>
          <w:bCs/>
        </w:rPr>
        <w:t xml:space="preserve">a sufficient </w:t>
      </w:r>
      <w:r w:rsidR="00DC478B" w:rsidRPr="00B51082">
        <w:rPr>
          <w:b/>
          <w:bCs/>
        </w:rPr>
        <w:t xml:space="preserve">and </w:t>
      </w:r>
      <w:r w:rsidR="006910A7" w:rsidRPr="00B51082">
        <w:rPr>
          <w:b/>
        </w:rPr>
        <w:t xml:space="preserve">granular knowledge </w:t>
      </w:r>
      <w:r w:rsidR="00645993" w:rsidRPr="00B51082">
        <w:rPr>
          <w:b/>
          <w:bCs/>
        </w:rPr>
        <w:t xml:space="preserve">across </w:t>
      </w:r>
      <w:r w:rsidR="00227236" w:rsidRPr="00B51082">
        <w:rPr>
          <w:b/>
          <w:bCs/>
        </w:rPr>
        <w:t>all authorities</w:t>
      </w:r>
      <w:r w:rsidR="00B51082">
        <w:t xml:space="preserve">, in order </w:t>
      </w:r>
      <w:r w:rsidR="006910A7">
        <w:t xml:space="preserve">to </w:t>
      </w:r>
      <w:r w:rsidR="00454616">
        <w:t>develop accurate assessments</w:t>
      </w:r>
      <w:r w:rsidR="006910A7">
        <w:t xml:space="preserve"> </w:t>
      </w:r>
      <w:r w:rsidR="00454616">
        <w:t xml:space="preserve">and </w:t>
      </w:r>
      <w:r w:rsidR="006910A7">
        <w:t>support.</w:t>
      </w:r>
    </w:p>
    <w:p w14:paraId="53BD7173" w14:textId="77777777" w:rsidR="003744B8" w:rsidRDefault="003744B8" w:rsidP="00682A35"/>
    <w:p w14:paraId="61FB5E85" w14:textId="13342D60" w:rsidR="008576D1" w:rsidRDefault="000C5802" w:rsidP="00682A35">
      <w:r>
        <w:t>While it entails challenges</w:t>
      </w:r>
      <w:r w:rsidR="00AF5750">
        <w:t xml:space="preserve">, </w:t>
      </w:r>
      <w:r w:rsidR="000747DC">
        <w:t xml:space="preserve">the construction of </w:t>
      </w:r>
      <w:r w:rsidR="005341E0">
        <w:t xml:space="preserve">efficient and clear </w:t>
      </w:r>
      <w:r w:rsidR="00A7644B">
        <w:t xml:space="preserve">governance systems </w:t>
      </w:r>
      <w:r w:rsidR="007538D3">
        <w:t>allows to</w:t>
      </w:r>
      <w:r w:rsidR="008576D1">
        <w:t>:</w:t>
      </w:r>
    </w:p>
    <w:p w14:paraId="73621127" w14:textId="7AF8937D" w:rsidR="0092702A" w:rsidRDefault="00682A35" w:rsidP="00F54A4F">
      <w:pPr>
        <w:pStyle w:val="ChecklistBulletpoint0"/>
        <w:numPr>
          <w:ilvl w:val="0"/>
          <w:numId w:val="4"/>
        </w:numPr>
        <w:ind w:left="851" w:hanging="284"/>
      </w:pPr>
      <w:r w:rsidRPr="00C46B7D">
        <w:rPr>
          <w:b/>
          <w:bCs/>
          <w:lang w:val="en-GB"/>
        </w:rPr>
        <w:t>M</w:t>
      </w:r>
      <w:r w:rsidR="00A7644B" w:rsidRPr="00C46B7D">
        <w:rPr>
          <w:b/>
          <w:bCs/>
          <w:lang w:val="en-GB"/>
        </w:rPr>
        <w:t>inimise</w:t>
      </w:r>
      <w:r w:rsidR="00A7644B" w:rsidRPr="007538D3">
        <w:rPr>
          <w:b/>
          <w:bCs/>
        </w:rPr>
        <w:t xml:space="preserve"> the administrative burden</w:t>
      </w:r>
      <w:r w:rsidR="00760F70">
        <w:t xml:space="preserve">. </w:t>
      </w:r>
      <w:r w:rsidR="00A03635">
        <w:t xml:space="preserve">The governance system and processes must provide relevant </w:t>
      </w:r>
      <w:r w:rsidR="00382E5E">
        <w:t xml:space="preserve">(e.g., understandable by non-experts) </w:t>
      </w:r>
      <w:r w:rsidR="00A03635">
        <w:t xml:space="preserve">and sufficient </w:t>
      </w:r>
      <w:r w:rsidR="00382E5E">
        <w:t>(e.g., sectoral)</w:t>
      </w:r>
      <w:r w:rsidR="00F727DA">
        <w:t xml:space="preserve"> </w:t>
      </w:r>
      <w:r w:rsidR="001D662A">
        <w:t>support</w:t>
      </w:r>
      <w:r w:rsidR="00BC721C">
        <w:t xml:space="preserve"> </w:t>
      </w:r>
      <w:r w:rsidR="002B20A9">
        <w:t>to managing authorities and applicants</w:t>
      </w:r>
      <w:r w:rsidR="00A03635">
        <w:t xml:space="preserve">, </w:t>
      </w:r>
      <w:r w:rsidR="002B20A9">
        <w:t xml:space="preserve">while </w:t>
      </w:r>
      <w:r w:rsidR="00BC721C">
        <w:t>a</w:t>
      </w:r>
      <w:r w:rsidR="00030B26">
        <w:t>cknowledging their limited resources</w:t>
      </w:r>
      <w:r w:rsidR="0092702A">
        <w:t>;</w:t>
      </w:r>
    </w:p>
    <w:p w14:paraId="1B4E827C" w14:textId="5E4CEADB" w:rsidR="00760F70" w:rsidRDefault="00682A35" w:rsidP="00F54A4F">
      <w:pPr>
        <w:pStyle w:val="ChecklistBulletpoint0"/>
        <w:numPr>
          <w:ilvl w:val="0"/>
          <w:numId w:val="4"/>
        </w:numPr>
        <w:ind w:left="851" w:hanging="284"/>
      </w:pPr>
      <w:r w:rsidRPr="006B01D5">
        <w:rPr>
          <w:b/>
        </w:rPr>
        <w:t>E</w:t>
      </w:r>
      <w:r w:rsidR="00A7644B" w:rsidRPr="006B01D5">
        <w:rPr>
          <w:b/>
        </w:rPr>
        <w:t xml:space="preserve">nsure the consistency of DNSH assessments across </w:t>
      </w:r>
      <w:r w:rsidR="006212EF" w:rsidRPr="006B01D5">
        <w:rPr>
          <w:b/>
        </w:rPr>
        <w:t>authorities</w:t>
      </w:r>
      <w:r w:rsidR="006212EF">
        <w:t>.</w:t>
      </w:r>
      <w:r w:rsidR="00324618">
        <w:t xml:space="preserve"> </w:t>
      </w:r>
      <w:r w:rsidR="001B61B5">
        <w:t xml:space="preserve">The governance system and processes should ensure an even level of environmental integrity across </w:t>
      </w:r>
      <w:r w:rsidR="00C80B51">
        <w:t>authorities, sectors</w:t>
      </w:r>
      <w:r w:rsidR="00EC73C1">
        <w:t>,</w:t>
      </w:r>
      <w:r w:rsidR="00C80B51">
        <w:t xml:space="preserve"> and jurisdictions (in the case of regional implementation). </w:t>
      </w:r>
      <w:r w:rsidR="00BE3817">
        <w:t xml:space="preserve">It must also provide information and requirements that </w:t>
      </w:r>
      <w:r w:rsidR="00671364">
        <w:t xml:space="preserve">applicants </w:t>
      </w:r>
      <w:r w:rsidR="0043140A">
        <w:t xml:space="preserve">may use </w:t>
      </w:r>
      <w:r w:rsidR="004461CF">
        <w:t xml:space="preserve">for </w:t>
      </w:r>
      <w:r w:rsidR="00E522FA">
        <w:t>all programmes (disregarding the managing authority</w:t>
      </w:r>
      <w:r w:rsidR="00F43342">
        <w:t>, and to a certain extent, the fund</w:t>
      </w:r>
      <w:r w:rsidR="00E522FA">
        <w:t>)</w:t>
      </w:r>
      <w:r w:rsidR="00F43342">
        <w:t>.</w:t>
      </w:r>
    </w:p>
    <w:p w14:paraId="194F5924" w14:textId="77777777" w:rsidR="00F54A4F" w:rsidRDefault="00F54A4F" w:rsidP="00682A35"/>
    <w:p w14:paraId="7751A0EC" w14:textId="1C987A7F" w:rsidR="006910A7" w:rsidRDefault="00682A35" w:rsidP="00682A35">
      <w:r>
        <w:t>T</w:t>
      </w:r>
      <w:r w:rsidR="006910A7">
        <w:t xml:space="preserve">his </w:t>
      </w:r>
      <w:r w:rsidR="00EB3362">
        <w:t>webinar</w:t>
      </w:r>
      <w:r w:rsidR="006910A7">
        <w:t xml:space="preserve"> </w:t>
      </w:r>
      <w:r w:rsidR="00532591">
        <w:t>topic thus aim</w:t>
      </w:r>
      <w:r w:rsidR="00B62372">
        <w:t>ed</w:t>
      </w:r>
      <w:r w:rsidR="00532591">
        <w:t xml:space="preserve"> at addressing the repartition of roles in and across authorities, the consistency and flexibility of governance processes, the management of data, and capacity building.</w:t>
      </w:r>
    </w:p>
    <w:p w14:paraId="090AD838" w14:textId="4C1070D4" w:rsidR="00B85758" w:rsidRDefault="00B85758" w:rsidP="009C7016"/>
    <w:p w14:paraId="692A2496" w14:textId="09A42FD9" w:rsidR="00DD3079" w:rsidRDefault="00DD3079" w:rsidP="003D4BAC">
      <w:pPr>
        <w:pStyle w:val="Nadpis3"/>
        <w:tabs>
          <w:tab w:val="clear" w:pos="851"/>
          <w:tab w:val="left" w:pos="567"/>
        </w:tabs>
        <w:ind w:left="567" w:hanging="567"/>
      </w:pPr>
      <w:bookmarkStart w:id="20" w:name="_Toc131775834"/>
      <w:r>
        <w:t>Presentation of the focus cases</w:t>
      </w:r>
      <w:r w:rsidR="003D4BAC">
        <w:t xml:space="preserve"> for the webinar</w:t>
      </w:r>
      <w:bookmarkEnd w:id="20"/>
    </w:p>
    <w:p w14:paraId="01D3907E" w14:textId="01936858" w:rsidR="00957B03" w:rsidRDefault="00852E58" w:rsidP="00957B03">
      <w:pPr>
        <w:rPr>
          <w:lang w:val="en-GB"/>
        </w:rPr>
      </w:pPr>
      <w:r>
        <w:rPr>
          <w:lang w:val="en-GB"/>
        </w:rPr>
        <w:t xml:space="preserve">The governance </w:t>
      </w:r>
      <w:r w:rsidR="000E1079">
        <w:rPr>
          <w:lang w:val="en-GB"/>
        </w:rPr>
        <w:t xml:space="preserve">system </w:t>
      </w:r>
      <w:r>
        <w:rPr>
          <w:lang w:val="en-GB"/>
        </w:rPr>
        <w:t xml:space="preserve">and </w:t>
      </w:r>
      <w:r w:rsidRPr="00145AEE">
        <w:rPr>
          <w:b/>
          <w:lang w:val="en-GB"/>
        </w:rPr>
        <w:t xml:space="preserve">capacity building </w:t>
      </w:r>
      <w:r w:rsidR="00D973AC" w:rsidRPr="00145AEE">
        <w:rPr>
          <w:b/>
          <w:lang w:val="en-GB"/>
        </w:rPr>
        <w:t>by the DNSH Division</w:t>
      </w:r>
      <w:r w:rsidR="00D973AC">
        <w:rPr>
          <w:lang w:val="en-GB"/>
        </w:rPr>
        <w:t xml:space="preserve"> </w:t>
      </w:r>
      <w:r>
        <w:rPr>
          <w:lang w:val="en-GB"/>
        </w:rPr>
        <w:t xml:space="preserve">for </w:t>
      </w:r>
      <w:r w:rsidR="000E1079">
        <w:rPr>
          <w:lang w:val="en-GB"/>
        </w:rPr>
        <w:t xml:space="preserve">implementing </w:t>
      </w:r>
      <w:r>
        <w:rPr>
          <w:lang w:val="en-GB"/>
        </w:rPr>
        <w:t xml:space="preserve">the Spanish RRP and the </w:t>
      </w:r>
      <w:r w:rsidRPr="00145AEE">
        <w:rPr>
          <w:b/>
          <w:lang w:val="en-GB"/>
        </w:rPr>
        <w:t xml:space="preserve">DNSH helpdesk </w:t>
      </w:r>
      <w:r>
        <w:rPr>
          <w:lang w:val="en-GB"/>
        </w:rPr>
        <w:t>in Belgium were selected</w:t>
      </w:r>
      <w:r w:rsidR="00AA45C9">
        <w:rPr>
          <w:lang w:val="en-GB"/>
        </w:rPr>
        <w:t xml:space="preserve"> as focus cases. They both </w:t>
      </w:r>
      <w:r w:rsidR="0058292A">
        <w:rPr>
          <w:lang w:val="en-GB"/>
        </w:rPr>
        <w:t xml:space="preserve">provide good practices </w:t>
      </w:r>
      <w:r w:rsidR="00EC73C1">
        <w:rPr>
          <w:lang w:val="en-GB"/>
        </w:rPr>
        <w:t>regarding</w:t>
      </w:r>
      <w:r w:rsidR="0058292A">
        <w:rPr>
          <w:lang w:val="en-GB"/>
        </w:rPr>
        <w:t xml:space="preserve"> the </w:t>
      </w:r>
      <w:r w:rsidR="00145AEE">
        <w:rPr>
          <w:lang w:val="en-GB"/>
        </w:rPr>
        <w:t>challenges</w:t>
      </w:r>
      <w:r w:rsidR="0058292A">
        <w:rPr>
          <w:lang w:val="en-GB"/>
        </w:rPr>
        <w:t xml:space="preserve"> raised above, while exemplifying the benefits of minimised administrative burden and consistency of DNSH assessments</w:t>
      </w:r>
      <w:r w:rsidR="00957B03">
        <w:rPr>
          <w:lang w:val="en-GB"/>
        </w:rPr>
        <w:t>.</w:t>
      </w:r>
      <w:bookmarkEnd w:id="19"/>
    </w:p>
    <w:p w14:paraId="6B62F7B7" w14:textId="77777777" w:rsidR="006C0AF8" w:rsidRPr="006C0AF8" w:rsidRDefault="006C0AF8" w:rsidP="006C0AF8">
      <w:pPr>
        <w:rPr>
          <w:lang w:val="en-GB"/>
        </w:rPr>
      </w:pPr>
    </w:p>
    <w:p w14:paraId="4FFDB65E" w14:textId="1AE734BE" w:rsidR="00957B03" w:rsidRDefault="000E1079" w:rsidP="00957B03">
      <w:pPr>
        <w:pStyle w:val="Nadpis4"/>
      </w:pPr>
      <w:r>
        <w:lastRenderedPageBreak/>
        <w:t>Governance system and capacity building for the RRP (Spain)</w:t>
      </w:r>
    </w:p>
    <w:p w14:paraId="26024102" w14:textId="281AA499" w:rsidR="00957B03" w:rsidRDefault="00B14E46" w:rsidP="00957B03">
      <w:r>
        <w:t xml:space="preserve">Spain </w:t>
      </w:r>
      <w:r w:rsidR="005C1284">
        <w:t>has</w:t>
      </w:r>
      <w:r>
        <w:t xml:space="preserve"> developed a </w:t>
      </w:r>
      <w:r w:rsidR="00EC735B">
        <w:t xml:space="preserve">centralized system for implementing and monitoring its RRP. </w:t>
      </w:r>
      <w:r w:rsidR="00A6425D">
        <w:t xml:space="preserve">The </w:t>
      </w:r>
      <w:r w:rsidR="00443A54">
        <w:t>General Directorate for the Recovery and Resilience Plan</w:t>
      </w:r>
      <w:r w:rsidR="00CF6747">
        <w:t xml:space="preserve"> </w:t>
      </w:r>
      <w:r w:rsidR="00A6425D">
        <w:t xml:space="preserve">in the Ministry of Finance </w:t>
      </w:r>
      <w:r w:rsidR="00EE41AB">
        <w:t xml:space="preserve">is responsible for the coordination of the </w:t>
      </w:r>
      <w:r w:rsidR="00CF6747">
        <w:t xml:space="preserve">RRP </w:t>
      </w:r>
      <w:r w:rsidR="00EE41AB">
        <w:t xml:space="preserve">implementation, and the National Audit Office </w:t>
      </w:r>
      <w:r w:rsidR="00C22E86">
        <w:t>stands as the central control authority.</w:t>
      </w:r>
      <w:r w:rsidR="002A76B3">
        <w:t xml:space="preserve"> </w:t>
      </w:r>
      <w:r w:rsidR="007A60C7">
        <w:t xml:space="preserve">In addition, the </w:t>
      </w:r>
      <w:r w:rsidR="009C759B">
        <w:t xml:space="preserve">Division for Monitoring the Application of Environmental Legislation (or </w:t>
      </w:r>
      <w:r w:rsidR="00156EC6">
        <w:t>“</w:t>
      </w:r>
      <w:r w:rsidR="009C759B">
        <w:t>DNSH Division</w:t>
      </w:r>
      <w:r w:rsidR="00156EC6">
        <w:t>”</w:t>
      </w:r>
      <w:r w:rsidR="009C759B">
        <w:t xml:space="preserve"> thereof)</w:t>
      </w:r>
      <w:r w:rsidR="004C123D">
        <w:t xml:space="preserve"> is</w:t>
      </w:r>
      <w:r w:rsidR="00BA5BCB">
        <w:t xml:space="preserve"> nested in the </w:t>
      </w:r>
      <w:r w:rsidR="00F25624">
        <w:t>Ministry for Ecological Transition and the Demographic Challenge</w:t>
      </w:r>
      <w:r w:rsidR="004C123D">
        <w:t xml:space="preserve"> and</w:t>
      </w:r>
      <w:r w:rsidR="009C759B">
        <w:t xml:space="preserve"> ensures the centralization of the </w:t>
      </w:r>
      <w:r w:rsidR="00D23297">
        <w:t>DNSH application</w:t>
      </w:r>
      <w:r w:rsidR="00A56652">
        <w:t xml:space="preserve">. Importantly, the DNSH </w:t>
      </w:r>
      <w:r w:rsidR="008B4E2C">
        <w:t>D</w:t>
      </w:r>
      <w:r w:rsidR="00A56652">
        <w:t xml:space="preserve">ivision does not have </w:t>
      </w:r>
      <w:r w:rsidR="00B54B84">
        <w:t>a</w:t>
      </w:r>
      <w:r w:rsidR="00A56652">
        <w:t xml:space="preserve"> legal </w:t>
      </w:r>
      <w:r w:rsidR="00012524">
        <w:t>mandate</w:t>
      </w:r>
      <w:r w:rsidR="00BC3AE0">
        <w:t>, but</w:t>
      </w:r>
      <w:r w:rsidR="00990897">
        <w:t xml:space="preserve"> </w:t>
      </w:r>
      <w:r w:rsidR="00C54C60">
        <w:t>rather</w:t>
      </w:r>
      <w:r w:rsidR="00990897">
        <w:t xml:space="preserve"> </w:t>
      </w:r>
      <w:r w:rsidR="00C54C60">
        <w:t xml:space="preserve">acts as </w:t>
      </w:r>
      <w:r w:rsidR="004270F7">
        <w:t xml:space="preserve">a </w:t>
      </w:r>
      <w:r w:rsidR="002D3CEA">
        <w:t>“</w:t>
      </w:r>
      <w:r w:rsidR="004270F7">
        <w:t>central</w:t>
      </w:r>
      <w:r w:rsidR="00C54C60">
        <w:t xml:space="preserve"> expert</w:t>
      </w:r>
      <w:r w:rsidR="002D3CEA">
        <w:t>ise hub”</w:t>
      </w:r>
      <w:r w:rsidR="00C54C60">
        <w:rPr>
          <w:rStyle w:val="Znakapoznpodarou"/>
        </w:rPr>
        <w:footnoteReference w:id="3"/>
      </w:r>
      <w:r w:rsidR="000E6CBB">
        <w:t xml:space="preserve"> </w:t>
      </w:r>
      <w:r w:rsidR="00587B75">
        <w:t xml:space="preserve">-exclusively for the RRF- </w:t>
      </w:r>
      <w:r w:rsidR="000E6CBB">
        <w:t>that:</w:t>
      </w:r>
    </w:p>
    <w:p w14:paraId="4268E457" w14:textId="47E7DA4E" w:rsidR="000E6CBB" w:rsidRDefault="000E6CBB" w:rsidP="009A7C29">
      <w:pPr>
        <w:pStyle w:val="Bulletpoint"/>
        <w:numPr>
          <w:ilvl w:val="0"/>
          <w:numId w:val="11"/>
        </w:numPr>
        <w:ind w:left="851" w:hanging="284"/>
      </w:pPr>
      <w:r w:rsidRPr="00ED10ED">
        <w:rPr>
          <w:b/>
        </w:rPr>
        <w:t xml:space="preserve">Assists the </w:t>
      </w:r>
      <w:r w:rsidR="002D3CEA" w:rsidRPr="00ED10ED">
        <w:rPr>
          <w:b/>
        </w:rPr>
        <w:t xml:space="preserve">different line </w:t>
      </w:r>
      <w:r w:rsidRPr="00ED10ED">
        <w:rPr>
          <w:b/>
        </w:rPr>
        <w:t>Ministrie</w:t>
      </w:r>
      <w:r w:rsidR="00AE32B7" w:rsidRPr="00ED10ED">
        <w:rPr>
          <w:b/>
        </w:rPr>
        <w:t xml:space="preserve">s </w:t>
      </w:r>
      <w:r w:rsidRPr="00ED10ED">
        <w:rPr>
          <w:b/>
        </w:rPr>
        <w:t xml:space="preserve">to </w:t>
      </w:r>
      <w:r w:rsidR="0058672C" w:rsidRPr="00ED10ED">
        <w:rPr>
          <w:b/>
        </w:rPr>
        <w:t>comply with the DNSH principle</w:t>
      </w:r>
      <w:r w:rsidR="00F932E3">
        <w:rPr>
          <w:b/>
          <w:bCs/>
        </w:rPr>
        <w:t xml:space="preserve"> when designing (new) programme calls</w:t>
      </w:r>
      <w:r w:rsidR="00AE32B7">
        <w:t xml:space="preserve">. This is done by coordinating relevant Ministries and teams </w:t>
      </w:r>
      <w:r w:rsidR="00990897">
        <w:t>o</w:t>
      </w:r>
      <w:r w:rsidR="00AE32B7">
        <w:t xml:space="preserve">n specific </w:t>
      </w:r>
      <w:r w:rsidR="00990897">
        <w:t>topics</w:t>
      </w:r>
      <w:r w:rsidR="00AE32B7">
        <w:t xml:space="preserve">, </w:t>
      </w:r>
      <w:r w:rsidR="00000AF4">
        <w:t>and by review</w:t>
      </w:r>
      <w:r w:rsidR="00802F5D">
        <w:t>ing</w:t>
      </w:r>
      <w:r w:rsidR="00000AF4">
        <w:t xml:space="preserve"> legal texts </w:t>
      </w:r>
      <w:r w:rsidR="00F5041B">
        <w:t>to be validated by the Council of Ministers</w:t>
      </w:r>
      <w:r w:rsidR="0058672C">
        <w:t>;</w:t>
      </w:r>
    </w:p>
    <w:p w14:paraId="3F746C40" w14:textId="1AC9C6AD" w:rsidR="0058672C" w:rsidRDefault="0058672C" w:rsidP="009A7C29">
      <w:pPr>
        <w:pStyle w:val="Odstavecseseznamem"/>
        <w:numPr>
          <w:ilvl w:val="0"/>
          <w:numId w:val="11"/>
        </w:numPr>
        <w:ind w:left="851" w:hanging="284"/>
      </w:pPr>
      <w:r w:rsidRPr="00ED10ED">
        <w:rPr>
          <w:b/>
        </w:rPr>
        <w:t xml:space="preserve">Trains </w:t>
      </w:r>
      <w:r w:rsidR="00ED10ED" w:rsidRPr="00ED10ED">
        <w:rPr>
          <w:b/>
          <w:bCs/>
        </w:rPr>
        <w:t>civil servants from</w:t>
      </w:r>
      <w:r w:rsidRPr="00ED10ED">
        <w:rPr>
          <w:b/>
        </w:rPr>
        <w:t xml:space="preserve"> public administrations</w:t>
      </w:r>
      <w:r>
        <w:t xml:space="preserve"> that are </w:t>
      </w:r>
      <w:r w:rsidR="0066200C">
        <w:t>involved in the implementation of the RRP (including regional and local entities)</w:t>
      </w:r>
      <w:r w:rsidR="00012524">
        <w:t xml:space="preserve"> through seminars and focus groups</w:t>
      </w:r>
      <w:r w:rsidR="0066200C">
        <w:t>;</w:t>
      </w:r>
    </w:p>
    <w:p w14:paraId="7DBF5AFE" w14:textId="0A5932B6" w:rsidR="0066200C" w:rsidRPr="0058672C" w:rsidRDefault="0066200C" w:rsidP="009A7C29">
      <w:pPr>
        <w:pStyle w:val="Odstavecseseznamem"/>
        <w:numPr>
          <w:ilvl w:val="0"/>
          <w:numId w:val="11"/>
        </w:numPr>
        <w:ind w:left="851" w:hanging="284"/>
      </w:pPr>
      <w:r w:rsidRPr="00B36DD2">
        <w:rPr>
          <w:b/>
        </w:rPr>
        <w:t xml:space="preserve">Develops materials for </w:t>
      </w:r>
      <w:r w:rsidR="000A2DF7" w:rsidRPr="00B36DD2">
        <w:rPr>
          <w:b/>
          <w:bCs/>
        </w:rPr>
        <w:t>systemat</w:t>
      </w:r>
      <w:r w:rsidR="002074EE">
        <w:rPr>
          <w:b/>
          <w:bCs/>
        </w:rPr>
        <w:t>ic</w:t>
      </w:r>
      <w:r w:rsidR="000A2DF7" w:rsidRPr="00B36DD2">
        <w:rPr>
          <w:b/>
        </w:rPr>
        <w:t xml:space="preserve"> DNSH assessments across all sectors, types of instruments, and jurisdictions</w:t>
      </w:r>
      <w:r w:rsidR="00772C0A">
        <w:t xml:space="preserve"> (including a guide validated by the Commission, a self-assessment questionnaire</w:t>
      </w:r>
      <w:r w:rsidR="007E6F16">
        <w:t xml:space="preserve">, and a data repository for </w:t>
      </w:r>
      <w:r w:rsidR="000D3CD9">
        <w:t>conducting climate proofing</w:t>
      </w:r>
      <w:r w:rsidR="00772C0A">
        <w:t>)</w:t>
      </w:r>
      <w:r w:rsidR="00AC3729">
        <w:t>.</w:t>
      </w:r>
    </w:p>
    <w:p w14:paraId="3A49FBF9" w14:textId="77777777" w:rsidR="000759B2" w:rsidRDefault="000759B2" w:rsidP="00957B03"/>
    <w:p w14:paraId="5541310D" w14:textId="59AD428E" w:rsidR="00D87A2A" w:rsidRDefault="00D87A2A" w:rsidP="00957B03">
      <w:r>
        <w:t xml:space="preserve">This centralized functioning ensures the consistency of </w:t>
      </w:r>
      <w:r w:rsidR="0040075C">
        <w:t xml:space="preserve">the </w:t>
      </w:r>
      <w:r w:rsidRPr="00AF7341">
        <w:t xml:space="preserve">DNSH </w:t>
      </w:r>
      <w:r w:rsidR="006C1D31" w:rsidRPr="00AF7341">
        <w:t xml:space="preserve">reviews of </w:t>
      </w:r>
      <w:r w:rsidR="004D1734" w:rsidRPr="00AF7341">
        <w:t>measures</w:t>
      </w:r>
      <w:r w:rsidR="004D1734">
        <w:t xml:space="preserve"> </w:t>
      </w:r>
      <w:r w:rsidR="006C1D31">
        <w:t>conducted s</w:t>
      </w:r>
      <w:r w:rsidR="00B277CC">
        <w:t>ince April 2021</w:t>
      </w:r>
      <w:r w:rsidR="00EA1429">
        <w:t xml:space="preserve">. </w:t>
      </w:r>
      <w:r w:rsidR="007F5100">
        <w:t xml:space="preserve">Notably, while the reviews </w:t>
      </w:r>
      <w:r w:rsidR="00E12AD1">
        <w:t xml:space="preserve">conducted </w:t>
      </w:r>
      <w:r w:rsidR="002A33EC">
        <w:t xml:space="preserve">by the DNSH division </w:t>
      </w:r>
      <w:r w:rsidR="007F5100">
        <w:t>are not legally binding</w:t>
      </w:r>
      <w:r w:rsidR="001F5D74">
        <w:t xml:space="preserve"> for the </w:t>
      </w:r>
      <w:r w:rsidR="00A00280">
        <w:t>M</w:t>
      </w:r>
      <w:r w:rsidR="001F5D74">
        <w:t>inistries</w:t>
      </w:r>
      <w:r w:rsidR="005334A6">
        <w:t xml:space="preserve"> in charge of the measures</w:t>
      </w:r>
      <w:r w:rsidR="007F5100">
        <w:t xml:space="preserve">, the DNSH </w:t>
      </w:r>
      <w:r w:rsidR="00F42151">
        <w:t>D</w:t>
      </w:r>
      <w:r w:rsidR="007F5100">
        <w:t xml:space="preserve">ivision observes that they have been gradually </w:t>
      </w:r>
      <w:r w:rsidR="00B75B3C">
        <w:t xml:space="preserve">included </w:t>
      </w:r>
      <w:r w:rsidR="00BF3E3F">
        <w:t xml:space="preserve">by Ministries </w:t>
      </w:r>
      <w:r w:rsidR="00B75B3C">
        <w:t xml:space="preserve">in the final legal texts. </w:t>
      </w:r>
      <w:r w:rsidR="00EA1429">
        <w:t>This s</w:t>
      </w:r>
      <w:r w:rsidR="00DA03A5">
        <w:t>uggest</w:t>
      </w:r>
      <w:r w:rsidR="00EA1429">
        <w:t xml:space="preserve">s </w:t>
      </w:r>
      <w:r w:rsidR="00DA03A5">
        <w:t>that the</w:t>
      </w:r>
      <w:r w:rsidR="00B277CC">
        <w:t xml:space="preserve"> </w:t>
      </w:r>
      <w:r w:rsidR="0054094A">
        <w:t>DNSH D</w:t>
      </w:r>
      <w:r w:rsidR="00DA03A5">
        <w:t xml:space="preserve">ivision </w:t>
      </w:r>
      <w:r w:rsidR="007C547C">
        <w:t xml:space="preserve">has the </w:t>
      </w:r>
      <w:r w:rsidR="00A652D5">
        <w:t xml:space="preserve">technical </w:t>
      </w:r>
      <w:r w:rsidR="007C547C">
        <w:t xml:space="preserve">capacity to </w:t>
      </w:r>
      <w:r w:rsidR="00A61397">
        <w:t xml:space="preserve">address the </w:t>
      </w:r>
      <w:r w:rsidR="00931C5C">
        <w:t xml:space="preserve">review of </w:t>
      </w:r>
      <w:r w:rsidR="00A61397">
        <w:t>RRP measures, and th</w:t>
      </w:r>
      <w:r w:rsidR="00B75B3C">
        <w:t>at it holds th</w:t>
      </w:r>
      <w:r w:rsidR="00A61397">
        <w:t xml:space="preserve">e </w:t>
      </w:r>
      <w:r w:rsidR="00EA1429">
        <w:t xml:space="preserve">expertise to </w:t>
      </w:r>
      <w:r w:rsidR="007C547C">
        <w:t xml:space="preserve">streamline and standardize practices </w:t>
      </w:r>
      <w:r w:rsidR="00EA1429">
        <w:t xml:space="preserve">across all sectors and instruments. </w:t>
      </w:r>
      <w:r w:rsidR="00BF3E3F">
        <w:t>The relevance of this work is further confirmed by Ministries that benefit from it</w:t>
      </w:r>
      <w:r w:rsidR="00F149C5">
        <w:t xml:space="preserve">, and </w:t>
      </w:r>
      <w:r w:rsidR="006C0AF8">
        <w:t>which</w:t>
      </w:r>
      <w:r w:rsidR="00433FB6">
        <w:t xml:space="preserve"> highlight that the DNSH </w:t>
      </w:r>
      <w:r w:rsidR="00717F4D">
        <w:t>D</w:t>
      </w:r>
      <w:r w:rsidR="00433FB6">
        <w:t>ivision’s expertise</w:t>
      </w:r>
      <w:r w:rsidR="00FC46A5">
        <w:t xml:space="preserve"> is a key element to </w:t>
      </w:r>
      <w:r w:rsidR="00045C89">
        <w:t xml:space="preserve">ensure that measures are </w:t>
      </w:r>
      <w:r w:rsidR="00316936">
        <w:t>abiding by</w:t>
      </w:r>
      <w:r w:rsidR="00FC46A5">
        <w:t xml:space="preserve"> European guidelines.</w:t>
      </w:r>
    </w:p>
    <w:p w14:paraId="1DECDAED" w14:textId="77777777" w:rsidR="00025EBF" w:rsidRDefault="00025EBF" w:rsidP="00957B03"/>
    <w:p w14:paraId="5D61AF89" w14:textId="26DF582E" w:rsidR="00F77E18" w:rsidRDefault="00916DD9" w:rsidP="00957B03">
      <w:r>
        <w:t>Trainings also emerge</w:t>
      </w:r>
      <w:r w:rsidR="00DC417A">
        <w:t>d</w:t>
      </w:r>
      <w:r>
        <w:t xml:space="preserve"> as a beneficial tool for the strong implementation of the </w:t>
      </w:r>
      <w:r w:rsidR="00661DD0">
        <w:t xml:space="preserve">DNSH principle under the </w:t>
      </w:r>
      <w:r>
        <w:t>RRP.</w:t>
      </w:r>
      <w:r w:rsidR="00146BD8">
        <w:t xml:space="preserve"> </w:t>
      </w:r>
      <w:r w:rsidR="00C66417">
        <w:t>First, t</w:t>
      </w:r>
      <w:r w:rsidR="004D70A0">
        <w:t xml:space="preserve">hey allow to </w:t>
      </w:r>
      <w:r w:rsidR="004D70A0" w:rsidRPr="00727012">
        <w:rPr>
          <w:lang w:val="en-GB"/>
        </w:rPr>
        <w:t>centralise</w:t>
      </w:r>
      <w:r w:rsidR="004D70A0">
        <w:t xml:space="preserve"> the </w:t>
      </w:r>
      <w:r w:rsidR="00025EBF">
        <w:t xml:space="preserve">(rather technical) </w:t>
      </w:r>
      <w:r w:rsidR="004D70A0">
        <w:t>questions from implementing authorities throughout local, regional</w:t>
      </w:r>
      <w:r w:rsidR="0093668E">
        <w:t>,</w:t>
      </w:r>
      <w:r w:rsidR="004D70A0">
        <w:t xml:space="preserve"> and national jurisdictions, and </w:t>
      </w:r>
      <w:r w:rsidR="00C66417">
        <w:t xml:space="preserve">thus to strengthen the communication materials provided by the DNSH </w:t>
      </w:r>
      <w:r w:rsidR="004F7F02">
        <w:t>D</w:t>
      </w:r>
      <w:r w:rsidR="00C66417">
        <w:t>i</w:t>
      </w:r>
      <w:r w:rsidR="00A315FB">
        <w:t xml:space="preserve">vision. Furthermore, </w:t>
      </w:r>
      <w:r w:rsidR="004D70A0">
        <w:t>t</w:t>
      </w:r>
      <w:r w:rsidR="00A315FB">
        <w:t xml:space="preserve">he organization of trainings by a sole </w:t>
      </w:r>
      <w:r w:rsidR="009F5C02">
        <w:t xml:space="preserve">entity ensures that </w:t>
      </w:r>
      <w:r w:rsidR="004D70A0">
        <w:t>consistent answers</w:t>
      </w:r>
      <w:r w:rsidR="009F5C02">
        <w:t xml:space="preserve"> </w:t>
      </w:r>
      <w:r w:rsidR="00317BE2">
        <w:t xml:space="preserve">and guidance </w:t>
      </w:r>
      <w:r w:rsidR="009F5C02">
        <w:t>are provided</w:t>
      </w:r>
      <w:r w:rsidR="00916DDA">
        <w:t xml:space="preserve">, which </w:t>
      </w:r>
      <w:r w:rsidR="00BB7FAE">
        <w:t xml:space="preserve">fosters </w:t>
      </w:r>
      <w:r w:rsidR="002A60B2">
        <w:t>a</w:t>
      </w:r>
      <w:r w:rsidR="001435C3">
        <w:t xml:space="preserve"> harmonized</w:t>
      </w:r>
      <w:r w:rsidR="002A60B2">
        <w:t xml:space="preserve"> level of environmental integrity in Spain.</w:t>
      </w:r>
    </w:p>
    <w:p w14:paraId="5F9AD21A" w14:textId="77777777" w:rsidR="005B0F5B" w:rsidRDefault="005B0F5B" w:rsidP="00957B03"/>
    <w:p w14:paraId="0883D00F" w14:textId="7098C099" w:rsidR="000E1079" w:rsidRDefault="00377499" w:rsidP="00377499">
      <w:pPr>
        <w:pStyle w:val="Nadpis4"/>
      </w:pPr>
      <w:r>
        <w:t xml:space="preserve">Creation of </w:t>
      </w:r>
      <w:r w:rsidR="002B57EC">
        <w:t>expertise center and</w:t>
      </w:r>
      <w:r>
        <w:t xml:space="preserve"> helpdesk for the DNSH principle (Belgium)</w:t>
      </w:r>
    </w:p>
    <w:p w14:paraId="72DA98D8" w14:textId="322B5F16" w:rsidR="00165D1A" w:rsidRDefault="002B57EC" w:rsidP="00377499">
      <w:r>
        <w:t xml:space="preserve">Acknowledging the </w:t>
      </w:r>
      <w:r w:rsidR="001C64E7">
        <w:t xml:space="preserve">relatively </w:t>
      </w:r>
      <w:r w:rsidR="00CD7DC1">
        <w:t>“new concept”</w:t>
      </w:r>
      <w:r>
        <w:t xml:space="preserve"> of the DNSH principle and the subsequent conceptual challenges for Belgian </w:t>
      </w:r>
      <w:r w:rsidR="00DA535C">
        <w:t xml:space="preserve">federal </w:t>
      </w:r>
      <w:r>
        <w:t>authorities</w:t>
      </w:r>
      <w:r w:rsidR="00202198">
        <w:rPr>
          <w:rStyle w:val="Znakapoznpodarou"/>
        </w:rPr>
        <w:footnoteReference w:id="4"/>
      </w:r>
      <w:r>
        <w:t xml:space="preserve">, </w:t>
      </w:r>
      <w:r w:rsidR="00B61FAA">
        <w:t>and given the decision t</w:t>
      </w:r>
      <w:r w:rsidR="00636915">
        <w:t>o</w:t>
      </w:r>
      <w:r w:rsidR="00B61FAA">
        <w:t xml:space="preserve"> apply the DNSH princip</w:t>
      </w:r>
      <w:r w:rsidR="00636915">
        <w:t>l</w:t>
      </w:r>
      <w:r w:rsidR="00B61FAA">
        <w:t xml:space="preserve">e to </w:t>
      </w:r>
      <w:r w:rsidR="00636915">
        <w:t xml:space="preserve">federal funding for the Belgian RRP, </w:t>
      </w:r>
      <w:r w:rsidR="00283BEC">
        <w:t xml:space="preserve">a </w:t>
      </w:r>
      <w:r w:rsidR="00AE445E">
        <w:t>DNSH H</w:t>
      </w:r>
      <w:r w:rsidR="00283BEC">
        <w:t xml:space="preserve">elpdesk was launched </w:t>
      </w:r>
      <w:r w:rsidR="00DF2088">
        <w:t>by the Secre</w:t>
      </w:r>
      <w:r w:rsidR="008E6AAA">
        <w:t>t</w:t>
      </w:r>
      <w:r w:rsidR="00DF2088">
        <w:t>a</w:t>
      </w:r>
      <w:r w:rsidR="008E6AAA">
        <w:t>r</w:t>
      </w:r>
      <w:r w:rsidR="00DF2088">
        <w:t xml:space="preserve">y of State </w:t>
      </w:r>
      <w:r w:rsidR="008E6AAA">
        <w:t xml:space="preserve">for </w:t>
      </w:r>
      <w:r w:rsidR="00C10DA3">
        <w:t xml:space="preserve">Recovery </w:t>
      </w:r>
      <w:r w:rsidR="008E6AAA">
        <w:t xml:space="preserve">and Strategic Investments </w:t>
      </w:r>
      <w:r w:rsidR="00202198">
        <w:t>in September 2022.</w:t>
      </w:r>
      <w:r w:rsidR="00E93F0B">
        <w:t xml:space="preserve"> The </w:t>
      </w:r>
      <w:r w:rsidR="00DA535C">
        <w:t>DNSH H</w:t>
      </w:r>
      <w:r w:rsidR="00E93F0B">
        <w:t xml:space="preserve">elpdesk </w:t>
      </w:r>
      <w:r w:rsidR="00952701">
        <w:t xml:space="preserve">consists </w:t>
      </w:r>
      <w:r w:rsidR="001B7929">
        <w:t>of</w:t>
      </w:r>
      <w:r w:rsidR="00651448">
        <w:t xml:space="preserve"> a team </w:t>
      </w:r>
      <w:r w:rsidR="00EB5365">
        <w:t>of</w:t>
      </w:r>
      <w:r w:rsidR="00952701">
        <w:t xml:space="preserve"> </w:t>
      </w:r>
      <w:r w:rsidR="00F34999">
        <w:t>varied profiles</w:t>
      </w:r>
      <w:r w:rsidR="00651448">
        <w:t xml:space="preserve"> (4 experts, 1 coordinator, 1 secretary) and </w:t>
      </w:r>
      <w:r w:rsidR="00023066">
        <w:t>is</w:t>
      </w:r>
      <w:r w:rsidR="00651448">
        <w:t xml:space="preserve"> </w:t>
      </w:r>
      <w:r w:rsidR="00C20AFE">
        <w:t>located</w:t>
      </w:r>
      <w:r w:rsidR="00651448">
        <w:t xml:space="preserve"> under the</w:t>
      </w:r>
      <w:r w:rsidR="00F4343C">
        <w:t xml:space="preserve"> </w:t>
      </w:r>
      <w:r w:rsidR="00651448">
        <w:t xml:space="preserve">Federal Public Service Health, Food Chain Safety and Environment. </w:t>
      </w:r>
      <w:r w:rsidR="00C82F23">
        <w:t xml:space="preserve">It focuses on the </w:t>
      </w:r>
      <w:r w:rsidR="0093668E">
        <w:t xml:space="preserve">application of the </w:t>
      </w:r>
      <w:r w:rsidR="00C82F23">
        <w:t>DNSH principle under the RRF.</w:t>
      </w:r>
    </w:p>
    <w:p w14:paraId="2C137164" w14:textId="77777777" w:rsidR="00165D1A" w:rsidRDefault="00165D1A" w:rsidP="00377499"/>
    <w:p w14:paraId="37E10DAC" w14:textId="3439CBBB" w:rsidR="00377499" w:rsidRDefault="00FF1AF9" w:rsidP="00377499">
      <w:r>
        <w:t xml:space="preserve">In addition to </w:t>
      </w:r>
      <w:r w:rsidR="00F63509">
        <w:t>its</w:t>
      </w:r>
      <w:r>
        <w:t xml:space="preserve"> central </w:t>
      </w:r>
      <w:r w:rsidR="00810CFD">
        <w:t>supporting</w:t>
      </w:r>
      <w:r>
        <w:t xml:space="preserve"> position, the </w:t>
      </w:r>
      <w:r w:rsidR="00810CFD">
        <w:t>DNSH H</w:t>
      </w:r>
      <w:r>
        <w:t xml:space="preserve">elpdesk </w:t>
      </w:r>
      <w:r w:rsidR="00C20AFE">
        <w:t xml:space="preserve">is </w:t>
      </w:r>
      <w:r w:rsidR="00EC31B8">
        <w:t xml:space="preserve">strongly </w:t>
      </w:r>
      <w:r w:rsidR="00C20AFE">
        <w:t xml:space="preserve">nested within the </w:t>
      </w:r>
      <w:r w:rsidR="00EC31B8">
        <w:t xml:space="preserve">Belgian governance structure and represents federal </w:t>
      </w:r>
      <w:r w:rsidR="00C36BCC">
        <w:t xml:space="preserve">entities in the </w:t>
      </w:r>
      <w:r w:rsidR="00B333B5">
        <w:t>inter</w:t>
      </w:r>
      <w:r w:rsidR="008006D2">
        <w:t>-</w:t>
      </w:r>
      <w:r w:rsidR="00B333B5">
        <w:t>federal</w:t>
      </w:r>
      <w:r w:rsidR="00C36BCC">
        <w:t xml:space="preserve"> network for DNSH</w:t>
      </w:r>
      <w:r w:rsidR="00443670">
        <w:t xml:space="preserve"> (see </w:t>
      </w:r>
      <w:r w:rsidR="00657119">
        <w:t xml:space="preserve">section </w:t>
      </w:r>
      <w:r w:rsidR="00443670">
        <w:fldChar w:fldCharType="begin"/>
      </w:r>
      <w:r w:rsidR="00443670">
        <w:instrText xml:space="preserve"> REF _Ref127542191 \r \h </w:instrText>
      </w:r>
      <w:r w:rsidR="00443670">
        <w:fldChar w:fldCharType="separate"/>
      </w:r>
      <w:r w:rsidR="0031368D">
        <w:rPr>
          <w:b/>
          <w:bCs/>
          <w:lang w:val="cs-CZ"/>
        </w:rPr>
        <w:t>Chyba! Nenalezen zdroj odkazů.</w:t>
      </w:r>
      <w:r w:rsidR="00443670">
        <w:fldChar w:fldCharType="end"/>
      </w:r>
      <w:r w:rsidR="00443670">
        <w:t>)</w:t>
      </w:r>
      <w:r w:rsidR="0006121E">
        <w:t xml:space="preserve">. </w:t>
      </w:r>
      <w:r w:rsidR="00165D1A">
        <w:t xml:space="preserve">The DNSH Helpdesk </w:t>
      </w:r>
      <w:r w:rsidR="0006121E">
        <w:t>offers:</w:t>
      </w:r>
    </w:p>
    <w:p w14:paraId="2CD936B0" w14:textId="3C2B6D2E" w:rsidR="00360DC6" w:rsidRDefault="00360DC6" w:rsidP="00657119">
      <w:pPr>
        <w:pStyle w:val="Bulletpoint"/>
        <w:numPr>
          <w:ilvl w:val="0"/>
          <w:numId w:val="11"/>
        </w:numPr>
        <w:ind w:left="851" w:hanging="284"/>
      </w:pPr>
      <w:r w:rsidRPr="00165D1A">
        <w:rPr>
          <w:b/>
        </w:rPr>
        <w:lastRenderedPageBreak/>
        <w:t xml:space="preserve">Assistance to public </w:t>
      </w:r>
      <w:r w:rsidR="00165D1A">
        <w:rPr>
          <w:b/>
          <w:bCs/>
        </w:rPr>
        <w:t xml:space="preserve">federal </w:t>
      </w:r>
      <w:r w:rsidRPr="00165D1A">
        <w:rPr>
          <w:b/>
        </w:rPr>
        <w:t>authorities</w:t>
      </w:r>
      <w:r>
        <w:t xml:space="preserve"> (</w:t>
      </w:r>
      <w:r w:rsidR="0006121E">
        <w:t>e.g.,</w:t>
      </w:r>
      <w:r>
        <w:t xml:space="preserve"> analysis of measures’ compliance with the DNSH principle)</w:t>
      </w:r>
      <w:r w:rsidR="008E5E32">
        <w:t xml:space="preserve"> and to project </w:t>
      </w:r>
      <w:r w:rsidR="00F73D2D">
        <w:t>applicants/</w:t>
      </w:r>
      <w:r w:rsidR="008E5E32">
        <w:t xml:space="preserve">developers </w:t>
      </w:r>
      <w:r w:rsidR="00832181">
        <w:t>(</w:t>
      </w:r>
      <w:r w:rsidR="00364DAF">
        <w:t>e.g.,</w:t>
      </w:r>
      <w:r w:rsidR="00832181">
        <w:t xml:space="preserve"> ad hoc information throughout project</w:t>
      </w:r>
      <w:r w:rsidR="00443670">
        <w:t>s</w:t>
      </w:r>
      <w:r w:rsidR="00832181">
        <w:t>);</w:t>
      </w:r>
    </w:p>
    <w:p w14:paraId="78D1C41F" w14:textId="39B91F8F" w:rsidR="00832181" w:rsidRDefault="00537191" w:rsidP="00657119">
      <w:pPr>
        <w:pStyle w:val="Odstavecseseznamem"/>
        <w:numPr>
          <w:ilvl w:val="0"/>
          <w:numId w:val="11"/>
        </w:numPr>
        <w:ind w:left="851" w:hanging="284"/>
      </w:pPr>
      <w:r>
        <w:t xml:space="preserve">The </w:t>
      </w:r>
      <w:r w:rsidRPr="00F73D2D">
        <w:rPr>
          <w:b/>
        </w:rPr>
        <w:t>provision of trai</w:t>
      </w:r>
      <w:r w:rsidR="008C35A5" w:rsidRPr="00F73D2D">
        <w:rPr>
          <w:b/>
        </w:rPr>
        <w:t>n</w:t>
      </w:r>
      <w:r w:rsidRPr="00F73D2D">
        <w:rPr>
          <w:b/>
        </w:rPr>
        <w:t>ings</w:t>
      </w:r>
      <w:r>
        <w:t xml:space="preserve"> to </w:t>
      </w:r>
      <w:r w:rsidR="00F73D2D">
        <w:t xml:space="preserve">funding </w:t>
      </w:r>
      <w:r w:rsidR="008C35A5">
        <w:t xml:space="preserve">authorities and </w:t>
      </w:r>
      <w:r>
        <w:t>project developers</w:t>
      </w:r>
      <w:r w:rsidR="00983B32">
        <w:t>;</w:t>
      </w:r>
    </w:p>
    <w:p w14:paraId="1EBEE02A" w14:textId="5BF09B86" w:rsidR="00983B32" w:rsidRDefault="00E14F7E" w:rsidP="00657119">
      <w:pPr>
        <w:pStyle w:val="Odstavecseseznamem"/>
        <w:numPr>
          <w:ilvl w:val="0"/>
          <w:numId w:val="11"/>
        </w:numPr>
        <w:ind w:left="851" w:hanging="284"/>
      </w:pPr>
      <w:r w:rsidRPr="00F73D2D">
        <w:rPr>
          <w:b/>
        </w:rPr>
        <w:t>M</w:t>
      </w:r>
      <w:r w:rsidR="00983B32" w:rsidRPr="00F73D2D">
        <w:rPr>
          <w:b/>
        </w:rPr>
        <w:t>aterials to support authorities and project developers</w:t>
      </w:r>
      <w:r w:rsidR="00983B32">
        <w:t xml:space="preserve"> </w:t>
      </w:r>
      <w:r w:rsidR="00654627">
        <w:t>(</w:t>
      </w:r>
      <w:r w:rsidR="0082212F">
        <w:t>guides, templates for assessments</w:t>
      </w:r>
      <w:r w:rsidR="004503E4">
        <w:t xml:space="preserve">, templates for </w:t>
      </w:r>
      <w:r w:rsidR="00CD452E">
        <w:t xml:space="preserve">DNSH-aligned </w:t>
      </w:r>
      <w:r w:rsidR="004503E4">
        <w:t>public procurement</w:t>
      </w:r>
      <w:r w:rsidR="001C7608">
        <w:t xml:space="preserve">s, </w:t>
      </w:r>
      <w:r w:rsidR="009A340A">
        <w:t xml:space="preserve">technical guidance </w:t>
      </w:r>
      <w:r w:rsidR="00852FDE">
        <w:t>for</w:t>
      </w:r>
      <w:r w:rsidR="009A340A">
        <w:t xml:space="preserve"> self</w:t>
      </w:r>
      <w:r w:rsidR="00D87024">
        <w:t>-assessments</w:t>
      </w:r>
      <w:r w:rsidR="00654627">
        <w:t>)</w:t>
      </w:r>
      <w:r w:rsidR="00627EEB">
        <w:t>;</w:t>
      </w:r>
    </w:p>
    <w:p w14:paraId="0DA393A0" w14:textId="08274A1C" w:rsidR="00627EEB" w:rsidRDefault="008F2542" w:rsidP="00657119">
      <w:pPr>
        <w:pStyle w:val="Odstavecseseznamem"/>
        <w:numPr>
          <w:ilvl w:val="0"/>
          <w:numId w:val="11"/>
        </w:numPr>
        <w:ind w:left="851" w:hanging="284"/>
      </w:pPr>
      <w:r w:rsidRPr="00F73D2D">
        <w:rPr>
          <w:b/>
        </w:rPr>
        <w:t>C</w:t>
      </w:r>
      <w:r w:rsidR="00694EB6" w:rsidRPr="00F73D2D">
        <w:rPr>
          <w:b/>
        </w:rPr>
        <w:t>ommunication</w:t>
      </w:r>
      <w:r w:rsidR="00694EB6">
        <w:t xml:space="preserve"> to all public</w:t>
      </w:r>
      <w:r w:rsidR="005F43CF">
        <w:t xml:space="preserve">, </w:t>
      </w:r>
      <w:r w:rsidR="00694EB6">
        <w:t>private, federal</w:t>
      </w:r>
      <w:r w:rsidR="0093668E">
        <w:t>,</w:t>
      </w:r>
      <w:r w:rsidR="00694EB6">
        <w:t xml:space="preserve"> and regional</w:t>
      </w:r>
      <w:r w:rsidR="005F43CF">
        <w:t xml:space="preserve"> stakeholders</w:t>
      </w:r>
      <w:r w:rsidR="00694EB6">
        <w:t xml:space="preserve"> </w:t>
      </w:r>
      <w:r w:rsidR="00F66F93">
        <w:t>about good practices</w:t>
      </w:r>
      <w:r w:rsidR="00616E84">
        <w:t>.</w:t>
      </w:r>
    </w:p>
    <w:p w14:paraId="73609934" w14:textId="77777777" w:rsidR="00D87024" w:rsidRDefault="00D87024" w:rsidP="00657119"/>
    <w:p w14:paraId="4B47ED0F" w14:textId="54569FD1" w:rsidR="00F37804" w:rsidRPr="00832181" w:rsidRDefault="0030181D" w:rsidP="00D87024">
      <w:r>
        <w:t xml:space="preserve">The central position </w:t>
      </w:r>
      <w:r w:rsidR="0093668E">
        <w:t xml:space="preserve">and functioning </w:t>
      </w:r>
      <w:r>
        <w:t xml:space="preserve">of the </w:t>
      </w:r>
      <w:r w:rsidR="00657119">
        <w:t>DNSH H</w:t>
      </w:r>
      <w:r>
        <w:t xml:space="preserve">elpdesk across public and private stakeholders, and </w:t>
      </w:r>
      <w:r w:rsidR="00BF72CB">
        <w:t xml:space="preserve">across </w:t>
      </w:r>
      <w:r w:rsidR="00A069E8">
        <w:t xml:space="preserve">federal and regional entities appears </w:t>
      </w:r>
      <w:r w:rsidR="003C40FB">
        <w:t xml:space="preserve">as a key strength. </w:t>
      </w:r>
      <w:r w:rsidR="002D35DC">
        <w:t xml:space="preserve">The </w:t>
      </w:r>
      <w:r w:rsidR="00BD2FAC">
        <w:t>DNSH H</w:t>
      </w:r>
      <w:r w:rsidR="009766E2">
        <w:t xml:space="preserve">elpdesk </w:t>
      </w:r>
      <w:r w:rsidR="002D35DC">
        <w:t>team highlights that</w:t>
      </w:r>
      <w:r w:rsidR="00493E84">
        <w:t xml:space="preserve"> </w:t>
      </w:r>
      <w:r w:rsidR="00493E84" w:rsidRPr="001A5592">
        <w:rPr>
          <w:b/>
          <w:bCs/>
        </w:rPr>
        <w:t xml:space="preserve">external </w:t>
      </w:r>
      <w:r w:rsidR="00F95DD5" w:rsidRPr="001A5592">
        <w:rPr>
          <w:b/>
          <w:bCs/>
        </w:rPr>
        <w:t>communication</w:t>
      </w:r>
      <w:r w:rsidR="00F95DD5">
        <w:t xml:space="preserve"> </w:t>
      </w:r>
      <w:r w:rsidR="00BA7ADD">
        <w:t xml:space="preserve">to these </w:t>
      </w:r>
      <w:r w:rsidR="00EA6978">
        <w:t xml:space="preserve">stakeholders </w:t>
      </w:r>
      <w:r w:rsidR="004F5E73">
        <w:t xml:space="preserve">proved particularly successful. </w:t>
      </w:r>
      <w:r w:rsidR="00F95DD5">
        <w:t xml:space="preserve">In practice, external communication </w:t>
      </w:r>
      <w:r w:rsidR="002379A3">
        <w:t xml:space="preserve">is conducted regularly </w:t>
      </w:r>
      <w:r w:rsidR="00971D32">
        <w:t>–</w:t>
      </w:r>
      <w:r w:rsidR="00191740">
        <w:t xml:space="preserve"> </w:t>
      </w:r>
      <w:r w:rsidR="002379A3">
        <w:t xml:space="preserve">from the </w:t>
      </w:r>
      <w:r w:rsidR="00FA68A7">
        <w:t>apprais</w:t>
      </w:r>
      <w:r w:rsidR="006D4D5E">
        <w:t>al</w:t>
      </w:r>
      <w:r w:rsidR="002379A3">
        <w:t xml:space="preserve"> of projects</w:t>
      </w:r>
      <w:r w:rsidR="000E3B2F">
        <w:t xml:space="preserve">, </w:t>
      </w:r>
      <w:r w:rsidR="00343514">
        <w:t xml:space="preserve">which avoids </w:t>
      </w:r>
      <w:r w:rsidR="00FB1C76">
        <w:t xml:space="preserve">large </w:t>
      </w:r>
      <w:r w:rsidR="00C977EB">
        <w:t xml:space="preserve">application revisions later on </w:t>
      </w:r>
      <w:r w:rsidR="00971D32">
        <w:t>–</w:t>
      </w:r>
      <w:r w:rsidR="000E3B2F">
        <w:t xml:space="preserve"> and in a pro-active manner</w:t>
      </w:r>
      <w:r w:rsidR="006428ED">
        <w:t xml:space="preserve"> </w:t>
      </w:r>
      <w:r w:rsidR="00971D32">
        <w:t>–</w:t>
      </w:r>
      <w:r w:rsidR="009E1D0A">
        <w:t xml:space="preserve"> </w:t>
      </w:r>
      <w:r w:rsidR="00F4218B">
        <w:t>with outreach</w:t>
      </w:r>
      <w:r w:rsidR="000A5596">
        <w:t xml:space="preserve"> </w:t>
      </w:r>
      <w:r w:rsidR="00CB2AD3">
        <w:t xml:space="preserve">to </w:t>
      </w:r>
      <w:r w:rsidR="0069410A">
        <w:t xml:space="preserve">funding </w:t>
      </w:r>
      <w:r w:rsidR="00533491">
        <w:t xml:space="preserve">authorities </w:t>
      </w:r>
      <w:r w:rsidR="00F4218B">
        <w:t>to offer</w:t>
      </w:r>
      <w:r w:rsidR="00533491">
        <w:t xml:space="preserve"> support</w:t>
      </w:r>
      <w:r w:rsidR="0069410A">
        <w:t xml:space="preserve"> from the DNSH Helpdesk’s team</w:t>
      </w:r>
      <w:r w:rsidR="00452584">
        <w:t>.</w:t>
      </w:r>
      <w:r w:rsidR="007074AF">
        <w:t xml:space="preserve"> </w:t>
      </w:r>
      <w:r w:rsidR="00F3431D">
        <w:t>The effectiveness of e</w:t>
      </w:r>
      <w:r w:rsidR="006E026D">
        <w:t xml:space="preserve">xternal communication </w:t>
      </w:r>
      <w:r w:rsidR="00F3431D">
        <w:t xml:space="preserve">is also </w:t>
      </w:r>
      <w:r w:rsidR="00635BD0">
        <w:t>championed</w:t>
      </w:r>
      <w:r w:rsidR="00F3431D">
        <w:t xml:space="preserve"> by the variety of </w:t>
      </w:r>
      <w:r w:rsidR="003E46D0">
        <w:t>types of</w:t>
      </w:r>
      <w:r w:rsidR="008F1260">
        <w:t xml:space="preserve"> support</w:t>
      </w:r>
      <w:r w:rsidR="003E46D0">
        <w:t xml:space="preserve"> (</w:t>
      </w:r>
      <w:r w:rsidR="008444C4">
        <w:t xml:space="preserve">e.g., </w:t>
      </w:r>
      <w:r w:rsidR="003E46D0">
        <w:t xml:space="preserve">videos, templates, </w:t>
      </w:r>
      <w:r w:rsidR="008444C4">
        <w:t>guides)</w:t>
      </w:r>
      <w:r w:rsidR="00AF535C">
        <w:t xml:space="preserve">. </w:t>
      </w:r>
      <w:r w:rsidR="009170D7">
        <w:t>Variety of formats</w:t>
      </w:r>
      <w:r w:rsidR="00AF535C">
        <w:t xml:space="preserve"> indeed </w:t>
      </w:r>
      <w:r w:rsidR="002C6B1F">
        <w:t>allow</w:t>
      </w:r>
      <w:r w:rsidR="00AF535C">
        <w:t>s</w:t>
      </w:r>
      <w:r w:rsidR="002C6B1F">
        <w:t xml:space="preserve"> to reach more diverse audiences and ensures that information can be found by users permanently (permanent videos vs. </w:t>
      </w:r>
      <w:r w:rsidR="000209D5">
        <w:t>ad hoc</w:t>
      </w:r>
      <w:r w:rsidR="002C6B1F">
        <w:t xml:space="preserve"> trainings).</w:t>
      </w:r>
      <w:r w:rsidR="00043E76">
        <w:t xml:space="preserve"> Importantly, </w:t>
      </w:r>
      <w:r w:rsidR="006E14D5">
        <w:t xml:space="preserve">the </w:t>
      </w:r>
      <w:r w:rsidR="008E5810">
        <w:t>DNSH H</w:t>
      </w:r>
      <w:r w:rsidR="006E14D5">
        <w:t xml:space="preserve">elpdesk aims </w:t>
      </w:r>
      <w:r w:rsidR="0093668E">
        <w:t xml:space="preserve">to </w:t>
      </w:r>
      <w:r w:rsidR="006E14D5">
        <w:t xml:space="preserve">build capacity beyond the implementation of the </w:t>
      </w:r>
      <w:r w:rsidR="00237747">
        <w:t>DNSH principle under the</w:t>
      </w:r>
      <w:r w:rsidR="006E14D5">
        <w:t xml:space="preserve"> RRP; the team </w:t>
      </w:r>
      <w:r w:rsidR="007E0F02">
        <w:t xml:space="preserve">underlines that the DNSH principle is </w:t>
      </w:r>
      <w:r w:rsidR="00E62797">
        <w:t>comprehensive, such that it should be understood beyon</w:t>
      </w:r>
      <w:r w:rsidR="00CC560E">
        <w:t>d</w:t>
      </w:r>
      <w:r w:rsidR="00E62797">
        <w:t xml:space="preserve"> the </w:t>
      </w:r>
      <w:r w:rsidR="00CC560E">
        <w:t xml:space="preserve">specific </w:t>
      </w:r>
      <w:r w:rsidR="00E62797">
        <w:t xml:space="preserve">modalities of the RRF and beyond </w:t>
      </w:r>
      <w:r w:rsidR="00AB1979">
        <w:t xml:space="preserve">the </w:t>
      </w:r>
      <w:r w:rsidR="00E62797">
        <w:t>climate</w:t>
      </w:r>
      <w:r w:rsidR="00AB1979">
        <w:t>-related environmental</w:t>
      </w:r>
      <w:r w:rsidR="00E62797">
        <w:t xml:space="preserve"> objectives</w:t>
      </w:r>
      <w:r w:rsidR="00AB1979">
        <w:t xml:space="preserve"> (only)</w:t>
      </w:r>
      <w:r w:rsidR="00E62797">
        <w:t>.</w:t>
      </w:r>
      <w:r w:rsidR="00A211A1">
        <w:t xml:space="preserve"> </w:t>
      </w:r>
      <w:r w:rsidR="004F6C08">
        <w:t xml:space="preserve">This </w:t>
      </w:r>
      <w:r w:rsidR="00CC0756">
        <w:t>intens</w:t>
      </w:r>
      <w:r w:rsidR="004F6C08">
        <w:t>e</w:t>
      </w:r>
      <w:r w:rsidR="00CC0756">
        <w:t xml:space="preserve"> and varie</w:t>
      </w:r>
      <w:r w:rsidR="004F6C08">
        <w:t>d</w:t>
      </w:r>
      <w:r w:rsidR="00CC0756">
        <w:t xml:space="preserve"> support </w:t>
      </w:r>
      <w:r w:rsidR="004F6C08">
        <w:t xml:space="preserve">requires that the </w:t>
      </w:r>
      <w:r w:rsidR="0095499A">
        <w:t>DNSH H</w:t>
      </w:r>
      <w:r w:rsidR="00DD2154">
        <w:t>elpdesk</w:t>
      </w:r>
      <w:r w:rsidR="004F6C08">
        <w:t xml:space="preserve"> is allocated large resources; t</w:t>
      </w:r>
      <w:r w:rsidR="00DD2154">
        <w:t xml:space="preserve">he team highlights that such resources are a </w:t>
      </w:r>
      <w:r w:rsidR="00DD2154" w:rsidRPr="0095499A">
        <w:rPr>
          <w:b/>
        </w:rPr>
        <w:t>pre-requisite</w:t>
      </w:r>
      <w:r w:rsidR="00DD2154">
        <w:t xml:space="preserve"> to the development of materials and to the coordination of authorities and project developers.</w:t>
      </w:r>
    </w:p>
    <w:p w14:paraId="66C23DDB" w14:textId="77777777" w:rsidR="00E93F0B" w:rsidRDefault="00E93F0B" w:rsidP="00377499"/>
    <w:p w14:paraId="438DCB7E" w14:textId="711F828B" w:rsidR="005050AD" w:rsidRDefault="005050AD" w:rsidP="00377499">
      <w:r>
        <w:t xml:space="preserve">In addition to these focus cases, two relevant practices </w:t>
      </w:r>
      <w:r w:rsidR="00DE5025">
        <w:t xml:space="preserve">providing an illustration </w:t>
      </w:r>
      <w:r w:rsidR="00226F6B">
        <w:t>of example solutions to face</w:t>
      </w:r>
      <w:r>
        <w:t xml:space="preserve"> </w:t>
      </w:r>
      <w:r w:rsidR="00957E5C">
        <w:t>governance</w:t>
      </w:r>
      <w:r>
        <w:t xml:space="preserve"> challenges </w:t>
      </w:r>
      <w:r w:rsidR="00ED6981">
        <w:t xml:space="preserve">were </w:t>
      </w:r>
      <w:r w:rsidR="00957E5C">
        <w:t>identified</w:t>
      </w:r>
      <w:r w:rsidR="00E44FDE">
        <w:t xml:space="preserve"> </w:t>
      </w:r>
      <w:r w:rsidR="004D762E">
        <w:t xml:space="preserve">during interviews and </w:t>
      </w:r>
      <w:r w:rsidR="00E84F47">
        <w:t>desk research</w:t>
      </w:r>
      <w:r w:rsidR="007A5F9A">
        <w:t xml:space="preserve">. Their functioning and relevance </w:t>
      </w:r>
      <w:r w:rsidR="005B5008">
        <w:t>are</w:t>
      </w:r>
      <w:r w:rsidR="007A5F9A">
        <w:t xml:space="preserve"> presented in </w:t>
      </w:r>
      <w:r w:rsidR="00ED6981" w:rsidRPr="000209D5">
        <w:fldChar w:fldCharType="begin"/>
      </w:r>
      <w:r w:rsidR="00ED6981" w:rsidRPr="000209D5">
        <w:instrText xml:space="preserve"> REF _Ref128123087 \h  \* MERGEFORMAT </w:instrText>
      </w:r>
      <w:r w:rsidR="00ED6981" w:rsidRPr="000209D5">
        <w:fldChar w:fldCharType="separate"/>
      </w:r>
      <w:r w:rsidR="0031368D">
        <w:t>Box 1</w:t>
      </w:r>
      <w:r w:rsidR="00ED6981" w:rsidRPr="000209D5">
        <w:fldChar w:fldCharType="end"/>
      </w:r>
      <w:r w:rsidR="00E44FDE">
        <w:t>.</w:t>
      </w:r>
    </w:p>
    <w:p w14:paraId="6BA85E95" w14:textId="77777777" w:rsidR="007A5F9A" w:rsidRDefault="007A5F9A" w:rsidP="00377499"/>
    <w:p w14:paraId="2284699D" w14:textId="7731A0F7" w:rsidR="00ED6981" w:rsidRDefault="00ED6981" w:rsidP="009656D4">
      <w:pPr>
        <w:pStyle w:val="Titulek"/>
        <w:keepNext/>
      </w:pPr>
      <w:bookmarkStart w:id="21" w:name="_Ref128123087"/>
      <w:r>
        <w:t xml:space="preserve">Box </w:t>
      </w:r>
      <w:fldSimple w:instr=" SEQ Box \* ARABIC ">
        <w:r w:rsidR="0031368D">
          <w:rPr>
            <w:noProof/>
          </w:rPr>
          <w:t>1</w:t>
        </w:r>
      </w:fldSimple>
      <w:bookmarkEnd w:id="21"/>
      <w:r>
        <w:t xml:space="preserve"> Illustrative governance practice</w:t>
      </w:r>
      <w:r w:rsidR="00E44FDE">
        <w:rPr>
          <w:noProof/>
        </w:rPr>
        <w:t>s</w:t>
      </w:r>
    </w:p>
    <w:tbl>
      <w:tblPr>
        <w:tblStyle w:val="Table1"/>
        <w:tblW w:w="5000" w:type="pct"/>
        <w:shd w:val="clear" w:color="auto" w:fill="E0EBEB" w:themeFill="accent3" w:themeFillTint="66"/>
        <w:tblLook w:val="04A0" w:firstRow="1" w:lastRow="0" w:firstColumn="1" w:lastColumn="0" w:noHBand="0" w:noVBand="1"/>
      </w:tblPr>
      <w:tblGrid>
        <w:gridCol w:w="9016"/>
      </w:tblGrid>
      <w:tr w:rsidR="007A5F9A" w:rsidRPr="007A5F9A" w14:paraId="06D23FFE" w14:textId="77777777" w:rsidTr="00965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0EBEB" w:themeFill="accent3" w:themeFillTint="66"/>
          </w:tcPr>
          <w:p w14:paraId="2C93B132" w14:textId="77777777" w:rsidR="007A5F9A" w:rsidRPr="009656D4" w:rsidRDefault="007A5F9A" w:rsidP="00EA2D8D">
            <w:pPr>
              <w:pStyle w:val="Titulek"/>
              <w:spacing w:before="240"/>
              <w:ind w:left="0"/>
              <w:rPr>
                <w:b/>
                <w:szCs w:val="18"/>
                <w:lang w:val="en-GB"/>
              </w:rPr>
            </w:pPr>
            <w:r w:rsidRPr="009656D4">
              <w:rPr>
                <w:b/>
                <w:sz w:val="18"/>
                <w:szCs w:val="18"/>
                <w:lang w:val="en-GB"/>
              </w:rPr>
              <w:t>Decentralised governance towards the development of sectoral methodologies (Slovakia)</w:t>
            </w:r>
          </w:p>
          <w:p w14:paraId="433D1D57" w14:textId="1E62F2C8" w:rsidR="007A5F9A" w:rsidRDefault="007A5F9A" w:rsidP="006A5D72">
            <w:pPr>
              <w:ind w:left="0"/>
              <w:jc w:val="left"/>
              <w:rPr>
                <w:color w:val="000000" w:themeColor="text1"/>
                <w:lang w:val="en-GB"/>
              </w:rPr>
            </w:pPr>
            <w:r w:rsidRPr="009656D4">
              <w:rPr>
                <w:b w:val="0"/>
                <w:color w:val="000000" w:themeColor="text1"/>
                <w:lang w:val="en-GB"/>
              </w:rPr>
              <w:t xml:space="preserve">Slovakia did not set </w:t>
            </w:r>
            <w:r w:rsidR="000A630C">
              <w:rPr>
                <w:b w:val="0"/>
                <w:color w:val="000000" w:themeColor="text1"/>
                <w:lang w:val="en-GB"/>
              </w:rPr>
              <w:t>up</w:t>
            </w:r>
            <w:r w:rsidRPr="009656D4">
              <w:rPr>
                <w:b w:val="0"/>
                <w:bCs/>
                <w:color w:val="000000" w:themeColor="text1"/>
                <w:lang w:val="en-GB"/>
              </w:rPr>
              <w:t xml:space="preserve"> </w:t>
            </w:r>
            <w:r w:rsidRPr="009656D4">
              <w:rPr>
                <w:b w:val="0"/>
                <w:color w:val="000000" w:themeColor="text1"/>
                <w:lang w:val="en-GB"/>
              </w:rPr>
              <w:t xml:space="preserve">a centralised governance structure. However, the Office of Government acknowledges the risks associated with </w:t>
            </w:r>
            <w:r w:rsidR="00E53E1F">
              <w:rPr>
                <w:b w:val="0"/>
                <w:color w:val="000000" w:themeColor="text1"/>
                <w:lang w:val="en-GB"/>
              </w:rPr>
              <w:t xml:space="preserve">an application of </w:t>
            </w:r>
            <w:r w:rsidRPr="009656D4">
              <w:rPr>
                <w:b w:val="0"/>
                <w:color w:val="000000" w:themeColor="text1"/>
                <w:lang w:val="en-GB"/>
              </w:rPr>
              <w:t>inconsistent methodologies</w:t>
            </w:r>
            <w:r w:rsidR="00E53E1F">
              <w:rPr>
                <w:b w:val="0"/>
                <w:color w:val="000000" w:themeColor="text1"/>
                <w:lang w:val="en-GB"/>
              </w:rPr>
              <w:t xml:space="preserve"> across</w:t>
            </w:r>
            <w:r w:rsidR="0093668E">
              <w:rPr>
                <w:b w:val="0"/>
                <w:color w:val="000000" w:themeColor="text1"/>
                <w:lang w:val="en-GB"/>
              </w:rPr>
              <w:t xml:space="preserve"> the RRF</w:t>
            </w:r>
            <w:r w:rsidR="00E53E1F">
              <w:rPr>
                <w:b w:val="0"/>
                <w:color w:val="000000" w:themeColor="text1"/>
                <w:lang w:val="en-GB"/>
              </w:rPr>
              <w:t xml:space="preserve"> measures</w:t>
            </w:r>
            <w:r w:rsidRPr="009656D4">
              <w:rPr>
                <w:b w:val="0"/>
                <w:color w:val="000000" w:themeColor="text1"/>
                <w:lang w:val="en-GB"/>
              </w:rPr>
              <w:t xml:space="preserve">. The approach chosen thus consists </w:t>
            </w:r>
            <w:r w:rsidR="00E53E1F">
              <w:rPr>
                <w:b w:val="0"/>
                <w:color w:val="000000" w:themeColor="text1"/>
                <w:lang w:val="en-GB"/>
              </w:rPr>
              <w:t>of</w:t>
            </w:r>
            <w:r w:rsidRPr="009656D4">
              <w:rPr>
                <w:b w:val="0"/>
                <w:color w:val="000000" w:themeColor="text1"/>
                <w:lang w:val="en-GB"/>
              </w:rPr>
              <w:t xml:space="preserve"> using the existing expertise sitting within Ministries to develop sectoral methodologies and to use their lessons learnt. For instance, the methodology for the construction sector –which benefitted from a TSI project and is the most advanced sectoral methodology- spilled over </w:t>
            </w:r>
            <w:r w:rsidR="00DB21A6">
              <w:rPr>
                <w:b w:val="0"/>
                <w:color w:val="000000" w:themeColor="text1"/>
                <w:lang w:val="en-GB"/>
              </w:rPr>
              <w:t xml:space="preserve">to </w:t>
            </w:r>
            <w:r w:rsidRPr="009656D4">
              <w:rPr>
                <w:b w:val="0"/>
                <w:color w:val="000000" w:themeColor="text1"/>
                <w:lang w:val="en-GB"/>
              </w:rPr>
              <w:t>other sectors.</w:t>
            </w:r>
            <w:r w:rsidR="004E7DBF">
              <w:rPr>
                <w:b w:val="0"/>
                <w:color w:val="000000" w:themeColor="text1"/>
                <w:lang w:val="en-GB"/>
              </w:rPr>
              <w:t xml:space="preserve"> </w:t>
            </w:r>
            <w:r w:rsidRPr="009656D4">
              <w:rPr>
                <w:b w:val="0"/>
                <w:color w:val="000000" w:themeColor="text1"/>
                <w:lang w:val="en-GB"/>
              </w:rPr>
              <w:t>This approach appears</w:t>
            </w:r>
            <w:r w:rsidR="009747FA">
              <w:rPr>
                <w:b w:val="0"/>
                <w:color w:val="000000" w:themeColor="text1"/>
                <w:lang w:val="en-GB"/>
              </w:rPr>
              <w:t xml:space="preserve"> to be </w:t>
            </w:r>
            <w:r w:rsidRPr="009656D4">
              <w:rPr>
                <w:b w:val="0"/>
                <w:color w:val="000000" w:themeColor="text1"/>
                <w:lang w:val="en-GB"/>
              </w:rPr>
              <w:t>a pragmatic solution in the absence of sufficient political back</w:t>
            </w:r>
            <w:r w:rsidR="009747FA">
              <w:rPr>
                <w:b w:val="0"/>
                <w:color w:val="000000" w:themeColor="text1"/>
                <w:lang w:val="en-GB"/>
              </w:rPr>
              <w:t>ing</w:t>
            </w:r>
            <w:r w:rsidRPr="009656D4" w:rsidDel="009747FA">
              <w:rPr>
                <w:b w:val="0"/>
                <w:color w:val="000000" w:themeColor="text1"/>
                <w:lang w:val="en-GB"/>
              </w:rPr>
              <w:t xml:space="preserve"> </w:t>
            </w:r>
            <w:r w:rsidR="00720FA3">
              <w:rPr>
                <w:b w:val="0"/>
                <w:bCs/>
                <w:color w:val="000000" w:themeColor="text1"/>
                <w:lang w:val="en-GB"/>
              </w:rPr>
              <w:t xml:space="preserve">and </w:t>
            </w:r>
            <w:r w:rsidR="009747FA">
              <w:rPr>
                <w:b w:val="0"/>
                <w:bCs/>
                <w:color w:val="000000" w:themeColor="text1"/>
                <w:lang w:val="en-GB"/>
              </w:rPr>
              <w:t>when there is a</w:t>
            </w:r>
            <w:r w:rsidR="00720FA3">
              <w:rPr>
                <w:b w:val="0"/>
                <w:bCs/>
                <w:color w:val="000000" w:themeColor="text1"/>
                <w:lang w:val="en-GB"/>
              </w:rPr>
              <w:t xml:space="preserve"> difficulty to identify a central authority</w:t>
            </w:r>
            <w:r w:rsidR="00CB7D4B">
              <w:rPr>
                <w:b w:val="0"/>
                <w:bCs/>
                <w:color w:val="000000" w:themeColor="text1"/>
                <w:lang w:val="en-GB"/>
              </w:rPr>
              <w:t>. It also offers a high degree of flexibility to address sectoral specificities of DNSH processes and assessments,</w:t>
            </w:r>
            <w:r w:rsidRPr="00EA2D8D">
              <w:rPr>
                <w:color w:val="000000" w:themeColor="text1"/>
                <w:lang w:val="en-GB"/>
              </w:rPr>
              <w:t xml:space="preserve"> </w:t>
            </w:r>
            <w:r w:rsidRPr="00B74C0B">
              <w:rPr>
                <w:b w:val="0"/>
                <w:color w:val="000000" w:themeColor="text1"/>
                <w:lang w:val="en-GB"/>
              </w:rPr>
              <w:t>although</w:t>
            </w:r>
            <w:r w:rsidRPr="00B74C0B">
              <w:rPr>
                <w:color w:val="000000" w:themeColor="text1"/>
                <w:lang w:val="en-GB"/>
              </w:rPr>
              <w:t xml:space="preserve"> </w:t>
            </w:r>
            <w:r w:rsidR="00330B13">
              <w:rPr>
                <w:b w:val="0"/>
                <w:bCs/>
                <w:color w:val="000000" w:themeColor="text1"/>
                <w:lang w:val="en-GB"/>
              </w:rPr>
              <w:t xml:space="preserve">this </w:t>
            </w:r>
            <w:r w:rsidR="009B23BA">
              <w:rPr>
                <w:b w:val="0"/>
                <w:bCs/>
                <w:color w:val="000000" w:themeColor="text1"/>
                <w:lang w:val="en-GB"/>
              </w:rPr>
              <w:t xml:space="preserve">also leads to </w:t>
            </w:r>
            <w:r w:rsidR="006F29AB">
              <w:rPr>
                <w:b w:val="0"/>
                <w:bCs/>
                <w:color w:val="000000" w:themeColor="text1"/>
                <w:lang w:val="en-GB"/>
              </w:rPr>
              <w:t xml:space="preserve">a need for </w:t>
            </w:r>
            <w:r w:rsidRPr="009656D4">
              <w:rPr>
                <w:b w:val="0"/>
                <w:color w:val="000000" w:themeColor="text1"/>
                <w:lang w:val="en-GB"/>
              </w:rPr>
              <w:t xml:space="preserve">additional efforts to ensure the consistency of </w:t>
            </w:r>
            <w:r w:rsidR="00CB7D4B">
              <w:rPr>
                <w:b w:val="0"/>
                <w:bCs/>
                <w:color w:val="000000" w:themeColor="text1"/>
                <w:lang w:val="en-GB"/>
              </w:rPr>
              <w:t xml:space="preserve">sectoral </w:t>
            </w:r>
            <w:r w:rsidRPr="009656D4">
              <w:rPr>
                <w:b w:val="0"/>
                <w:color w:val="000000" w:themeColor="text1"/>
                <w:lang w:val="en-GB"/>
              </w:rPr>
              <w:t>methodologies. It limits the administrative burden for authorities</w:t>
            </w:r>
            <w:r w:rsidR="009747FA">
              <w:rPr>
                <w:b w:val="0"/>
                <w:color w:val="000000" w:themeColor="text1"/>
                <w:lang w:val="en-GB"/>
              </w:rPr>
              <w:t>,</w:t>
            </w:r>
            <w:r w:rsidRPr="009656D4">
              <w:rPr>
                <w:b w:val="0"/>
                <w:color w:val="000000" w:themeColor="text1"/>
                <w:lang w:val="en-GB"/>
              </w:rPr>
              <w:t xml:space="preserve"> as they must mainly focus on their core sectors, which also ensures the easy identification of the expert Ministries when granular knowledge is needed.</w:t>
            </w:r>
          </w:p>
          <w:p w14:paraId="3BC5497A" w14:textId="77777777" w:rsidR="00E44FDE" w:rsidRDefault="00E44FDE" w:rsidP="006A5D72">
            <w:pPr>
              <w:ind w:left="0"/>
              <w:jc w:val="left"/>
              <w:rPr>
                <w:bCs/>
                <w:color w:val="000000" w:themeColor="text1"/>
                <w:lang w:val="en-GB"/>
              </w:rPr>
            </w:pPr>
          </w:p>
          <w:p w14:paraId="309223F1" w14:textId="77777777" w:rsidR="00E44FDE" w:rsidRPr="00F63475" w:rsidRDefault="00E44FDE" w:rsidP="00EA2D8D">
            <w:pPr>
              <w:pStyle w:val="Titulek"/>
              <w:ind w:left="0"/>
              <w:rPr>
                <w:b/>
                <w:sz w:val="18"/>
                <w:szCs w:val="18"/>
                <w:lang w:val="en-GB"/>
              </w:rPr>
            </w:pPr>
            <w:r w:rsidRPr="00F63475">
              <w:rPr>
                <w:b/>
                <w:sz w:val="18"/>
                <w:szCs w:val="18"/>
                <w:lang w:val="en-GB"/>
              </w:rPr>
              <w:t>Inter-federal DNSH network (Belgium)</w:t>
            </w:r>
          </w:p>
          <w:p w14:paraId="0B33590A" w14:textId="558D45B1" w:rsidR="00E44FDE" w:rsidRPr="009656D4" w:rsidRDefault="00E44FDE" w:rsidP="00E44FDE">
            <w:pPr>
              <w:ind w:left="0"/>
              <w:jc w:val="left"/>
              <w:rPr>
                <w:b w:val="0"/>
                <w:bCs/>
                <w:color w:val="000000" w:themeColor="text1"/>
                <w:lang w:val="en-GB"/>
              </w:rPr>
            </w:pPr>
            <w:r w:rsidRPr="009656D4">
              <w:rPr>
                <w:b w:val="0"/>
                <w:bCs/>
                <w:color w:val="000000" w:themeColor="text1"/>
                <w:szCs w:val="18"/>
                <w:lang w:val="en-GB"/>
              </w:rPr>
              <w:t xml:space="preserve">Belgium </w:t>
            </w:r>
            <w:r>
              <w:rPr>
                <w:b w:val="0"/>
                <w:color w:val="000000" w:themeColor="text1"/>
                <w:szCs w:val="18"/>
                <w:lang w:val="en-GB"/>
              </w:rPr>
              <w:t xml:space="preserve">has </w:t>
            </w:r>
            <w:r w:rsidRPr="009656D4">
              <w:rPr>
                <w:b w:val="0"/>
                <w:color w:val="000000" w:themeColor="text1"/>
                <w:szCs w:val="18"/>
                <w:lang w:val="en-GB"/>
              </w:rPr>
              <w:t xml:space="preserve">set </w:t>
            </w:r>
            <w:r>
              <w:rPr>
                <w:b w:val="0"/>
                <w:color w:val="000000" w:themeColor="text1"/>
                <w:szCs w:val="18"/>
                <w:lang w:val="en-GB"/>
              </w:rPr>
              <w:t>up</w:t>
            </w:r>
            <w:r w:rsidRPr="009656D4">
              <w:rPr>
                <w:b w:val="0"/>
                <w:bCs/>
                <w:color w:val="000000" w:themeColor="text1"/>
                <w:szCs w:val="18"/>
                <w:lang w:val="en-GB"/>
              </w:rPr>
              <w:t xml:space="preserve"> a governance structure that reflects the involvement of regional and federal authorities in the application of the DNSH principle</w:t>
            </w:r>
            <w:r w:rsidR="00971D32">
              <w:rPr>
                <w:b w:val="0"/>
                <w:bCs/>
                <w:color w:val="000000" w:themeColor="text1"/>
                <w:szCs w:val="18"/>
                <w:lang w:val="en-GB"/>
              </w:rPr>
              <w:t xml:space="preserve"> for the RRF</w:t>
            </w:r>
            <w:r w:rsidRPr="009656D4">
              <w:rPr>
                <w:b w:val="0"/>
                <w:bCs/>
                <w:color w:val="000000" w:themeColor="text1"/>
                <w:szCs w:val="18"/>
                <w:lang w:val="en-GB"/>
              </w:rPr>
              <w:t xml:space="preserve">. An inter-federal network gathers the representatives of authorities implementing the RRP. It is headed by the Federal Bureau for Planning, which was allocated </w:t>
            </w:r>
            <w:r w:rsidRPr="009656D4">
              <w:rPr>
                <w:b w:val="0"/>
                <w:bCs/>
                <w:color w:val="000000" w:themeColor="text1"/>
                <w:szCs w:val="18"/>
                <w:lang w:val="en-GB"/>
              </w:rPr>
              <w:lastRenderedPageBreak/>
              <w:t>dedicated resources to act as secretariat (thus managing the challenge related to the identification of a central authority).</w:t>
            </w:r>
            <w:r w:rsidR="004E7DBF">
              <w:rPr>
                <w:b w:val="0"/>
                <w:bCs/>
                <w:color w:val="000000" w:themeColor="text1"/>
                <w:szCs w:val="18"/>
                <w:lang w:val="en-GB"/>
              </w:rPr>
              <w:t xml:space="preserve"> </w:t>
            </w:r>
            <w:r w:rsidRPr="009656D4">
              <w:rPr>
                <w:b w:val="0"/>
                <w:bCs/>
                <w:color w:val="000000" w:themeColor="text1"/>
                <w:szCs w:val="18"/>
                <w:lang w:val="en-GB"/>
              </w:rPr>
              <w:t>This practice appears to strike a balance between the needs for coordination and flexibility to factor in other authorities’ experience. The network supports the alignment of methodologies across all Belgian jurisdictions. It further ensures the consistent interpretation of European documents and peer EU Member States’ practices, and the coordination of research efforts on the DNSH principle, without hindering the possibility for more granular discussions and methodologies.</w:t>
            </w:r>
          </w:p>
          <w:p w14:paraId="7A90246C" w14:textId="4FABA375" w:rsidR="00035C04" w:rsidRPr="009656D4" w:rsidRDefault="00035C04" w:rsidP="009656D4">
            <w:pPr>
              <w:ind w:left="0"/>
              <w:jc w:val="left"/>
              <w:rPr>
                <w:color w:val="000000" w:themeColor="text1"/>
                <w:sz w:val="16"/>
                <w:szCs w:val="16"/>
              </w:rPr>
            </w:pPr>
          </w:p>
        </w:tc>
      </w:tr>
    </w:tbl>
    <w:p w14:paraId="192FFBAB" w14:textId="77777777" w:rsidR="001062CD" w:rsidRDefault="001062CD" w:rsidP="00085ED8">
      <w:pPr>
        <w:rPr>
          <w:lang w:val="en-GB"/>
        </w:rPr>
      </w:pPr>
    </w:p>
    <w:p w14:paraId="534AB268" w14:textId="0790281C" w:rsidR="004740DB" w:rsidRDefault="004740DB" w:rsidP="00C03C67">
      <w:pPr>
        <w:pStyle w:val="Nadpis3"/>
        <w:tabs>
          <w:tab w:val="clear" w:pos="851"/>
          <w:tab w:val="left" w:pos="567"/>
        </w:tabs>
        <w:ind w:left="567" w:hanging="567"/>
      </w:pPr>
      <w:bookmarkStart w:id="22" w:name="_Toc131775835"/>
      <w:r>
        <w:t>Replicability to the Czech context</w:t>
      </w:r>
      <w:bookmarkEnd w:id="22"/>
    </w:p>
    <w:p w14:paraId="47336B98" w14:textId="0B1C17C3" w:rsidR="001923C3" w:rsidRDefault="00F14E93" w:rsidP="00F14E93">
      <w:r>
        <w:t xml:space="preserve">In order to evaluate the </w:t>
      </w:r>
      <w:r w:rsidRPr="0068026C">
        <w:rPr>
          <w:b/>
        </w:rPr>
        <w:t>replicability</w:t>
      </w:r>
      <w:r>
        <w:t xml:space="preserve"> of the abovementioned practices to Czechia</w:t>
      </w:r>
      <w:r w:rsidR="005974EA">
        <w:t>,</w:t>
      </w:r>
      <w:r>
        <w:t xml:space="preserve"> </w:t>
      </w:r>
      <w:r w:rsidR="001062CD" w:rsidRPr="009A4BC2">
        <w:fldChar w:fldCharType="begin"/>
      </w:r>
      <w:r w:rsidR="001062CD" w:rsidRPr="009A4BC2">
        <w:instrText xml:space="preserve"> REF _Ref128060478 \h  \* MERGEFORMAT </w:instrText>
      </w:r>
      <w:r w:rsidR="001062CD" w:rsidRPr="009A4BC2">
        <w:fldChar w:fldCharType="separate"/>
      </w:r>
      <w:r w:rsidR="0031368D">
        <w:t>Table 3</w:t>
      </w:r>
      <w:r w:rsidR="001062CD" w:rsidRPr="009A4BC2">
        <w:fldChar w:fldCharType="end"/>
      </w:r>
      <w:r>
        <w:t xml:space="preserve"> </w:t>
      </w:r>
      <w:r w:rsidR="005974EA">
        <w:t xml:space="preserve">synthesizes </w:t>
      </w:r>
      <w:r w:rsidR="00B627EE">
        <w:t xml:space="preserve">the </w:t>
      </w:r>
      <w:r w:rsidR="00E514D7" w:rsidRPr="0068026C">
        <w:rPr>
          <w:b/>
        </w:rPr>
        <w:t>enablers</w:t>
      </w:r>
      <w:r w:rsidR="00B627EE">
        <w:t xml:space="preserve"> and </w:t>
      </w:r>
      <w:r w:rsidR="00C27C94" w:rsidRPr="0068026C">
        <w:rPr>
          <w:b/>
        </w:rPr>
        <w:t>barriers</w:t>
      </w:r>
      <w:r w:rsidR="00B627EE">
        <w:t xml:space="preserve"> </w:t>
      </w:r>
      <w:r w:rsidR="004632BF">
        <w:t xml:space="preserve">to the establishment </w:t>
      </w:r>
      <w:r w:rsidR="00C075EB">
        <w:t xml:space="preserve">and success </w:t>
      </w:r>
      <w:r w:rsidR="004632BF">
        <w:t>of</w:t>
      </w:r>
      <w:r w:rsidR="00B627EE">
        <w:t xml:space="preserve"> the practices.</w:t>
      </w:r>
      <w:r w:rsidR="00DF2D52">
        <w:t xml:space="preserve"> Here, enablers are </w:t>
      </w:r>
      <w:r w:rsidR="0066194F">
        <w:t xml:space="preserve">defined as factors that allow the establishment </w:t>
      </w:r>
      <w:r w:rsidR="00F90DE6">
        <w:t xml:space="preserve">and effectiveness </w:t>
      </w:r>
      <w:r w:rsidR="0066194F">
        <w:t>of the practices</w:t>
      </w:r>
      <w:r w:rsidR="005930C7">
        <w:t xml:space="preserve">. </w:t>
      </w:r>
      <w:r w:rsidR="004E21DF">
        <w:t>In</w:t>
      </w:r>
      <w:r w:rsidR="005930C7">
        <w:t xml:space="preserve"> contrast,</w:t>
      </w:r>
      <w:r w:rsidR="00F90DE6">
        <w:t xml:space="preserve"> barriers are defined as factors that hinder the</w:t>
      </w:r>
      <w:r w:rsidR="005930C7">
        <w:t xml:space="preserve"> </w:t>
      </w:r>
      <w:r w:rsidR="00F90DE6">
        <w:t>establishment and effectiveness of the practices.</w:t>
      </w:r>
    </w:p>
    <w:p w14:paraId="22125765" w14:textId="77777777" w:rsidR="003846EE" w:rsidRDefault="003846EE" w:rsidP="003846EE">
      <w:pPr>
        <w:rPr>
          <w:lang w:val="en-GB"/>
        </w:rPr>
      </w:pPr>
    </w:p>
    <w:p w14:paraId="61156672" w14:textId="1BE204A9" w:rsidR="001062CD" w:rsidRDefault="001062CD" w:rsidP="001062CD">
      <w:pPr>
        <w:pStyle w:val="Titulek"/>
        <w:keepNext/>
      </w:pPr>
      <w:bookmarkStart w:id="23" w:name="_Ref128060478"/>
      <w:r>
        <w:t xml:space="preserve">Table </w:t>
      </w:r>
      <w:fldSimple w:instr=" SEQ Table \* ARABIC ">
        <w:r w:rsidR="0031368D">
          <w:rPr>
            <w:noProof/>
          </w:rPr>
          <w:t>3</w:t>
        </w:r>
      </w:fldSimple>
      <w:bookmarkEnd w:id="23"/>
      <w:r>
        <w:t xml:space="preserve"> Enablers and barriers to the governance practices</w:t>
      </w:r>
      <w:r>
        <w:rPr>
          <w:noProof/>
        </w:rPr>
        <w:t xml:space="preserve"> reviewed</w:t>
      </w:r>
    </w:p>
    <w:tbl>
      <w:tblPr>
        <w:tblStyle w:val="Table1"/>
        <w:tblW w:w="0" w:type="auto"/>
        <w:tblLook w:val="04A0" w:firstRow="1" w:lastRow="0" w:firstColumn="1" w:lastColumn="0" w:noHBand="0" w:noVBand="1"/>
      </w:tblPr>
      <w:tblGrid>
        <w:gridCol w:w="421"/>
        <w:gridCol w:w="1984"/>
        <w:gridCol w:w="1843"/>
        <w:gridCol w:w="2410"/>
        <w:gridCol w:w="1791"/>
      </w:tblGrid>
      <w:tr w:rsidR="001B2DC5" w:rsidRPr="001B2DC5" w14:paraId="7CC6B371" w14:textId="77777777" w:rsidTr="001543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B2CFCD" w:themeFill="accent3"/>
            <w:tcMar>
              <w:left w:w="28" w:type="dxa"/>
              <w:bottom w:w="28" w:type="dxa"/>
              <w:right w:w="28" w:type="dxa"/>
            </w:tcMar>
            <w:vAlign w:val="top"/>
          </w:tcPr>
          <w:p w14:paraId="2FBE5D1C" w14:textId="77777777" w:rsidR="00EE3FAE" w:rsidRPr="001B2DC5" w:rsidRDefault="00EE3FAE" w:rsidP="003846EE">
            <w:pPr>
              <w:ind w:left="0"/>
              <w:rPr>
                <w:color w:val="auto"/>
                <w:sz w:val="16"/>
                <w:szCs w:val="16"/>
                <w:lang w:val="en-GB"/>
              </w:rPr>
            </w:pPr>
          </w:p>
        </w:tc>
        <w:tc>
          <w:tcPr>
            <w:tcW w:w="1984" w:type="dxa"/>
            <w:shd w:val="clear" w:color="auto" w:fill="B2CFCD" w:themeFill="accent3"/>
            <w:tcMar>
              <w:left w:w="28" w:type="dxa"/>
              <w:bottom w:w="28" w:type="dxa"/>
              <w:right w:w="28" w:type="dxa"/>
            </w:tcMar>
          </w:tcPr>
          <w:p w14:paraId="1836905B" w14:textId="59BE8D5E" w:rsidR="00FF7FA7" w:rsidRDefault="00C81E5A" w:rsidP="003846EE">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r w:rsidRPr="001B2DC5">
              <w:rPr>
                <w:color w:val="auto"/>
                <w:sz w:val="16"/>
                <w:szCs w:val="16"/>
                <w:lang w:val="en-GB"/>
              </w:rPr>
              <w:t>Governance system and capacity building for RRP</w:t>
            </w:r>
          </w:p>
          <w:p w14:paraId="3506C4D4" w14:textId="51DCA1C3" w:rsidR="00EE3FAE" w:rsidRPr="001B2DC5" w:rsidRDefault="00C81E5A" w:rsidP="003846EE">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1B2DC5">
              <w:rPr>
                <w:color w:val="auto"/>
                <w:sz w:val="16"/>
                <w:szCs w:val="16"/>
                <w:lang w:val="en-GB"/>
              </w:rPr>
              <w:t>(ES)</w:t>
            </w:r>
          </w:p>
        </w:tc>
        <w:tc>
          <w:tcPr>
            <w:tcW w:w="1843" w:type="dxa"/>
            <w:shd w:val="clear" w:color="auto" w:fill="B2CFCD" w:themeFill="accent3"/>
            <w:tcMar>
              <w:left w:w="28" w:type="dxa"/>
              <w:bottom w:w="28" w:type="dxa"/>
              <w:right w:w="28" w:type="dxa"/>
            </w:tcMar>
          </w:tcPr>
          <w:p w14:paraId="7A090D00" w14:textId="47835F5E" w:rsidR="00FF7FA7" w:rsidRDefault="00262CA4" w:rsidP="003846EE">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r w:rsidRPr="001B2DC5">
              <w:rPr>
                <w:color w:val="auto"/>
                <w:sz w:val="16"/>
                <w:szCs w:val="16"/>
                <w:lang w:val="en-GB"/>
              </w:rPr>
              <w:t>E</w:t>
            </w:r>
            <w:r w:rsidR="00C81E5A" w:rsidRPr="001B2DC5">
              <w:rPr>
                <w:color w:val="auto"/>
                <w:sz w:val="16"/>
                <w:szCs w:val="16"/>
                <w:lang w:val="en-GB"/>
              </w:rPr>
              <w:t>xpertise centr</w:t>
            </w:r>
            <w:r w:rsidR="000B59AE" w:rsidRPr="001B2DC5">
              <w:rPr>
                <w:color w:val="auto"/>
                <w:sz w:val="16"/>
                <w:szCs w:val="16"/>
                <w:lang w:val="en-GB"/>
              </w:rPr>
              <w:t>e</w:t>
            </w:r>
            <w:r w:rsidR="00C81E5A" w:rsidRPr="001B2DC5">
              <w:rPr>
                <w:color w:val="auto"/>
                <w:sz w:val="16"/>
                <w:szCs w:val="16"/>
                <w:lang w:val="en-GB"/>
              </w:rPr>
              <w:t xml:space="preserve"> and helpdesk for DNSH</w:t>
            </w:r>
          </w:p>
          <w:p w14:paraId="5FB9C1B2" w14:textId="4078EC2B" w:rsidR="00EE3FAE" w:rsidRPr="001B2DC5" w:rsidRDefault="00C81E5A" w:rsidP="003846EE">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1B2DC5">
              <w:rPr>
                <w:color w:val="auto"/>
                <w:sz w:val="16"/>
                <w:szCs w:val="16"/>
                <w:lang w:val="en-GB"/>
              </w:rPr>
              <w:t>(BE)</w:t>
            </w:r>
          </w:p>
        </w:tc>
        <w:tc>
          <w:tcPr>
            <w:tcW w:w="2410" w:type="dxa"/>
            <w:shd w:val="clear" w:color="auto" w:fill="B2CFCD" w:themeFill="accent3"/>
            <w:tcMar>
              <w:left w:w="28" w:type="dxa"/>
              <w:bottom w:w="28" w:type="dxa"/>
              <w:right w:w="28" w:type="dxa"/>
            </w:tcMar>
          </w:tcPr>
          <w:p w14:paraId="028549B1" w14:textId="2E00CDF1" w:rsidR="00E15D50" w:rsidRDefault="00C81E5A" w:rsidP="00E7288F">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r w:rsidRPr="001B2DC5">
              <w:rPr>
                <w:color w:val="auto"/>
                <w:sz w:val="16"/>
                <w:szCs w:val="16"/>
                <w:lang w:val="en-GB"/>
              </w:rPr>
              <w:t xml:space="preserve">Decentralised governance </w:t>
            </w:r>
            <w:r w:rsidR="008301B2">
              <w:rPr>
                <w:color w:val="auto"/>
                <w:sz w:val="16"/>
                <w:szCs w:val="16"/>
                <w:lang w:val="en-GB"/>
              </w:rPr>
              <w:t xml:space="preserve">for sectoral </w:t>
            </w:r>
            <w:r w:rsidR="00B40089">
              <w:rPr>
                <w:color w:val="auto"/>
                <w:sz w:val="16"/>
                <w:szCs w:val="16"/>
                <w:lang w:val="en-GB"/>
              </w:rPr>
              <w:t>methodologies</w:t>
            </w:r>
          </w:p>
          <w:p w14:paraId="7448AAD8" w14:textId="234AAAC0" w:rsidR="00EE3FAE" w:rsidRPr="001B2DC5" w:rsidRDefault="00C81E5A" w:rsidP="003846EE">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1B2DC5">
              <w:rPr>
                <w:color w:val="auto"/>
                <w:sz w:val="16"/>
                <w:szCs w:val="16"/>
                <w:lang w:val="en-GB"/>
              </w:rPr>
              <w:t>(SK)</w:t>
            </w:r>
          </w:p>
        </w:tc>
        <w:tc>
          <w:tcPr>
            <w:tcW w:w="1791" w:type="dxa"/>
            <w:shd w:val="clear" w:color="auto" w:fill="B2CFCD" w:themeFill="accent3"/>
            <w:tcMar>
              <w:left w:w="28" w:type="dxa"/>
              <w:bottom w:w="28" w:type="dxa"/>
              <w:right w:w="28" w:type="dxa"/>
            </w:tcMar>
          </w:tcPr>
          <w:p w14:paraId="234A2243" w14:textId="642C5622" w:rsidR="00E15D50" w:rsidRDefault="00C81E5A" w:rsidP="00E7288F">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r w:rsidRPr="001B2DC5">
              <w:rPr>
                <w:color w:val="auto"/>
                <w:sz w:val="16"/>
                <w:szCs w:val="16"/>
                <w:lang w:val="en-GB"/>
              </w:rPr>
              <w:t>Inter-federal DNSH network</w:t>
            </w:r>
          </w:p>
          <w:p w14:paraId="22CF10DD" w14:textId="411D7CD1" w:rsidR="00EE3FAE" w:rsidRPr="001B2DC5" w:rsidRDefault="00C81E5A" w:rsidP="00D70851">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1B2DC5">
              <w:rPr>
                <w:color w:val="auto"/>
                <w:sz w:val="16"/>
                <w:szCs w:val="16"/>
                <w:lang w:val="en-GB"/>
              </w:rPr>
              <w:t>(BE)</w:t>
            </w:r>
          </w:p>
        </w:tc>
      </w:tr>
      <w:tr w:rsidR="00AA307C" w:rsidRPr="00601A33" w14:paraId="34AB276C" w14:textId="77777777" w:rsidTr="00154307">
        <w:trPr>
          <w:cantSplit/>
          <w:trHeight w:val="1134"/>
        </w:trPr>
        <w:tc>
          <w:tcPr>
            <w:cnfStyle w:val="001000000000" w:firstRow="0" w:lastRow="0" w:firstColumn="1" w:lastColumn="0" w:oddVBand="0" w:evenVBand="0" w:oddHBand="0" w:evenHBand="0" w:firstRowFirstColumn="0" w:firstRowLastColumn="0" w:lastRowFirstColumn="0" w:lastRowLastColumn="0"/>
            <w:tcW w:w="421" w:type="dxa"/>
            <w:shd w:val="clear" w:color="auto" w:fill="B2CFCD" w:themeFill="accent3"/>
            <w:tcMar>
              <w:left w:w="28" w:type="dxa"/>
              <w:right w:w="28" w:type="dxa"/>
            </w:tcMar>
            <w:textDirection w:val="btLr"/>
            <w:vAlign w:val="top"/>
          </w:tcPr>
          <w:p w14:paraId="6DDEE8FD" w14:textId="345B3FD4" w:rsidR="00EE3FAE" w:rsidRPr="0085113B" w:rsidRDefault="00262CA4" w:rsidP="00991A34">
            <w:pPr>
              <w:ind w:left="113" w:right="113"/>
              <w:jc w:val="center"/>
              <w:rPr>
                <w:b/>
                <w:sz w:val="16"/>
                <w:szCs w:val="16"/>
                <w:lang w:val="en-GB"/>
              </w:rPr>
            </w:pPr>
            <w:r w:rsidRPr="0085113B">
              <w:rPr>
                <w:b/>
                <w:sz w:val="16"/>
                <w:szCs w:val="16"/>
                <w:lang w:val="en-GB"/>
              </w:rPr>
              <w:t>Enabler</w:t>
            </w:r>
            <w:r w:rsidR="000B59AE" w:rsidRPr="0085113B">
              <w:rPr>
                <w:b/>
                <w:sz w:val="16"/>
                <w:szCs w:val="16"/>
                <w:lang w:val="en-GB"/>
              </w:rPr>
              <w:t>s</w:t>
            </w:r>
          </w:p>
        </w:tc>
        <w:tc>
          <w:tcPr>
            <w:tcW w:w="1984" w:type="dxa"/>
            <w:tcMar>
              <w:top w:w="28" w:type="dxa"/>
              <w:left w:w="28" w:type="dxa"/>
              <w:right w:w="28" w:type="dxa"/>
            </w:tcMar>
          </w:tcPr>
          <w:p w14:paraId="778CBCB9" w14:textId="49F25194" w:rsidR="00FD4525" w:rsidRPr="004F6335" w:rsidRDefault="00AE5C7F"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E1 </w:t>
            </w:r>
            <w:r w:rsidR="00FD4525" w:rsidRPr="004F6335">
              <w:rPr>
                <w:sz w:val="16"/>
                <w:szCs w:val="16"/>
                <w:lang w:val="en-GB"/>
              </w:rPr>
              <w:t>Clear mandate</w:t>
            </w:r>
          </w:p>
          <w:p w14:paraId="29411F61" w14:textId="5F7F26AC" w:rsidR="00EE3FAE" w:rsidRPr="004F6335" w:rsidRDefault="00AE5C7F"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E2 </w:t>
            </w:r>
            <w:r w:rsidR="00FD4525" w:rsidRPr="004F6335">
              <w:rPr>
                <w:sz w:val="16"/>
                <w:szCs w:val="16"/>
                <w:lang w:val="en-GB"/>
              </w:rPr>
              <w:t>Dedicated budget</w:t>
            </w:r>
          </w:p>
          <w:p w14:paraId="45C41371" w14:textId="615B4EE9" w:rsidR="00136CDD" w:rsidRPr="004F6335" w:rsidRDefault="00AE5C7F"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E3 </w:t>
            </w:r>
            <w:r w:rsidR="00136CDD" w:rsidRPr="004F6335">
              <w:rPr>
                <w:sz w:val="16"/>
                <w:szCs w:val="16"/>
                <w:lang w:val="en-GB"/>
              </w:rPr>
              <w:t>Validation by the EC</w:t>
            </w:r>
          </w:p>
          <w:p w14:paraId="1B9D2454" w14:textId="6108827B" w:rsidR="001D149A" w:rsidRPr="004F6335" w:rsidRDefault="00AE5C7F"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E4 </w:t>
            </w:r>
            <w:r w:rsidR="001D149A" w:rsidRPr="004F6335">
              <w:rPr>
                <w:sz w:val="16"/>
                <w:szCs w:val="16"/>
                <w:lang w:val="en-GB"/>
              </w:rPr>
              <w:t>Large team</w:t>
            </w:r>
          </w:p>
        </w:tc>
        <w:tc>
          <w:tcPr>
            <w:tcW w:w="1843" w:type="dxa"/>
            <w:tcMar>
              <w:top w:w="28" w:type="dxa"/>
              <w:left w:w="28" w:type="dxa"/>
              <w:right w:w="28" w:type="dxa"/>
            </w:tcMar>
          </w:tcPr>
          <w:p w14:paraId="0A4FF47D" w14:textId="0399A226" w:rsidR="00601A33" w:rsidRPr="004F6335" w:rsidRDefault="003A61EA"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E1 </w:t>
            </w:r>
            <w:r w:rsidR="00601A33" w:rsidRPr="004F6335">
              <w:rPr>
                <w:sz w:val="16"/>
                <w:szCs w:val="16"/>
                <w:lang w:val="en-GB"/>
              </w:rPr>
              <w:t>Clear mandate</w:t>
            </w:r>
          </w:p>
          <w:p w14:paraId="229DE322" w14:textId="4E3C75D2" w:rsidR="00EE3FAE" w:rsidRPr="004F6335" w:rsidRDefault="003A61EA"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E2 </w:t>
            </w:r>
            <w:r w:rsidR="00601A33" w:rsidRPr="004F6335">
              <w:rPr>
                <w:sz w:val="16"/>
                <w:szCs w:val="16"/>
                <w:lang w:val="en-GB"/>
              </w:rPr>
              <w:t>Dedicated budget</w:t>
            </w:r>
          </w:p>
          <w:p w14:paraId="26C39C0A" w14:textId="60B01C94" w:rsidR="009526D0" w:rsidRPr="004F6335" w:rsidRDefault="008920D7"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E5 </w:t>
            </w:r>
            <w:r w:rsidR="009526D0" w:rsidRPr="004F6335">
              <w:rPr>
                <w:sz w:val="16"/>
                <w:szCs w:val="16"/>
                <w:lang w:val="en-GB"/>
              </w:rPr>
              <w:t>Technical support</w:t>
            </w:r>
          </w:p>
          <w:p w14:paraId="76876C13" w14:textId="0C4B244E" w:rsidR="003427AE" w:rsidRPr="004F6335" w:rsidRDefault="008920D7"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E</w:t>
            </w:r>
            <w:r w:rsidR="00E7591A" w:rsidRPr="004F6335">
              <w:rPr>
                <w:sz w:val="16"/>
                <w:szCs w:val="16"/>
                <w:lang w:val="en-GB"/>
              </w:rPr>
              <w:t>7</w:t>
            </w:r>
            <w:r w:rsidRPr="004F6335">
              <w:rPr>
                <w:sz w:val="16"/>
                <w:szCs w:val="16"/>
                <w:lang w:val="en-GB"/>
              </w:rPr>
              <w:t xml:space="preserve"> </w:t>
            </w:r>
            <w:r w:rsidR="00AE24D7" w:rsidRPr="004F6335">
              <w:rPr>
                <w:sz w:val="16"/>
                <w:szCs w:val="16"/>
                <w:lang w:val="en-GB"/>
              </w:rPr>
              <w:t>V</w:t>
            </w:r>
            <w:r w:rsidR="003427AE" w:rsidRPr="004F6335">
              <w:rPr>
                <w:sz w:val="16"/>
                <w:szCs w:val="16"/>
                <w:lang w:val="en-GB"/>
              </w:rPr>
              <w:t xml:space="preserve">aried </w:t>
            </w:r>
            <w:r w:rsidR="00A46300" w:rsidRPr="004F6335">
              <w:rPr>
                <w:sz w:val="16"/>
                <w:szCs w:val="16"/>
                <w:lang w:val="en-GB"/>
              </w:rPr>
              <w:t>team</w:t>
            </w:r>
          </w:p>
        </w:tc>
        <w:tc>
          <w:tcPr>
            <w:tcW w:w="2410" w:type="dxa"/>
            <w:tcMar>
              <w:top w:w="28" w:type="dxa"/>
              <w:left w:w="28" w:type="dxa"/>
              <w:right w:w="28" w:type="dxa"/>
            </w:tcMar>
          </w:tcPr>
          <w:p w14:paraId="1D9F4F59" w14:textId="6AF73C45" w:rsidR="00EE3FAE" w:rsidRPr="004F6335" w:rsidRDefault="008920D7"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E6 </w:t>
            </w:r>
            <w:r w:rsidR="00601A33" w:rsidRPr="004F6335">
              <w:rPr>
                <w:sz w:val="16"/>
                <w:szCs w:val="16"/>
                <w:lang w:val="en-GB"/>
              </w:rPr>
              <w:t>Use of existing expertise</w:t>
            </w:r>
          </w:p>
          <w:p w14:paraId="46C7B371" w14:textId="77777777" w:rsidR="009526D0" w:rsidRPr="004F6335" w:rsidRDefault="008920D7"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E5 </w:t>
            </w:r>
            <w:r w:rsidR="009526D0" w:rsidRPr="004F6335">
              <w:rPr>
                <w:sz w:val="16"/>
                <w:szCs w:val="16"/>
                <w:lang w:val="en-GB"/>
              </w:rPr>
              <w:t>Technical support</w:t>
            </w:r>
          </w:p>
          <w:p w14:paraId="444A12A2" w14:textId="4C60FE53" w:rsidR="009526D0" w:rsidRPr="004F6335" w:rsidRDefault="00F43417"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E8 </w:t>
            </w:r>
            <w:r w:rsidR="000A5951" w:rsidRPr="004F6335">
              <w:rPr>
                <w:sz w:val="16"/>
                <w:szCs w:val="16"/>
                <w:lang w:val="en-GB"/>
              </w:rPr>
              <w:t>Sectoral guidelines</w:t>
            </w:r>
          </w:p>
        </w:tc>
        <w:tc>
          <w:tcPr>
            <w:tcW w:w="1791" w:type="dxa"/>
            <w:tcMar>
              <w:top w:w="28" w:type="dxa"/>
              <w:left w:w="28" w:type="dxa"/>
              <w:right w:w="28" w:type="dxa"/>
            </w:tcMar>
          </w:tcPr>
          <w:p w14:paraId="3D4D9875" w14:textId="4CD6D8B9" w:rsidR="00EE3FAE" w:rsidRPr="004F6335" w:rsidRDefault="003A61EA"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E1 </w:t>
            </w:r>
            <w:r w:rsidR="00601A33" w:rsidRPr="004F6335">
              <w:rPr>
                <w:sz w:val="16"/>
                <w:szCs w:val="16"/>
                <w:lang w:val="en-GB"/>
              </w:rPr>
              <w:t>Clear mandate</w:t>
            </w:r>
          </w:p>
          <w:p w14:paraId="5C3803D5" w14:textId="77777777" w:rsidR="00601A33" w:rsidRPr="004F6335" w:rsidRDefault="003A61EA"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E2 </w:t>
            </w:r>
            <w:r w:rsidR="00601A33" w:rsidRPr="004F6335">
              <w:rPr>
                <w:sz w:val="16"/>
                <w:szCs w:val="16"/>
                <w:lang w:val="en-GB"/>
              </w:rPr>
              <w:t>Dedicated budget</w:t>
            </w:r>
          </w:p>
          <w:p w14:paraId="68B9A2E5" w14:textId="2B349AAD" w:rsidR="00601A33" w:rsidRPr="004F6335" w:rsidRDefault="00CD53E2"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E7 Varied team</w:t>
            </w:r>
          </w:p>
        </w:tc>
      </w:tr>
      <w:tr w:rsidR="00AA307C" w:rsidRPr="00601A33" w14:paraId="6FF98CEC" w14:textId="77777777" w:rsidTr="00843E30">
        <w:trPr>
          <w:cantSplit/>
          <w:trHeight w:val="916"/>
        </w:trPr>
        <w:tc>
          <w:tcPr>
            <w:cnfStyle w:val="001000000000" w:firstRow="0" w:lastRow="0" w:firstColumn="1" w:lastColumn="0" w:oddVBand="0" w:evenVBand="0" w:oddHBand="0" w:evenHBand="0" w:firstRowFirstColumn="0" w:firstRowLastColumn="0" w:lastRowFirstColumn="0" w:lastRowLastColumn="0"/>
            <w:tcW w:w="421" w:type="dxa"/>
            <w:shd w:val="clear" w:color="auto" w:fill="B2CFCD" w:themeFill="accent3"/>
            <w:tcMar>
              <w:left w:w="28" w:type="dxa"/>
              <w:right w:w="28" w:type="dxa"/>
            </w:tcMar>
            <w:textDirection w:val="btLr"/>
            <w:vAlign w:val="top"/>
          </w:tcPr>
          <w:p w14:paraId="25143A38" w14:textId="57D94634" w:rsidR="00EE3FAE" w:rsidRPr="0085113B" w:rsidRDefault="00184972" w:rsidP="00991A34">
            <w:pPr>
              <w:ind w:left="113" w:right="113"/>
              <w:jc w:val="center"/>
              <w:rPr>
                <w:b/>
                <w:sz w:val="16"/>
                <w:szCs w:val="16"/>
                <w:lang w:val="en-GB"/>
              </w:rPr>
            </w:pPr>
            <w:r w:rsidRPr="0085113B">
              <w:rPr>
                <w:b/>
                <w:sz w:val="16"/>
                <w:szCs w:val="16"/>
                <w:lang w:val="en-GB"/>
              </w:rPr>
              <w:t>Barriers</w:t>
            </w:r>
          </w:p>
        </w:tc>
        <w:tc>
          <w:tcPr>
            <w:tcW w:w="1984" w:type="dxa"/>
            <w:tcMar>
              <w:top w:w="28" w:type="dxa"/>
              <w:left w:w="28" w:type="dxa"/>
              <w:right w:w="28" w:type="dxa"/>
            </w:tcMar>
          </w:tcPr>
          <w:p w14:paraId="140A43F9" w14:textId="330A21BC" w:rsidR="00EE3FAE" w:rsidRPr="004F6335" w:rsidRDefault="003E096A"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None identified</w:t>
            </w:r>
          </w:p>
        </w:tc>
        <w:tc>
          <w:tcPr>
            <w:tcW w:w="1843" w:type="dxa"/>
            <w:tcMar>
              <w:top w:w="28" w:type="dxa"/>
              <w:left w:w="28" w:type="dxa"/>
              <w:right w:w="28" w:type="dxa"/>
            </w:tcMar>
          </w:tcPr>
          <w:p w14:paraId="68DE61D3" w14:textId="1C6F0B95" w:rsidR="00EE3FAE" w:rsidRPr="004F6335" w:rsidRDefault="003E096A"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None identified</w:t>
            </w:r>
          </w:p>
        </w:tc>
        <w:tc>
          <w:tcPr>
            <w:tcW w:w="2410" w:type="dxa"/>
            <w:tcMar>
              <w:top w:w="28" w:type="dxa"/>
              <w:left w:w="28" w:type="dxa"/>
              <w:right w:w="28" w:type="dxa"/>
            </w:tcMar>
          </w:tcPr>
          <w:p w14:paraId="2D5B984D" w14:textId="57BD68FE" w:rsidR="00EE3FAE" w:rsidRPr="004F6335" w:rsidRDefault="00AE5C7F"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B1 </w:t>
            </w:r>
            <w:r w:rsidR="00601A33" w:rsidRPr="004F6335">
              <w:rPr>
                <w:sz w:val="16"/>
                <w:szCs w:val="16"/>
                <w:lang w:val="en-GB"/>
              </w:rPr>
              <w:t xml:space="preserve">Absence of political </w:t>
            </w:r>
            <w:r w:rsidR="004E21DF">
              <w:rPr>
                <w:sz w:val="16"/>
                <w:szCs w:val="16"/>
                <w:lang w:val="en-GB"/>
              </w:rPr>
              <w:t>support</w:t>
            </w:r>
          </w:p>
          <w:p w14:paraId="6024FEE9" w14:textId="5EEDEBF1" w:rsidR="003E096A" w:rsidRPr="004F6335" w:rsidRDefault="00AE5C7F"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B2</w:t>
            </w:r>
            <w:r w:rsidR="005B16FB" w:rsidRPr="004F6335">
              <w:rPr>
                <w:sz w:val="16"/>
                <w:szCs w:val="16"/>
                <w:lang w:val="en-GB"/>
              </w:rPr>
              <w:t xml:space="preserve"> </w:t>
            </w:r>
            <w:r w:rsidR="003E096A" w:rsidRPr="004F6335">
              <w:rPr>
                <w:sz w:val="16"/>
                <w:szCs w:val="16"/>
                <w:lang w:val="en-GB"/>
              </w:rPr>
              <w:t>Absence of clear mandates</w:t>
            </w:r>
          </w:p>
          <w:p w14:paraId="365BC899" w14:textId="626917F6" w:rsidR="003E096A" w:rsidRPr="004F6335" w:rsidRDefault="005B16FB"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B3 </w:t>
            </w:r>
            <w:r w:rsidR="009E37A1" w:rsidRPr="004F6335">
              <w:rPr>
                <w:sz w:val="16"/>
                <w:szCs w:val="16"/>
                <w:lang w:val="en-GB"/>
              </w:rPr>
              <w:t>Extremely small team</w:t>
            </w:r>
          </w:p>
        </w:tc>
        <w:tc>
          <w:tcPr>
            <w:tcW w:w="1791" w:type="dxa"/>
            <w:tcMar>
              <w:top w:w="28" w:type="dxa"/>
              <w:left w:w="28" w:type="dxa"/>
              <w:right w:w="28" w:type="dxa"/>
            </w:tcMar>
          </w:tcPr>
          <w:p w14:paraId="7A2B7377" w14:textId="2A6AA089" w:rsidR="00EE3FAE" w:rsidRPr="004F6335" w:rsidRDefault="005B16FB" w:rsidP="001D149A">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4F6335">
              <w:rPr>
                <w:sz w:val="16"/>
                <w:szCs w:val="16"/>
                <w:lang w:val="en-GB"/>
              </w:rPr>
              <w:t xml:space="preserve">B4 </w:t>
            </w:r>
            <w:r w:rsidR="00B84532" w:rsidRPr="004F6335">
              <w:rPr>
                <w:sz w:val="16"/>
                <w:szCs w:val="16"/>
                <w:lang w:val="en-GB"/>
              </w:rPr>
              <w:t>Potential</w:t>
            </w:r>
            <w:r w:rsidR="0013046E" w:rsidRPr="004F6335">
              <w:rPr>
                <w:sz w:val="16"/>
                <w:szCs w:val="16"/>
                <w:lang w:val="en-GB"/>
              </w:rPr>
              <w:t xml:space="preserve"> overlap of </w:t>
            </w:r>
            <w:r w:rsidR="008B2F06" w:rsidRPr="004F6335">
              <w:rPr>
                <w:sz w:val="16"/>
                <w:szCs w:val="16"/>
                <w:lang w:val="en-GB"/>
              </w:rPr>
              <w:t xml:space="preserve">entities’ </w:t>
            </w:r>
            <w:r w:rsidR="007305A5" w:rsidRPr="004F6335">
              <w:rPr>
                <w:sz w:val="16"/>
                <w:szCs w:val="16"/>
                <w:lang w:val="en-GB"/>
              </w:rPr>
              <w:t>mandates</w:t>
            </w:r>
            <w:r w:rsidR="008B2F06" w:rsidRPr="004F6335">
              <w:rPr>
                <w:rStyle w:val="Znakapoznpodarou"/>
                <w:sz w:val="16"/>
                <w:szCs w:val="16"/>
                <w:lang w:val="en-GB"/>
              </w:rPr>
              <w:footnoteReference w:id="5"/>
            </w:r>
          </w:p>
        </w:tc>
      </w:tr>
    </w:tbl>
    <w:p w14:paraId="2D3E3013" w14:textId="0A922758" w:rsidR="004842BF" w:rsidRDefault="004842BF" w:rsidP="003846EE">
      <w:pPr>
        <w:rPr>
          <w:lang w:val="en-GB"/>
        </w:rPr>
      </w:pPr>
    </w:p>
    <w:p w14:paraId="1C8656C9" w14:textId="303F4F27" w:rsidR="004644DE" w:rsidRDefault="004644DE" w:rsidP="004644DE">
      <w:pPr>
        <w:pStyle w:val="Nadpis4"/>
        <w:rPr>
          <w:lang w:val="en-GB"/>
        </w:rPr>
      </w:pPr>
      <w:r>
        <w:rPr>
          <w:lang w:val="en-GB"/>
        </w:rPr>
        <w:t xml:space="preserve">Replicability of a dedicated </w:t>
      </w:r>
      <w:r w:rsidR="00292A0A">
        <w:rPr>
          <w:lang w:val="en-GB"/>
        </w:rPr>
        <w:t xml:space="preserve">DNSH </w:t>
      </w:r>
      <w:r>
        <w:rPr>
          <w:lang w:val="en-GB"/>
        </w:rPr>
        <w:t>team (</w:t>
      </w:r>
      <w:r w:rsidR="00250153">
        <w:rPr>
          <w:lang w:val="en-GB"/>
        </w:rPr>
        <w:t>based</w:t>
      </w:r>
      <w:r w:rsidR="004E21DF">
        <w:rPr>
          <w:lang w:val="en-GB"/>
        </w:rPr>
        <w:t xml:space="preserve"> </w:t>
      </w:r>
      <w:r>
        <w:rPr>
          <w:lang w:val="en-GB"/>
        </w:rPr>
        <w:t xml:space="preserve">on the </w:t>
      </w:r>
      <w:r w:rsidR="00B172AC">
        <w:rPr>
          <w:lang w:val="en-GB"/>
        </w:rPr>
        <w:t>Belgian and Spanish model</w:t>
      </w:r>
      <w:r w:rsidR="006D7625">
        <w:rPr>
          <w:lang w:val="en-GB"/>
        </w:rPr>
        <w:t>)</w:t>
      </w:r>
    </w:p>
    <w:p w14:paraId="2D60D513" w14:textId="7AEBB3D5" w:rsidR="00A0315C" w:rsidRDefault="0076074E" w:rsidP="00A0315C">
      <w:pPr>
        <w:rPr>
          <w:lang w:val="en-GB"/>
        </w:rPr>
      </w:pPr>
      <w:r>
        <w:rPr>
          <w:lang w:val="en-GB"/>
        </w:rPr>
        <w:t xml:space="preserve">In </w:t>
      </w:r>
      <w:r w:rsidR="00C535C2">
        <w:rPr>
          <w:lang w:val="en-GB"/>
        </w:rPr>
        <w:t>Czechia</w:t>
      </w:r>
      <w:r>
        <w:rPr>
          <w:lang w:val="en-GB"/>
        </w:rPr>
        <w:t>,</w:t>
      </w:r>
      <w:r w:rsidR="00C535C2">
        <w:rPr>
          <w:lang w:val="en-GB"/>
        </w:rPr>
        <w:t xml:space="preserve"> </w:t>
      </w:r>
      <w:r>
        <w:rPr>
          <w:lang w:val="en-GB"/>
        </w:rPr>
        <w:t>t</w:t>
      </w:r>
      <w:r w:rsidR="009B65AB">
        <w:rPr>
          <w:lang w:val="en-GB"/>
        </w:rPr>
        <w:t xml:space="preserve">he implementation of the </w:t>
      </w:r>
      <w:r w:rsidR="00530A17" w:rsidRPr="004F6335">
        <w:rPr>
          <w:b/>
          <w:lang w:val="en-GB"/>
        </w:rPr>
        <w:t>framework environ</w:t>
      </w:r>
      <w:r w:rsidR="00E20AF4" w:rsidRPr="004F6335">
        <w:rPr>
          <w:b/>
          <w:lang w:val="en-GB"/>
        </w:rPr>
        <w:t>mental guidelines</w:t>
      </w:r>
      <w:r w:rsidR="0064368E">
        <w:rPr>
          <w:lang w:val="en-GB"/>
        </w:rPr>
        <w:t xml:space="preserve"> </w:t>
      </w:r>
      <w:r w:rsidR="009B65AB">
        <w:rPr>
          <w:lang w:val="en-GB"/>
        </w:rPr>
        <w:t xml:space="preserve">is coordinated </w:t>
      </w:r>
      <w:r w:rsidR="00B14E7B">
        <w:rPr>
          <w:lang w:val="en-GB"/>
        </w:rPr>
        <w:t xml:space="preserve">by the Ministry of </w:t>
      </w:r>
      <w:r w:rsidR="000514FF">
        <w:rPr>
          <w:lang w:val="en-GB"/>
        </w:rPr>
        <w:t xml:space="preserve">Industry and Trade </w:t>
      </w:r>
      <w:r w:rsidR="006F190F">
        <w:rPr>
          <w:lang w:val="en-GB"/>
        </w:rPr>
        <w:t>(for the RRF) and by the Ministry of Regional Development (for the Cohesion Policy fund)</w:t>
      </w:r>
      <w:r w:rsidR="00491C4E">
        <w:rPr>
          <w:lang w:val="en-GB"/>
        </w:rPr>
        <w:t>.</w:t>
      </w:r>
      <w:r w:rsidR="00397F08">
        <w:rPr>
          <w:lang w:val="en-GB"/>
        </w:rPr>
        <w:t xml:space="preserve"> The absence of a team fully dedicated to the coordination and capacity building </w:t>
      </w:r>
      <w:r w:rsidR="00EE2784">
        <w:rPr>
          <w:lang w:val="en-GB"/>
        </w:rPr>
        <w:t>for</w:t>
      </w:r>
      <w:r w:rsidR="00346F7B">
        <w:rPr>
          <w:lang w:val="en-GB"/>
        </w:rPr>
        <w:t xml:space="preserve"> the a</w:t>
      </w:r>
      <w:r w:rsidR="00EE2784">
        <w:rPr>
          <w:lang w:val="en-GB"/>
        </w:rPr>
        <w:t>pplication of the DNSH principle hinder</w:t>
      </w:r>
      <w:r w:rsidR="00FC358C">
        <w:rPr>
          <w:lang w:val="en-GB"/>
        </w:rPr>
        <w:t>s</w:t>
      </w:r>
      <w:r w:rsidR="00EE2784">
        <w:rPr>
          <w:lang w:val="en-GB"/>
        </w:rPr>
        <w:t xml:space="preserve"> the impact of the guidelines</w:t>
      </w:r>
      <w:r w:rsidR="00912D62">
        <w:rPr>
          <w:lang w:val="en-GB"/>
        </w:rPr>
        <w:t xml:space="preserve"> </w:t>
      </w:r>
      <w:r w:rsidR="00E15088">
        <w:rPr>
          <w:lang w:val="en-GB"/>
        </w:rPr>
        <w:t>[</w:t>
      </w:r>
      <w:r w:rsidR="00912D62">
        <w:rPr>
          <w:lang w:val="en-GB"/>
        </w:rPr>
        <w:t>B3</w:t>
      </w:r>
      <w:r w:rsidR="00E15088">
        <w:rPr>
          <w:lang w:val="en-GB"/>
        </w:rPr>
        <w:t>]</w:t>
      </w:r>
      <w:r w:rsidR="00EE2784">
        <w:rPr>
          <w:lang w:val="en-GB"/>
        </w:rPr>
        <w:t>.</w:t>
      </w:r>
    </w:p>
    <w:p w14:paraId="7726CBFA" w14:textId="0B7029B6" w:rsidR="00790A1F" w:rsidRDefault="00F83BE8" w:rsidP="00A0315C">
      <w:pPr>
        <w:rPr>
          <w:lang w:val="en-GB"/>
        </w:rPr>
      </w:pPr>
      <w:r>
        <w:rPr>
          <w:lang w:val="en-GB"/>
        </w:rPr>
        <w:t>Th</w:t>
      </w:r>
      <w:r w:rsidR="00A0315C">
        <w:rPr>
          <w:lang w:val="en-GB"/>
        </w:rPr>
        <w:t xml:space="preserve">e creation of a dedicated team </w:t>
      </w:r>
      <w:r w:rsidR="00A21B27">
        <w:rPr>
          <w:lang w:val="en-GB"/>
        </w:rPr>
        <w:t xml:space="preserve">with a similar mandate as </w:t>
      </w:r>
      <w:r w:rsidR="00B566D1">
        <w:rPr>
          <w:lang w:val="en-GB"/>
        </w:rPr>
        <w:t xml:space="preserve">the Spanish DNSH </w:t>
      </w:r>
      <w:r w:rsidR="00CA11C9">
        <w:rPr>
          <w:lang w:val="en-GB"/>
        </w:rPr>
        <w:t>D</w:t>
      </w:r>
      <w:r w:rsidR="00B566D1">
        <w:rPr>
          <w:lang w:val="en-GB"/>
        </w:rPr>
        <w:t>ivision and</w:t>
      </w:r>
      <w:r w:rsidR="00CA11C9">
        <w:rPr>
          <w:lang w:val="en-GB"/>
        </w:rPr>
        <w:t>/or</w:t>
      </w:r>
      <w:r w:rsidR="00B566D1">
        <w:rPr>
          <w:lang w:val="en-GB"/>
        </w:rPr>
        <w:t xml:space="preserve"> the Belgian </w:t>
      </w:r>
      <w:r w:rsidR="00CA11C9">
        <w:rPr>
          <w:lang w:val="en-GB"/>
        </w:rPr>
        <w:t>federal DNSH H</w:t>
      </w:r>
      <w:r w:rsidR="00B566D1">
        <w:rPr>
          <w:lang w:val="en-GB"/>
        </w:rPr>
        <w:t>elpdesk</w:t>
      </w:r>
      <w:r>
        <w:rPr>
          <w:lang w:val="en-GB"/>
        </w:rPr>
        <w:t xml:space="preserve"> </w:t>
      </w:r>
      <w:r w:rsidR="00AC7701">
        <w:rPr>
          <w:lang w:val="en-GB"/>
        </w:rPr>
        <w:t xml:space="preserve">would </w:t>
      </w:r>
      <w:r w:rsidR="00D975CF">
        <w:rPr>
          <w:lang w:val="en-GB"/>
        </w:rPr>
        <w:t xml:space="preserve">provide </w:t>
      </w:r>
      <w:r w:rsidR="00D975CF" w:rsidRPr="00CA11C9">
        <w:rPr>
          <w:b/>
          <w:lang w:val="en-GB"/>
        </w:rPr>
        <w:t xml:space="preserve">targeted support for the implementation </w:t>
      </w:r>
      <w:r w:rsidR="00C202F7" w:rsidRPr="00CA11C9">
        <w:rPr>
          <w:b/>
          <w:lang w:val="en-GB"/>
        </w:rPr>
        <w:t xml:space="preserve">of </w:t>
      </w:r>
      <w:r w:rsidR="00CA11C9">
        <w:rPr>
          <w:b/>
          <w:bCs/>
          <w:lang w:val="en-GB"/>
        </w:rPr>
        <w:t xml:space="preserve">DNSH </w:t>
      </w:r>
      <w:r w:rsidR="00C202F7" w:rsidRPr="00CA11C9">
        <w:rPr>
          <w:b/>
          <w:bCs/>
          <w:lang w:val="en-GB"/>
        </w:rPr>
        <w:t>guideline</w:t>
      </w:r>
      <w:r w:rsidR="00CA11C9">
        <w:rPr>
          <w:b/>
          <w:bCs/>
          <w:lang w:val="en-GB"/>
        </w:rPr>
        <w:t>s</w:t>
      </w:r>
      <w:r w:rsidR="003A1E20">
        <w:rPr>
          <w:b/>
          <w:bCs/>
          <w:lang w:val="en-GB"/>
        </w:rPr>
        <w:t xml:space="preserve"> through different Operational Programmes (OP) and funds</w:t>
      </w:r>
      <w:r w:rsidR="005402C2">
        <w:rPr>
          <w:lang w:val="en-GB"/>
        </w:rPr>
        <w:t>.</w:t>
      </w:r>
      <w:r w:rsidR="00C202F7">
        <w:rPr>
          <w:lang w:val="en-GB"/>
        </w:rPr>
        <w:t xml:space="preserve"> </w:t>
      </w:r>
      <w:r w:rsidR="004A0B4E">
        <w:rPr>
          <w:lang w:val="en-GB"/>
        </w:rPr>
        <w:t xml:space="preserve">This </w:t>
      </w:r>
      <w:r>
        <w:rPr>
          <w:lang w:val="en-GB"/>
        </w:rPr>
        <w:t xml:space="preserve">would require </w:t>
      </w:r>
      <w:r w:rsidR="004E21DF">
        <w:rPr>
          <w:lang w:val="en-GB"/>
        </w:rPr>
        <w:t>designing</w:t>
      </w:r>
      <w:r w:rsidR="006D7A4B">
        <w:rPr>
          <w:lang w:val="en-GB"/>
        </w:rPr>
        <w:t xml:space="preserve"> </w:t>
      </w:r>
      <w:r>
        <w:rPr>
          <w:lang w:val="en-GB"/>
        </w:rPr>
        <w:t>a clear mandate</w:t>
      </w:r>
      <w:r w:rsidR="003B66A7">
        <w:rPr>
          <w:lang w:val="en-GB"/>
        </w:rPr>
        <w:t>, proper resources</w:t>
      </w:r>
      <w:r w:rsidR="004E21DF">
        <w:rPr>
          <w:lang w:val="en-GB"/>
        </w:rPr>
        <w:t>,</w:t>
      </w:r>
      <w:r>
        <w:rPr>
          <w:lang w:val="en-GB"/>
        </w:rPr>
        <w:t xml:space="preserve"> and </w:t>
      </w:r>
      <w:r w:rsidR="00AF7FDA">
        <w:rPr>
          <w:lang w:val="en-GB"/>
        </w:rPr>
        <w:t>clarif</w:t>
      </w:r>
      <w:r w:rsidR="003B66A7">
        <w:rPr>
          <w:lang w:val="en-GB"/>
        </w:rPr>
        <w:t>ication of</w:t>
      </w:r>
      <w:r w:rsidR="00AF7FDA">
        <w:rPr>
          <w:lang w:val="en-GB"/>
        </w:rPr>
        <w:t xml:space="preserve"> the </w:t>
      </w:r>
      <w:r>
        <w:rPr>
          <w:lang w:val="en-GB"/>
        </w:rPr>
        <w:t>repartition of role</w:t>
      </w:r>
      <w:r w:rsidR="0040042D">
        <w:rPr>
          <w:lang w:val="en-GB"/>
        </w:rPr>
        <w:t>s</w:t>
      </w:r>
      <w:r>
        <w:rPr>
          <w:lang w:val="en-GB"/>
        </w:rPr>
        <w:t xml:space="preserve"> with managing authorities (</w:t>
      </w:r>
      <w:r w:rsidR="007913DA">
        <w:rPr>
          <w:lang w:val="en-GB"/>
        </w:rPr>
        <w:t>i.e.</w:t>
      </w:r>
      <w:r w:rsidR="004E21DF">
        <w:rPr>
          <w:lang w:val="en-GB"/>
        </w:rPr>
        <w:t>,</w:t>
      </w:r>
      <w:r w:rsidR="0041511B">
        <w:rPr>
          <w:lang w:val="en-GB"/>
        </w:rPr>
        <w:t xml:space="preserve"> </w:t>
      </w:r>
      <w:r>
        <w:rPr>
          <w:lang w:val="en-GB"/>
        </w:rPr>
        <w:t xml:space="preserve">final responsibility, </w:t>
      </w:r>
      <w:r w:rsidR="0041511B">
        <w:rPr>
          <w:lang w:val="en-GB"/>
        </w:rPr>
        <w:t>quality assurance, data collection, etc.)</w:t>
      </w:r>
      <w:r w:rsidR="00753A3B">
        <w:rPr>
          <w:lang w:val="en-GB"/>
        </w:rPr>
        <w:t xml:space="preserve">. </w:t>
      </w:r>
      <w:r w:rsidR="0011060E">
        <w:rPr>
          <w:lang w:val="en-GB"/>
        </w:rPr>
        <w:t xml:space="preserve">A Czech DNSH Division or DNSH Helpdesk should be provided </w:t>
      </w:r>
      <w:r w:rsidR="004E21DF">
        <w:rPr>
          <w:lang w:val="en-GB"/>
        </w:rPr>
        <w:t xml:space="preserve">with </w:t>
      </w:r>
      <w:r w:rsidR="0011060E">
        <w:rPr>
          <w:lang w:val="en-GB"/>
        </w:rPr>
        <w:t>the resources and</w:t>
      </w:r>
      <w:r w:rsidR="004771EB">
        <w:rPr>
          <w:lang w:val="en-GB"/>
        </w:rPr>
        <w:t xml:space="preserve"> capacity to </w:t>
      </w:r>
      <w:r w:rsidR="00AA2434">
        <w:rPr>
          <w:lang w:val="en-GB"/>
        </w:rPr>
        <w:t>roll-out and implement</w:t>
      </w:r>
      <w:r w:rsidR="00607A4E">
        <w:rPr>
          <w:lang w:val="en-GB"/>
        </w:rPr>
        <w:t xml:space="preserve"> the Czech national DNSH guidelines, similar to </w:t>
      </w:r>
      <w:r w:rsidR="003B2493">
        <w:rPr>
          <w:lang w:val="en-GB"/>
        </w:rPr>
        <w:t xml:space="preserve">the Spanish and Belgian </w:t>
      </w:r>
      <w:r w:rsidR="00607A4E">
        <w:rPr>
          <w:lang w:val="en-GB"/>
        </w:rPr>
        <w:t>guidance</w:t>
      </w:r>
      <w:r w:rsidR="00E066D7">
        <w:rPr>
          <w:lang w:val="en-GB"/>
        </w:rPr>
        <w:t xml:space="preserve"> documents</w:t>
      </w:r>
      <w:r w:rsidR="004E7337">
        <w:rPr>
          <w:lang w:val="en-GB"/>
        </w:rPr>
        <w:t>.</w:t>
      </w:r>
      <w:r w:rsidR="00D275A1">
        <w:rPr>
          <w:lang w:val="en-GB"/>
        </w:rPr>
        <w:t xml:space="preserve"> </w:t>
      </w:r>
    </w:p>
    <w:p w14:paraId="1EB50946" w14:textId="77777777" w:rsidR="00790A1F" w:rsidRDefault="00790A1F" w:rsidP="00A0315C">
      <w:pPr>
        <w:rPr>
          <w:lang w:val="en-GB"/>
        </w:rPr>
      </w:pPr>
    </w:p>
    <w:p w14:paraId="7C53613E" w14:textId="024E7EC6" w:rsidR="00372DED" w:rsidRPr="00372DED" w:rsidRDefault="00AD6E07" w:rsidP="00DE4FEF">
      <w:pPr>
        <w:pStyle w:val="Bulletpoint"/>
        <w:ind w:left="851" w:hanging="284"/>
      </w:pPr>
      <w:r>
        <w:t xml:space="preserve">This replication of practices </w:t>
      </w:r>
      <w:r w:rsidR="00224F31">
        <w:t>could notably be enabled by</w:t>
      </w:r>
      <w:r w:rsidR="002561E6">
        <w:t xml:space="preserve"> the grouping of individuals who currently work under Operational Programmes </w:t>
      </w:r>
      <w:r w:rsidR="00E47121">
        <w:t>and Ministri</w:t>
      </w:r>
      <w:r w:rsidR="00A8750D">
        <w:t>e</w:t>
      </w:r>
      <w:r w:rsidR="00E47121">
        <w:t>s</w:t>
      </w:r>
      <w:r w:rsidR="004E21DF">
        <w:t>,</w:t>
      </w:r>
      <w:r w:rsidR="00E47121">
        <w:t xml:space="preserve"> and which hold a strong knowledge of project developers and environmental protection frameworks</w:t>
      </w:r>
      <w:r w:rsidR="00210D48">
        <w:t xml:space="preserve"> [E6, E7]</w:t>
      </w:r>
      <w:r w:rsidR="00E47121">
        <w:t xml:space="preserve">. </w:t>
      </w:r>
      <w:r w:rsidR="006C4825">
        <w:t xml:space="preserve">The group </w:t>
      </w:r>
      <w:r w:rsidR="00C34336">
        <w:t>could function as a DNSH division</w:t>
      </w:r>
      <w:r w:rsidR="004B3FC2">
        <w:t>.</w:t>
      </w:r>
      <w:r w:rsidR="002E6E03">
        <w:t xml:space="preserve"> Such </w:t>
      </w:r>
      <w:r w:rsidR="00966568">
        <w:t>a recommendation</w:t>
      </w:r>
      <w:r w:rsidR="002E6E03">
        <w:t xml:space="preserve"> may be explored </w:t>
      </w:r>
      <w:r w:rsidR="00966568">
        <w:t>in the context of DLV</w:t>
      </w:r>
      <w:r w:rsidR="00D23E2C">
        <w:t xml:space="preserve">5 </w:t>
      </w:r>
      <w:r w:rsidR="00495DD9">
        <w:t>in the present TSI project [</w:t>
      </w:r>
      <w:r w:rsidR="00F2051F">
        <w:t>E5]</w:t>
      </w:r>
      <w:r w:rsidR="00495DD9">
        <w:t>.</w:t>
      </w:r>
      <w:r w:rsidR="00522092" w:rsidDel="00522092">
        <w:t xml:space="preserve"> </w:t>
      </w:r>
    </w:p>
    <w:p w14:paraId="17D0D58A" w14:textId="7BF2BEC5" w:rsidR="00EA50E1" w:rsidRDefault="00EB0E34" w:rsidP="00A0315C">
      <w:pPr>
        <w:rPr>
          <w:lang w:val="en-GB"/>
        </w:rPr>
      </w:pPr>
      <w:r>
        <w:rPr>
          <w:lang w:val="en-GB"/>
        </w:rPr>
        <w:lastRenderedPageBreak/>
        <w:t xml:space="preserve">In addition to the barriers identified in </w:t>
      </w:r>
      <w:r w:rsidR="001062CD" w:rsidRPr="001C3259">
        <w:rPr>
          <w:lang w:val="en-GB"/>
        </w:rPr>
        <w:fldChar w:fldCharType="begin"/>
      </w:r>
      <w:r w:rsidR="001062CD" w:rsidRPr="001062CD">
        <w:rPr>
          <w:highlight w:val="yellow"/>
          <w:lang w:val="en-GB"/>
        </w:rPr>
        <w:instrText xml:space="preserve"> REF _Ref128060478 \h </w:instrText>
      </w:r>
      <w:r w:rsidR="001062CD">
        <w:rPr>
          <w:highlight w:val="yellow"/>
          <w:lang w:val="en-GB"/>
        </w:rPr>
        <w:instrText xml:space="preserve"> \* MERGEFORMAT </w:instrText>
      </w:r>
      <w:r w:rsidR="001062CD" w:rsidRPr="001C3259">
        <w:rPr>
          <w:lang w:val="en-GB"/>
        </w:rPr>
      </w:r>
      <w:r w:rsidR="001062CD" w:rsidRPr="001C3259">
        <w:rPr>
          <w:lang w:val="en-GB"/>
        </w:rPr>
        <w:fldChar w:fldCharType="separate"/>
      </w:r>
      <w:r w:rsidR="0031368D">
        <w:t xml:space="preserve">Table </w:t>
      </w:r>
      <w:r w:rsidR="0031368D">
        <w:rPr>
          <w:noProof/>
        </w:rPr>
        <w:t>3</w:t>
      </w:r>
      <w:r w:rsidR="001062CD" w:rsidRPr="001C3259">
        <w:rPr>
          <w:lang w:val="en-GB"/>
        </w:rPr>
        <w:fldChar w:fldCharType="end"/>
      </w:r>
      <w:r>
        <w:rPr>
          <w:lang w:val="en-GB"/>
        </w:rPr>
        <w:t xml:space="preserve">, </w:t>
      </w:r>
      <w:r w:rsidR="007366F0">
        <w:rPr>
          <w:lang w:val="en-GB"/>
        </w:rPr>
        <w:t xml:space="preserve">the replicability </w:t>
      </w:r>
      <w:r w:rsidR="0072526D">
        <w:rPr>
          <w:lang w:val="en-GB"/>
        </w:rPr>
        <w:t xml:space="preserve">is partly limited by the fact that the DNSH </w:t>
      </w:r>
      <w:r w:rsidR="00441E9C">
        <w:rPr>
          <w:lang w:val="en-GB"/>
        </w:rPr>
        <w:t>D</w:t>
      </w:r>
      <w:r w:rsidR="0072526D">
        <w:rPr>
          <w:lang w:val="en-GB"/>
        </w:rPr>
        <w:t xml:space="preserve">ivision exclusively </w:t>
      </w:r>
      <w:r w:rsidR="0020043C">
        <w:rPr>
          <w:lang w:val="en-GB"/>
        </w:rPr>
        <w:t>focuses on the DNSH principle under the RR</w:t>
      </w:r>
      <w:r w:rsidR="008E76DD">
        <w:rPr>
          <w:lang w:val="en-GB"/>
        </w:rPr>
        <w:t>F</w:t>
      </w:r>
      <w:r w:rsidR="00FD5E81">
        <w:rPr>
          <w:lang w:val="en-GB"/>
        </w:rPr>
        <w:t xml:space="preserve">, while Czechia </w:t>
      </w:r>
      <w:r w:rsidR="00E36281">
        <w:rPr>
          <w:lang w:val="en-GB"/>
        </w:rPr>
        <w:t>governs</w:t>
      </w:r>
      <w:r w:rsidR="00FD5E81">
        <w:rPr>
          <w:lang w:val="en-GB"/>
        </w:rPr>
        <w:t xml:space="preserve"> </w:t>
      </w:r>
      <w:r w:rsidR="008E76DD">
        <w:rPr>
          <w:lang w:val="en-GB"/>
        </w:rPr>
        <w:t xml:space="preserve">the implementation of the RRF and </w:t>
      </w:r>
      <w:r w:rsidR="00A0778A">
        <w:rPr>
          <w:lang w:val="en-GB"/>
        </w:rPr>
        <w:t xml:space="preserve">of the Cohesion Policy funds separately. </w:t>
      </w:r>
    </w:p>
    <w:p w14:paraId="0DFBAFAB" w14:textId="77777777" w:rsidR="00410C45" w:rsidRDefault="00410C45" w:rsidP="00A0315C">
      <w:pPr>
        <w:rPr>
          <w:lang w:val="en-GB"/>
        </w:rPr>
      </w:pPr>
    </w:p>
    <w:p w14:paraId="113B5419" w14:textId="0C97D81B" w:rsidR="00410C45" w:rsidRDefault="00410C45" w:rsidP="00A0315C">
      <w:pPr>
        <w:rPr>
          <w:lang w:val="en-GB"/>
        </w:rPr>
      </w:pPr>
      <w:r>
        <w:rPr>
          <w:lang w:val="en-GB"/>
        </w:rPr>
        <w:t xml:space="preserve">The replicability of illustrative examples is provided in </w:t>
      </w:r>
      <w:r w:rsidRPr="001C3259">
        <w:rPr>
          <w:lang w:val="en-GB"/>
        </w:rPr>
        <w:fldChar w:fldCharType="begin"/>
      </w:r>
      <w:r w:rsidRPr="001C3259">
        <w:rPr>
          <w:lang w:val="en-GB"/>
        </w:rPr>
        <w:instrText xml:space="preserve"> REF _Ref128124856 \h  \* MERGEFORMAT </w:instrText>
      </w:r>
      <w:r w:rsidRPr="001C3259">
        <w:rPr>
          <w:lang w:val="en-GB"/>
        </w:rPr>
      </w:r>
      <w:r w:rsidRPr="001C3259">
        <w:rPr>
          <w:lang w:val="en-GB"/>
        </w:rPr>
        <w:fldChar w:fldCharType="separate"/>
      </w:r>
      <w:r w:rsidR="0031368D">
        <w:t>Box 2</w:t>
      </w:r>
      <w:r w:rsidRPr="001C3259">
        <w:rPr>
          <w:lang w:val="en-GB"/>
        </w:rPr>
        <w:fldChar w:fldCharType="end"/>
      </w:r>
      <w:r>
        <w:rPr>
          <w:lang w:val="en-GB"/>
        </w:rPr>
        <w:t>.</w:t>
      </w:r>
    </w:p>
    <w:p w14:paraId="2E2A7289" w14:textId="77777777" w:rsidR="003362A4" w:rsidRDefault="003362A4" w:rsidP="003846EE">
      <w:pPr>
        <w:rPr>
          <w:lang w:val="en-GB"/>
        </w:rPr>
      </w:pPr>
    </w:p>
    <w:p w14:paraId="2C58B7F8" w14:textId="58F6489A" w:rsidR="009A7834" w:rsidRDefault="009A7834" w:rsidP="00CD3B74">
      <w:pPr>
        <w:pStyle w:val="Titulek"/>
        <w:keepNext/>
      </w:pPr>
      <w:bookmarkStart w:id="24" w:name="_Ref128124856"/>
      <w:r>
        <w:t xml:space="preserve">Box </w:t>
      </w:r>
      <w:fldSimple w:instr=" SEQ Box \* ARABIC ">
        <w:r w:rsidR="0031368D">
          <w:rPr>
            <w:noProof/>
          </w:rPr>
          <w:t>2</w:t>
        </w:r>
      </w:fldSimple>
      <w:bookmarkEnd w:id="24"/>
      <w:r>
        <w:t xml:space="preserve"> Replicability of the illustrative governance </w:t>
      </w:r>
      <w:r w:rsidR="00E84F47">
        <w:t>practices</w:t>
      </w:r>
    </w:p>
    <w:tbl>
      <w:tblPr>
        <w:tblStyle w:val="Table1"/>
        <w:tblW w:w="5000" w:type="pct"/>
        <w:shd w:val="clear" w:color="auto" w:fill="E0EBEB" w:themeFill="accent3" w:themeFillTint="66"/>
        <w:tblLook w:val="04A0" w:firstRow="1" w:lastRow="0" w:firstColumn="1" w:lastColumn="0" w:noHBand="0" w:noVBand="1"/>
      </w:tblPr>
      <w:tblGrid>
        <w:gridCol w:w="9016"/>
      </w:tblGrid>
      <w:tr w:rsidR="00BB10A5" w:rsidRPr="007A5F9A" w14:paraId="66627878" w14:textId="77777777" w:rsidTr="009A7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E0EBEB" w:themeFill="accent3" w:themeFillTint="66"/>
          </w:tcPr>
          <w:p w14:paraId="1A15FEA4" w14:textId="1FD88B64" w:rsidR="0017299E" w:rsidRPr="00BB10A5" w:rsidRDefault="0017299E" w:rsidP="00BB10A5">
            <w:pPr>
              <w:pStyle w:val="Titulek"/>
              <w:ind w:left="0"/>
              <w:rPr>
                <w:b/>
                <w:bCs w:val="0"/>
                <w:szCs w:val="18"/>
                <w:lang w:val="en-GB"/>
              </w:rPr>
            </w:pPr>
            <w:r w:rsidRPr="00BB10A5">
              <w:rPr>
                <w:b/>
                <w:bCs w:val="0"/>
                <w:sz w:val="18"/>
                <w:szCs w:val="18"/>
                <w:lang w:val="en-GB"/>
              </w:rPr>
              <w:t xml:space="preserve">Replicability of </w:t>
            </w:r>
            <w:r w:rsidR="009A7834" w:rsidRPr="00BB10A5">
              <w:rPr>
                <w:b/>
                <w:bCs w:val="0"/>
                <w:sz w:val="18"/>
                <w:szCs w:val="18"/>
                <w:lang w:val="en-GB"/>
              </w:rPr>
              <w:t xml:space="preserve">decentralised governance towards the development of </w:t>
            </w:r>
            <w:r w:rsidRPr="00BB10A5">
              <w:rPr>
                <w:b/>
                <w:bCs w:val="0"/>
                <w:sz w:val="18"/>
                <w:szCs w:val="18"/>
                <w:lang w:val="en-GB"/>
              </w:rPr>
              <w:t>sectoral methodologies (</w:t>
            </w:r>
            <w:r w:rsidR="004E21DF">
              <w:rPr>
                <w:b/>
                <w:bCs w:val="0"/>
                <w:sz w:val="18"/>
                <w:szCs w:val="18"/>
                <w:lang w:val="en-GB"/>
              </w:rPr>
              <w:t xml:space="preserve">based </w:t>
            </w:r>
            <w:r w:rsidRPr="00BB10A5">
              <w:rPr>
                <w:b/>
                <w:bCs w:val="0"/>
                <w:sz w:val="18"/>
                <w:szCs w:val="18"/>
                <w:lang w:val="en-GB"/>
              </w:rPr>
              <w:t>on the Slovak model)</w:t>
            </w:r>
          </w:p>
          <w:p w14:paraId="0261E303" w14:textId="22EF2339" w:rsidR="0017299E" w:rsidRDefault="0017299E" w:rsidP="00C74158">
            <w:pPr>
              <w:ind w:left="0"/>
              <w:jc w:val="left"/>
              <w:rPr>
                <w:bCs/>
                <w:color w:val="000000" w:themeColor="text1"/>
                <w:lang w:val="en-GB"/>
              </w:rPr>
            </w:pPr>
            <w:r w:rsidRPr="00C74158">
              <w:rPr>
                <w:b w:val="0"/>
                <w:bCs/>
                <w:color w:val="000000" w:themeColor="text1"/>
                <w:lang w:val="en-GB"/>
              </w:rPr>
              <w:t>Because sector-agnostic framework environmental guidelines are in place in Czechia, the Slovak model does not appear replicable [E8].</w:t>
            </w:r>
            <w:r w:rsidR="0011059A">
              <w:rPr>
                <w:b w:val="0"/>
                <w:bCs/>
                <w:color w:val="000000" w:themeColor="text1"/>
                <w:lang w:val="en-GB"/>
              </w:rPr>
              <w:t xml:space="preserve"> The fr</w:t>
            </w:r>
            <w:r w:rsidR="00853F2E">
              <w:rPr>
                <w:b w:val="0"/>
                <w:bCs/>
                <w:color w:val="000000" w:themeColor="text1"/>
                <w:lang w:val="en-GB"/>
              </w:rPr>
              <w:t xml:space="preserve">amework guidelines provide a clear </w:t>
            </w:r>
            <w:r w:rsidR="0064695C">
              <w:rPr>
                <w:b w:val="0"/>
                <w:bCs/>
                <w:color w:val="000000" w:themeColor="text1"/>
                <w:lang w:val="en-GB"/>
              </w:rPr>
              <w:t xml:space="preserve">guidance on the alignment of DNSH processes and assessments across all sectors, thus making sectoral methodologies </w:t>
            </w:r>
            <w:r w:rsidR="001D06C7">
              <w:rPr>
                <w:b w:val="0"/>
                <w:bCs/>
                <w:color w:val="000000" w:themeColor="text1"/>
                <w:lang w:val="en-GB"/>
              </w:rPr>
              <w:t>redundant</w:t>
            </w:r>
            <w:r w:rsidR="00F804F4">
              <w:rPr>
                <w:b w:val="0"/>
                <w:bCs/>
                <w:color w:val="000000" w:themeColor="text1"/>
                <w:lang w:val="en-GB"/>
              </w:rPr>
              <w:t xml:space="preserve">. Furthermore, Czechia identified a central authority </w:t>
            </w:r>
            <w:r w:rsidR="00A46CF4">
              <w:rPr>
                <w:b w:val="0"/>
                <w:bCs/>
                <w:color w:val="000000" w:themeColor="text1"/>
                <w:lang w:val="en-GB"/>
              </w:rPr>
              <w:t>to develop the guidelines (i.e., the Ministry of Environment)</w:t>
            </w:r>
            <w:r w:rsidR="00537179">
              <w:rPr>
                <w:b w:val="0"/>
                <w:bCs/>
                <w:color w:val="000000" w:themeColor="text1"/>
                <w:lang w:val="en-GB"/>
              </w:rPr>
              <w:t xml:space="preserve">, but </w:t>
            </w:r>
            <w:r w:rsidR="00753105">
              <w:rPr>
                <w:b w:val="0"/>
                <w:bCs/>
                <w:color w:val="000000" w:themeColor="text1"/>
                <w:lang w:val="en-GB"/>
              </w:rPr>
              <w:t>the coordination of the RRP and CPR implementation lies with the Ministry of Industry and Trade and the Ministry of Regional Development respectively</w:t>
            </w:r>
            <w:r w:rsidR="00A46CF4">
              <w:rPr>
                <w:b w:val="0"/>
                <w:bCs/>
                <w:color w:val="000000" w:themeColor="text1"/>
                <w:lang w:val="en-GB"/>
              </w:rPr>
              <w:t xml:space="preserve">. </w:t>
            </w:r>
            <w:r w:rsidR="0036114C">
              <w:rPr>
                <w:b w:val="0"/>
                <w:bCs/>
                <w:color w:val="000000" w:themeColor="text1"/>
                <w:lang w:val="en-GB"/>
              </w:rPr>
              <w:t xml:space="preserve">The decentralised </w:t>
            </w:r>
            <w:r w:rsidR="003161E0">
              <w:rPr>
                <w:b w:val="0"/>
                <w:bCs/>
                <w:color w:val="000000" w:themeColor="text1"/>
                <w:lang w:val="en-GB"/>
              </w:rPr>
              <w:t>Slovak model thus does not appear replicable to Czechia.</w:t>
            </w:r>
          </w:p>
          <w:p w14:paraId="292270A9" w14:textId="77777777" w:rsidR="00E84F47" w:rsidRDefault="00E84F47" w:rsidP="00C74158">
            <w:pPr>
              <w:ind w:left="0"/>
              <w:jc w:val="left"/>
              <w:rPr>
                <w:b w:val="0"/>
                <w:bCs/>
                <w:color w:val="000000" w:themeColor="text1"/>
                <w:szCs w:val="16"/>
                <w:lang w:val="en-GB"/>
              </w:rPr>
            </w:pPr>
          </w:p>
          <w:p w14:paraId="41816B18" w14:textId="5CAE6903" w:rsidR="00E84F47" w:rsidRPr="00B74C0B" w:rsidRDefault="00E84F47" w:rsidP="00EA2D8D">
            <w:pPr>
              <w:pStyle w:val="Nadpis4"/>
              <w:ind w:firstLine="0"/>
              <w:outlineLvl w:val="3"/>
              <w:rPr>
                <w:b/>
                <w:bCs w:val="0"/>
                <w:color w:val="005962" w:themeColor="accent1"/>
                <w:lang w:val="en-GB"/>
              </w:rPr>
            </w:pPr>
            <w:r w:rsidRPr="007911AA">
              <w:rPr>
                <w:b/>
                <w:bCs w:val="0"/>
                <w:color w:val="005962" w:themeColor="accent1"/>
                <w:lang w:val="en-GB"/>
              </w:rPr>
              <w:t xml:space="preserve">Replicability of an inter-federal DNSH network </w:t>
            </w:r>
            <w:r w:rsidRPr="00DE69FD">
              <w:rPr>
                <w:b/>
                <w:bCs w:val="0"/>
                <w:color w:val="005962" w:themeColor="accent1"/>
                <w:lang w:val="en-GB"/>
              </w:rPr>
              <w:t>(</w:t>
            </w:r>
            <w:r w:rsidR="004E21DF">
              <w:rPr>
                <w:b/>
                <w:bCs w:val="0"/>
                <w:color w:val="005962" w:themeColor="accent1"/>
                <w:lang w:val="en-GB"/>
              </w:rPr>
              <w:t xml:space="preserve">based </w:t>
            </w:r>
            <w:r w:rsidRPr="00B74C0B">
              <w:rPr>
                <w:b/>
                <w:bCs w:val="0"/>
                <w:color w:val="005962" w:themeColor="accent1"/>
                <w:lang w:val="en-GB"/>
              </w:rPr>
              <w:t>on the Belgian model)</w:t>
            </w:r>
          </w:p>
          <w:p w14:paraId="428E410D" w14:textId="6C47E491" w:rsidR="0017299E" w:rsidRPr="00BB10A5" w:rsidRDefault="00E84F47" w:rsidP="00C74158">
            <w:pPr>
              <w:ind w:left="0"/>
              <w:jc w:val="left"/>
              <w:rPr>
                <w:color w:val="000000" w:themeColor="text1"/>
                <w:sz w:val="16"/>
                <w:szCs w:val="16"/>
                <w:lang w:val="en-GB"/>
              </w:rPr>
            </w:pPr>
            <w:r w:rsidRPr="00B74C0B">
              <w:rPr>
                <w:b w:val="0"/>
                <w:bCs/>
                <w:color w:val="000000" w:themeColor="text1"/>
                <w:lang w:val="en-GB"/>
              </w:rPr>
              <w:t xml:space="preserve">Due to the centralised application of the DNSH principle, the inter-federal DNSH network does not appear easily replicable. The relevance of the network indeed appears limited </w:t>
            </w:r>
            <w:r w:rsidR="004E21DF" w:rsidRPr="00B74C0B">
              <w:rPr>
                <w:b w:val="0"/>
                <w:bCs/>
                <w:color w:val="000000" w:themeColor="text1"/>
                <w:lang w:val="en-GB"/>
              </w:rPr>
              <w:t>because</w:t>
            </w:r>
            <w:r w:rsidRPr="00B74C0B">
              <w:rPr>
                <w:b w:val="0"/>
                <w:bCs/>
                <w:color w:val="000000" w:themeColor="text1"/>
                <w:lang w:val="en-GB"/>
              </w:rPr>
              <w:t xml:space="preserve"> regional or local stakeholders are not involved in </w:t>
            </w:r>
            <w:r w:rsidR="004E21DF">
              <w:rPr>
                <w:b w:val="0"/>
                <w:bCs/>
                <w:color w:val="000000" w:themeColor="text1"/>
                <w:lang w:val="en-GB"/>
              </w:rPr>
              <w:t xml:space="preserve">the </w:t>
            </w:r>
            <w:r w:rsidRPr="00B74C0B">
              <w:rPr>
                <w:b w:val="0"/>
                <w:bCs/>
                <w:color w:val="000000" w:themeColor="text1"/>
                <w:lang w:val="en-GB"/>
              </w:rPr>
              <w:t>Czech DNSH processes.</w:t>
            </w:r>
            <w:r w:rsidR="004E7DBF">
              <w:rPr>
                <w:b w:val="0"/>
                <w:bCs/>
                <w:color w:val="000000" w:themeColor="text1"/>
                <w:lang w:val="en-GB"/>
              </w:rPr>
              <w:t xml:space="preserve"> </w:t>
            </w:r>
            <w:r w:rsidRPr="00B74C0B">
              <w:rPr>
                <w:b w:val="0"/>
                <w:bCs/>
                <w:color w:val="000000" w:themeColor="text1"/>
                <w:lang w:val="en-GB"/>
              </w:rPr>
              <w:t xml:space="preserve">However, the Belgian model could be replicated </w:t>
            </w:r>
            <w:r w:rsidR="004E21DF">
              <w:rPr>
                <w:b w:val="0"/>
                <w:bCs/>
                <w:color w:val="000000" w:themeColor="text1"/>
                <w:lang w:val="en-GB"/>
              </w:rPr>
              <w:t>by focusing on</w:t>
            </w:r>
            <w:r w:rsidRPr="00B74C0B">
              <w:rPr>
                <w:b w:val="0"/>
                <w:bCs/>
                <w:color w:val="000000" w:themeColor="text1"/>
                <w:lang w:val="en-GB"/>
              </w:rPr>
              <w:t xml:space="preserve"> a topical -rather than jurisdictional- network [E7]. A network of authorities, academics</w:t>
            </w:r>
            <w:r w:rsidR="004E21DF">
              <w:rPr>
                <w:b w:val="0"/>
                <w:bCs/>
                <w:color w:val="000000" w:themeColor="text1"/>
                <w:lang w:val="en-GB"/>
              </w:rPr>
              <w:t>,</w:t>
            </w:r>
            <w:r w:rsidRPr="00B74C0B">
              <w:rPr>
                <w:b w:val="0"/>
                <w:bCs/>
                <w:color w:val="000000" w:themeColor="text1"/>
                <w:lang w:val="en-GB"/>
              </w:rPr>
              <w:t xml:space="preserve"> and relevant institutions (e.g., Hydrometeorological Institute</w:t>
            </w:r>
            <w:r>
              <w:rPr>
                <w:b w:val="0"/>
                <w:color w:val="000000" w:themeColor="text1"/>
                <w:lang w:val="en-GB"/>
              </w:rPr>
              <w:t xml:space="preserve"> or Czech Academy of Sciences</w:t>
            </w:r>
            <w:r w:rsidRPr="00B74C0B">
              <w:rPr>
                <w:b w:val="0"/>
                <w:bCs/>
                <w:color w:val="000000" w:themeColor="text1"/>
                <w:lang w:val="en-GB"/>
              </w:rPr>
              <w:t>) could be institutionalised [E1] to ensure regular exchanges on data repositories for the application of the DNSH principle (these are currently decentralised), and on the state of research on challenging sectors and environmental integrity</w:t>
            </w:r>
            <w:r>
              <w:rPr>
                <w:b w:val="0"/>
                <w:bCs/>
                <w:color w:val="000000" w:themeColor="text1"/>
                <w:lang w:val="en-GB"/>
              </w:rPr>
              <w:t xml:space="preserve"> – this could be built on the model of current practices in Czechia for the application of CP</w:t>
            </w:r>
            <w:r w:rsidRPr="00B74C0B">
              <w:rPr>
                <w:b w:val="0"/>
                <w:bCs/>
                <w:color w:val="000000" w:themeColor="text1"/>
                <w:lang w:val="en-GB"/>
              </w:rPr>
              <w:t>. This would allow to address these topics -which have been highlighted as challenges during consultations- in a central, yet flexible manner.</w:t>
            </w:r>
            <w:r w:rsidR="004E7DBF">
              <w:rPr>
                <w:b w:val="0"/>
                <w:bCs/>
                <w:color w:val="000000" w:themeColor="text1"/>
                <w:lang w:val="en-GB"/>
              </w:rPr>
              <w:t xml:space="preserve"> </w:t>
            </w:r>
            <w:r w:rsidRPr="00B74C0B">
              <w:rPr>
                <w:b w:val="0"/>
                <w:bCs/>
                <w:color w:val="000000" w:themeColor="text1"/>
                <w:lang w:val="en-GB"/>
              </w:rPr>
              <w:t>Similar to other practices, the replication of the inter-federal DNSH network could be hindered by the lack of resources for both participants and a secretariat [E2].</w:t>
            </w:r>
          </w:p>
        </w:tc>
      </w:tr>
    </w:tbl>
    <w:p w14:paraId="575178A2" w14:textId="77777777" w:rsidR="00FA11F9" w:rsidRPr="00D14EF7" w:rsidRDefault="00FA11F9" w:rsidP="00BB10A5">
      <w:pPr>
        <w:ind w:left="0"/>
        <w:rPr>
          <w:lang w:val="en-GB"/>
        </w:rPr>
      </w:pPr>
    </w:p>
    <w:p w14:paraId="2F3E3D10" w14:textId="241ACA49" w:rsidR="00B62D69" w:rsidRDefault="00E226B1" w:rsidP="00B62D69">
      <w:pPr>
        <w:pStyle w:val="Nadpis2"/>
      </w:pPr>
      <w:bookmarkStart w:id="25" w:name="_Toc131775836"/>
      <w:r>
        <w:t xml:space="preserve">Implementation of simplified and </w:t>
      </w:r>
      <w:r w:rsidR="00722BEA">
        <w:t>detailed</w:t>
      </w:r>
      <w:r>
        <w:t xml:space="preserve"> DNSH assessments</w:t>
      </w:r>
      <w:bookmarkEnd w:id="25"/>
    </w:p>
    <w:p w14:paraId="12AA58DD" w14:textId="282478E9" w:rsidR="00B62D69" w:rsidRDefault="00C83870" w:rsidP="00C83870">
      <w:pPr>
        <w:pStyle w:val="Nadpis3"/>
        <w:tabs>
          <w:tab w:val="clear" w:pos="851"/>
          <w:tab w:val="left" w:pos="567"/>
        </w:tabs>
        <w:ind w:left="567" w:hanging="567"/>
      </w:pPr>
      <w:bookmarkStart w:id="26" w:name="_Toc131775837"/>
      <w:r>
        <w:t>Context</w:t>
      </w:r>
      <w:r w:rsidR="00B62D69">
        <w:t xml:space="preserve"> of the challenge</w:t>
      </w:r>
      <w:bookmarkEnd w:id="26"/>
    </w:p>
    <w:p w14:paraId="63897379" w14:textId="19775952" w:rsidR="000D2F79" w:rsidRDefault="000D2F79" w:rsidP="00C83870">
      <w:r>
        <w:t>The second webinar focused on the experiences and lessons learned from conducting both simplified and detailed DNSH assessments. More specifically, discussions centered on the following issues:</w:t>
      </w:r>
    </w:p>
    <w:p w14:paraId="2B1FD8AD" w14:textId="4B26F628" w:rsidR="000D2F79" w:rsidRDefault="000D2F79" w:rsidP="004E7DBF">
      <w:pPr>
        <w:pStyle w:val="Bulletpoint"/>
        <w:ind w:left="851" w:hanging="284"/>
      </w:pPr>
      <w:r w:rsidRPr="00457DD2">
        <w:rPr>
          <w:b/>
          <w:bCs/>
        </w:rPr>
        <w:t xml:space="preserve">Development of efficient ex-ante </w:t>
      </w:r>
      <w:r w:rsidR="00702F48">
        <w:rPr>
          <w:b/>
          <w:bCs/>
        </w:rPr>
        <w:t xml:space="preserve">screening </w:t>
      </w:r>
      <w:r w:rsidRPr="00457DD2">
        <w:rPr>
          <w:b/>
          <w:bCs/>
        </w:rPr>
        <w:t>methodologies</w:t>
      </w:r>
      <w:r w:rsidR="001E582F">
        <w:rPr>
          <w:b/>
          <w:bCs/>
        </w:rPr>
        <w:t xml:space="preserve">, </w:t>
      </w:r>
      <w:r w:rsidR="001E582F" w:rsidRPr="00677B94">
        <w:t xml:space="preserve">considering </w:t>
      </w:r>
      <w:r w:rsidR="00677B94" w:rsidRPr="00677B94">
        <w:t>differences of DNSH guidelines</w:t>
      </w:r>
      <w:r w:rsidR="001E582F" w:rsidRPr="00677B94">
        <w:t xml:space="preserve"> across different EU Funds</w:t>
      </w:r>
      <w:r w:rsidR="004B571E">
        <w:t xml:space="preserve">, and noting that a portion of </w:t>
      </w:r>
      <w:r w:rsidR="004878B6">
        <w:t xml:space="preserve">risks </w:t>
      </w:r>
      <w:r w:rsidR="000101E3">
        <w:t>of significant harm pertains to the operational phase of projects</w:t>
      </w:r>
      <w:r w:rsidR="004B571E">
        <w:rPr>
          <w:b/>
          <w:bCs/>
        </w:rPr>
        <w:t>;</w:t>
      </w:r>
    </w:p>
    <w:p w14:paraId="7FC83804" w14:textId="4B041B4B" w:rsidR="000D2F79" w:rsidRDefault="000D2F79" w:rsidP="004E7DBF">
      <w:pPr>
        <w:pStyle w:val="Bulletpoint"/>
        <w:ind w:left="851" w:hanging="284"/>
      </w:pPr>
      <w:r w:rsidRPr="00C83870">
        <w:rPr>
          <w:b/>
          <w:bCs/>
        </w:rPr>
        <w:t>Definition of the concept “significant harm</w:t>
      </w:r>
      <w:r w:rsidR="00895884">
        <w:rPr>
          <w:b/>
          <w:bCs/>
        </w:rPr>
        <w:t>”</w:t>
      </w:r>
      <w:r w:rsidR="00471280">
        <w:rPr>
          <w:b/>
          <w:bCs/>
        </w:rPr>
        <w:t xml:space="preserve"> and of “sufficient” DNSH assessments</w:t>
      </w:r>
      <w:r w:rsidRPr="00C83870">
        <w:rPr>
          <w:b/>
          <w:bCs/>
        </w:rPr>
        <w:t>,</w:t>
      </w:r>
      <w:r>
        <w:t xml:space="preserve"> while ensuring that environmental integrity is not breached</w:t>
      </w:r>
      <w:r w:rsidR="0011140C">
        <w:t xml:space="preserve"> (for instance, </w:t>
      </w:r>
      <w:r w:rsidR="00E646A6">
        <w:t xml:space="preserve">the Finnish Climate Fund suggests that </w:t>
      </w:r>
      <w:r w:rsidR="00C852A5">
        <w:t>th</w:t>
      </w:r>
      <w:r w:rsidR="004B571E">
        <w:t>is could be done through the</w:t>
      </w:r>
      <w:r w:rsidR="00C852A5">
        <w:t xml:space="preserve"> design of benchmarks</w:t>
      </w:r>
      <w:r w:rsidR="00A07479">
        <w:t xml:space="preserve"> or of an accreditation of external advisors</w:t>
      </w:r>
      <w:r w:rsidR="004B571E">
        <w:t>);</w:t>
      </w:r>
    </w:p>
    <w:p w14:paraId="1AAB2ABA" w14:textId="3CEDEC4A" w:rsidR="005776D5" w:rsidRPr="004E7DBF" w:rsidRDefault="000D2F79" w:rsidP="00DE4FEF">
      <w:pPr>
        <w:pStyle w:val="Bulletpoint"/>
        <w:ind w:left="851" w:hanging="284"/>
      </w:pPr>
      <w:r w:rsidRPr="00457DD2">
        <w:rPr>
          <w:b/>
          <w:bCs/>
        </w:rPr>
        <w:t xml:space="preserve">Strike for </w:t>
      </w:r>
      <w:r w:rsidR="004E21DF">
        <w:rPr>
          <w:b/>
          <w:bCs/>
        </w:rPr>
        <w:t xml:space="preserve">a </w:t>
      </w:r>
      <w:r w:rsidRPr="00457DD2">
        <w:rPr>
          <w:b/>
          <w:bCs/>
        </w:rPr>
        <w:t>balance between standardization and sector-relevant questions</w:t>
      </w:r>
      <w:r>
        <w:t>, acknowledging the importance of program and project typology in determining which DNSH assessment type is most appropriate</w:t>
      </w:r>
      <w:r w:rsidR="004B571E">
        <w:t>.</w:t>
      </w:r>
    </w:p>
    <w:p w14:paraId="65255FE2" w14:textId="185097CC" w:rsidR="00DC20CF" w:rsidRPr="00DC20CF" w:rsidRDefault="000D2F79" w:rsidP="00DC20CF">
      <w:pPr>
        <w:rPr>
          <w:lang w:val="en-GB"/>
        </w:rPr>
      </w:pPr>
      <w:r w:rsidRPr="006E03C8">
        <w:rPr>
          <w:lang w:val="en-GB"/>
        </w:rPr>
        <w:lastRenderedPageBreak/>
        <w:t>Additionally, the webinar provided a</w:t>
      </w:r>
      <w:r w:rsidR="004E21DF">
        <w:rPr>
          <w:lang w:val="en-GB"/>
        </w:rPr>
        <w:t>n opportunity</w:t>
      </w:r>
      <w:r w:rsidRPr="006E03C8">
        <w:rPr>
          <w:lang w:val="en-GB"/>
        </w:rPr>
        <w:t xml:space="preserve"> to explore how </w:t>
      </w:r>
      <w:r w:rsidR="00880AE0" w:rsidRPr="00880AE0">
        <w:rPr>
          <w:b/>
          <w:bCs/>
          <w:lang w:val="en-GB"/>
        </w:rPr>
        <w:t xml:space="preserve">(national) </w:t>
      </w:r>
      <w:r w:rsidRPr="00880AE0">
        <w:rPr>
          <w:b/>
          <w:lang w:val="en-GB"/>
        </w:rPr>
        <w:t>legal frameworks</w:t>
      </w:r>
      <w:r w:rsidRPr="006E03C8">
        <w:rPr>
          <w:lang w:val="en-GB"/>
        </w:rPr>
        <w:t xml:space="preserve"> could be used to </w:t>
      </w:r>
      <w:r w:rsidR="00A07479">
        <w:rPr>
          <w:lang w:val="en-GB"/>
        </w:rPr>
        <w:t>clarify,</w:t>
      </w:r>
      <w:r w:rsidRPr="006E03C8">
        <w:rPr>
          <w:lang w:val="en-GB"/>
        </w:rPr>
        <w:t xml:space="preserve"> transform and/or simplify DNSH </w:t>
      </w:r>
      <w:r>
        <w:rPr>
          <w:lang w:val="en-GB"/>
        </w:rPr>
        <w:t>assessments</w:t>
      </w:r>
      <w:r w:rsidRPr="006E03C8">
        <w:rPr>
          <w:lang w:val="en-GB"/>
        </w:rPr>
        <w:t>, as well as to explore concerns related to later phases of the DNSH evaluation process that are still in the works, particularly the monitorization phase.</w:t>
      </w:r>
    </w:p>
    <w:p w14:paraId="70C82976" w14:textId="77777777" w:rsidR="00173D84" w:rsidRPr="00DC20CF" w:rsidRDefault="00173D84" w:rsidP="00DC20CF">
      <w:pPr>
        <w:rPr>
          <w:lang w:val="en-GB"/>
        </w:rPr>
      </w:pPr>
    </w:p>
    <w:p w14:paraId="1978CE3B" w14:textId="3C01A50D" w:rsidR="00B62D69" w:rsidRDefault="00B62D69" w:rsidP="00880AE0">
      <w:pPr>
        <w:pStyle w:val="Nadpis3"/>
        <w:tabs>
          <w:tab w:val="clear" w:pos="851"/>
          <w:tab w:val="left" w:pos="567"/>
        </w:tabs>
        <w:ind w:left="567" w:hanging="567"/>
      </w:pPr>
      <w:bookmarkStart w:id="27" w:name="_Toc131775838"/>
      <w:r>
        <w:t>Presentation of the focus cases</w:t>
      </w:r>
      <w:bookmarkEnd w:id="27"/>
    </w:p>
    <w:p w14:paraId="74419711" w14:textId="77777777" w:rsidR="00AC08FC" w:rsidRDefault="00AC08FC" w:rsidP="00AC08FC">
      <w:pPr>
        <w:rPr>
          <w:lang w:val="en-GB"/>
        </w:rPr>
      </w:pPr>
      <w:r w:rsidRPr="00D11E70">
        <w:rPr>
          <w:lang w:val="en-GB"/>
        </w:rPr>
        <w:t xml:space="preserve">The second webinar focused on </w:t>
      </w:r>
      <w:r w:rsidRPr="00FA2597">
        <w:rPr>
          <w:b/>
          <w:lang w:val="en-GB"/>
        </w:rPr>
        <w:t>Slovakia</w:t>
      </w:r>
      <w:r w:rsidRPr="00D11E70">
        <w:rPr>
          <w:lang w:val="en-GB"/>
        </w:rPr>
        <w:t xml:space="preserve"> and </w:t>
      </w:r>
      <w:r w:rsidRPr="00FA2597">
        <w:rPr>
          <w:b/>
          <w:lang w:val="en-GB"/>
        </w:rPr>
        <w:t>Finland</w:t>
      </w:r>
      <w:r w:rsidRPr="00D11E70">
        <w:rPr>
          <w:lang w:val="en-GB"/>
        </w:rPr>
        <w:t xml:space="preserve"> as case studies, selected based on their identified good practices and differences in implementation methodologies. Finland implemented a more centralized approach to DNSH by incorporating the DNSH principle into their national legislative framework. In contrast, Slovakia chose a more decentralized approach that facilitated the development of a detailed process for DNSH assessment for buildings covered by the RRF. By presenting and comparing these focus </w:t>
      </w:r>
      <w:r w:rsidR="00B62D69" w:rsidRPr="00D11E70">
        <w:rPr>
          <w:lang w:val="en-GB"/>
        </w:rPr>
        <w:t>cases</w:t>
      </w:r>
      <w:r w:rsidRPr="00D11E70">
        <w:rPr>
          <w:lang w:val="en-GB"/>
        </w:rPr>
        <w:t>, it was possible to identify the benefits and drawbacks of centralized versus decentralized approaches to DNSH implementation.</w:t>
      </w:r>
    </w:p>
    <w:p w14:paraId="134D6FC6" w14:textId="77777777" w:rsidR="00AC08FC" w:rsidRDefault="00AC08FC" w:rsidP="00AC08FC">
      <w:pPr>
        <w:rPr>
          <w:lang w:val="en-GB"/>
        </w:rPr>
      </w:pPr>
    </w:p>
    <w:p w14:paraId="1CC5B781" w14:textId="264064A4" w:rsidR="00AC08FC" w:rsidRPr="00C8719B" w:rsidRDefault="00B645EB" w:rsidP="00AC08FC">
      <w:r>
        <w:rPr>
          <w:rFonts w:eastAsiaTheme="majorEastAsia" w:cstheme="majorBidi"/>
          <w:b/>
          <w:bCs/>
          <w:iCs/>
          <w:color w:val="F04E30"/>
        </w:rPr>
        <w:t>Sector</w:t>
      </w:r>
      <w:r w:rsidR="00FD51BE">
        <w:rPr>
          <w:rFonts w:eastAsiaTheme="majorEastAsia" w:cstheme="majorBidi"/>
          <w:b/>
          <w:bCs/>
          <w:iCs/>
          <w:color w:val="F04E30"/>
        </w:rPr>
        <w:t xml:space="preserve"> approach</w:t>
      </w:r>
      <w:r w:rsidR="00AC08FC" w:rsidRPr="00C8719B">
        <w:rPr>
          <w:rFonts w:eastAsiaTheme="majorEastAsia" w:cstheme="majorBidi"/>
          <w:b/>
          <w:bCs/>
          <w:iCs/>
          <w:color w:val="F04E30"/>
        </w:rPr>
        <w:t xml:space="preserve"> </w:t>
      </w:r>
      <w:r w:rsidR="00BB4E6F">
        <w:rPr>
          <w:rFonts w:eastAsiaTheme="majorEastAsia" w:cstheme="majorBidi"/>
          <w:b/>
          <w:bCs/>
          <w:iCs/>
          <w:color w:val="F04E30"/>
        </w:rPr>
        <w:t>to DNSH assessment</w:t>
      </w:r>
      <w:r w:rsidR="0088732C">
        <w:rPr>
          <w:rFonts w:eastAsiaTheme="majorEastAsia" w:cstheme="majorBidi"/>
          <w:b/>
          <w:bCs/>
          <w:iCs/>
          <w:color w:val="F04E30"/>
        </w:rPr>
        <w:t xml:space="preserve">s </w:t>
      </w:r>
      <w:r w:rsidR="00AC08FC" w:rsidRPr="00C8719B">
        <w:rPr>
          <w:rFonts w:eastAsiaTheme="majorEastAsia" w:cstheme="majorBidi"/>
          <w:b/>
          <w:bCs/>
          <w:iCs/>
          <w:color w:val="F04E30"/>
        </w:rPr>
        <w:t>for buildings</w:t>
      </w:r>
      <w:r w:rsidR="00AC08FC">
        <w:rPr>
          <w:rFonts w:eastAsiaTheme="majorEastAsia" w:cstheme="majorBidi"/>
          <w:b/>
          <w:bCs/>
          <w:iCs/>
          <w:color w:val="F04E30"/>
        </w:rPr>
        <w:t xml:space="preserve"> (Slovakia)</w:t>
      </w:r>
    </w:p>
    <w:p w14:paraId="681D88A8" w14:textId="01647B1C" w:rsidR="00AC08FC" w:rsidRDefault="00AC08FC" w:rsidP="00AC08FC">
      <w:r>
        <w:t>The DNSH governance structure for RRF in Slovakia operates in a decentralized manner. The responsibility for implementing the DNSH principle in RRF falls on the Office of Government (OoG)</w:t>
      </w:r>
      <w:r w:rsidR="00F861AD">
        <w:t xml:space="preserve"> of Slovakia</w:t>
      </w:r>
      <w:r>
        <w:t>. To enhance the efficiency of this process, three ministries have been appointed as intermediaries, and an independent technical advisory body has been established. In general, the ministries abide by the OoG's DNSH guidelines for RRF. However, larger ministries have started to devise their own strategies to address specific needs and demands.</w:t>
      </w:r>
    </w:p>
    <w:p w14:paraId="50108918" w14:textId="77777777" w:rsidR="00AC08FC" w:rsidRDefault="00AC08FC" w:rsidP="00AC08FC"/>
    <w:p w14:paraId="55794504" w14:textId="7A674694" w:rsidR="00B832AA" w:rsidRDefault="00AC08FC" w:rsidP="00AC08FC">
      <w:r>
        <w:t xml:space="preserve">The most </w:t>
      </w:r>
      <w:r w:rsidRPr="008508B3">
        <w:t xml:space="preserve">comprehensive </w:t>
      </w:r>
      <w:r w:rsidR="00EA08F4">
        <w:t xml:space="preserve">and granular </w:t>
      </w:r>
      <w:r>
        <w:t xml:space="preserve">methodology </w:t>
      </w:r>
      <w:r w:rsidRPr="008508B3">
        <w:t xml:space="preserve">to DNSH </w:t>
      </w:r>
      <w:r w:rsidR="004E21DF">
        <w:t xml:space="preserve">application </w:t>
      </w:r>
      <w:r>
        <w:t>in Slovakia was developed for investments</w:t>
      </w:r>
      <w:r w:rsidR="004E21DF">
        <w:t xml:space="preserve"> in buildings</w:t>
      </w:r>
      <w:r>
        <w:t xml:space="preserve">. </w:t>
      </w:r>
      <w:r w:rsidRPr="008508B3">
        <w:t xml:space="preserve">This is largely due to the allocation of a significant portion of </w:t>
      </w:r>
      <w:r w:rsidR="001C5514">
        <w:t xml:space="preserve">Slovakia’s </w:t>
      </w:r>
      <w:r w:rsidRPr="008508B3">
        <w:t xml:space="preserve">RRF funds, amounting to 2.7 billion </w:t>
      </w:r>
      <w:r w:rsidR="001C5514">
        <w:t>Euro,</w:t>
      </w:r>
      <w:r w:rsidRPr="008508B3">
        <w:t xml:space="preserve"> towards building investments. As building investments are coordinated across various ministries, it is the responsibility of the OoG to oversee the DNSH process for buildings.</w:t>
      </w:r>
      <w:r>
        <w:t xml:space="preserve"> </w:t>
      </w:r>
      <w:r w:rsidRPr="008508B3">
        <w:t xml:space="preserve">This methodology includes its </w:t>
      </w:r>
      <w:r w:rsidRPr="00F861AD">
        <w:rPr>
          <w:b/>
        </w:rPr>
        <w:t>own handbook with guidelines and templates for assessment and financing conditions</w:t>
      </w:r>
      <w:r>
        <w:t xml:space="preserve">. </w:t>
      </w:r>
      <w:r w:rsidRPr="00D11E70">
        <w:t>Th</w:t>
      </w:r>
      <w:r>
        <w:t>e</w:t>
      </w:r>
      <w:r w:rsidRPr="00D11E70">
        <w:t xml:space="preserve"> process adheres to the DNSH guidelines outlined in the RRF</w:t>
      </w:r>
      <w:r>
        <w:t xml:space="preserve"> </w:t>
      </w:r>
      <w:r w:rsidR="00FC5B4F">
        <w:t>R</w:t>
      </w:r>
      <w:r>
        <w:t>egulation</w:t>
      </w:r>
      <w:r w:rsidRPr="00D11E70">
        <w:t xml:space="preserve"> and incorporates green tag conditions that establish verification mechanisms, ensuring consistency with climate mitigation efforts and the minimum safeguards required for the other five European environmental goals. In addition, a checklist has been developed to assist ministries in aligning their open calls with the DNSH principle. According to the Slovak representative, this checklist ensures that the criteria for different types of calls involving building investments are relevant.</w:t>
      </w:r>
      <w:r>
        <w:t xml:space="preserve"> </w:t>
      </w:r>
    </w:p>
    <w:p w14:paraId="0CD62730" w14:textId="77777777" w:rsidR="00B832AA" w:rsidRDefault="00B832AA" w:rsidP="00AC08FC"/>
    <w:p w14:paraId="2568456C" w14:textId="1F3C0A55" w:rsidR="00AC08FC" w:rsidRDefault="00AC08FC" w:rsidP="00AC08FC">
      <w:r>
        <w:t xml:space="preserve">More specifically, the following conditions were defined </w:t>
      </w:r>
      <w:r w:rsidR="004E21DF">
        <w:t>to</w:t>
      </w:r>
      <w:r>
        <w:t xml:space="preserve"> guarantee that building investments are aligned with the DNSH principle: </w:t>
      </w:r>
    </w:p>
    <w:p w14:paraId="2C3C02B3" w14:textId="307808CD" w:rsidR="00AC08FC" w:rsidRPr="0000147E" w:rsidRDefault="00AC08FC" w:rsidP="00B832AA">
      <w:pPr>
        <w:pStyle w:val="Odstavecseseznamem"/>
        <w:numPr>
          <w:ilvl w:val="0"/>
          <w:numId w:val="47"/>
        </w:numPr>
        <w:ind w:left="1134" w:hanging="283"/>
      </w:pPr>
      <w:r w:rsidRPr="0000147E">
        <w:t>Exclusion criteria</w:t>
      </w:r>
      <w:r w:rsidR="00791B9E">
        <w:t>;</w:t>
      </w:r>
    </w:p>
    <w:p w14:paraId="154044ED" w14:textId="37C116C5" w:rsidR="00AC08FC" w:rsidRDefault="00AC08FC" w:rsidP="00B832AA">
      <w:pPr>
        <w:pStyle w:val="Odstavecseseznamem"/>
        <w:numPr>
          <w:ilvl w:val="0"/>
          <w:numId w:val="47"/>
        </w:numPr>
        <w:ind w:left="1134" w:hanging="283"/>
      </w:pPr>
      <w:r>
        <w:t xml:space="preserve">Technical </w:t>
      </w:r>
      <w:r w:rsidR="00081958">
        <w:t xml:space="preserve">specifications relevant </w:t>
      </w:r>
      <w:r w:rsidR="00832930">
        <w:t>to the construction sector</w:t>
      </w:r>
      <w:r w:rsidR="00C846D2">
        <w:t xml:space="preserve"> (e.g., about the quality of the materials used)</w:t>
      </w:r>
      <w:r w:rsidR="00791B9E">
        <w:t>;</w:t>
      </w:r>
    </w:p>
    <w:p w14:paraId="5DA0FEE7" w14:textId="02F42A41" w:rsidR="00AC08FC" w:rsidRDefault="00AC08FC" w:rsidP="00B832AA">
      <w:pPr>
        <w:pStyle w:val="Odstavecseseznamem"/>
        <w:numPr>
          <w:ilvl w:val="0"/>
          <w:numId w:val="47"/>
        </w:numPr>
        <w:ind w:left="1134" w:hanging="283"/>
      </w:pPr>
      <w:r>
        <w:t xml:space="preserve">Conditions that require consistency of current </w:t>
      </w:r>
      <w:r w:rsidR="003D3017">
        <w:t xml:space="preserve">(national) </w:t>
      </w:r>
      <w:r>
        <w:t>legislation</w:t>
      </w:r>
      <w:r w:rsidR="00791B9E">
        <w:t>;</w:t>
      </w:r>
    </w:p>
    <w:p w14:paraId="045FD6B6" w14:textId="05934CDA" w:rsidR="00AC08FC" w:rsidRDefault="00AC08FC" w:rsidP="00B832AA">
      <w:pPr>
        <w:pStyle w:val="Odstavecseseznamem"/>
        <w:numPr>
          <w:ilvl w:val="0"/>
          <w:numId w:val="47"/>
        </w:numPr>
        <w:ind w:left="1134" w:hanging="283"/>
      </w:pPr>
      <w:r>
        <w:t>Recommendations</w:t>
      </w:r>
      <w:r w:rsidR="00791B9E">
        <w:t>.</w:t>
      </w:r>
    </w:p>
    <w:p w14:paraId="0B6A5225" w14:textId="77777777" w:rsidR="00266544" w:rsidRDefault="00266544" w:rsidP="00F55FC4">
      <w:pPr>
        <w:tabs>
          <w:tab w:val="left" w:pos="851"/>
        </w:tabs>
      </w:pPr>
    </w:p>
    <w:p w14:paraId="0175D410" w14:textId="4791F133" w:rsidR="00AC08FC" w:rsidRPr="0000147E" w:rsidRDefault="00AC08FC" w:rsidP="00AC08FC">
      <w:pPr>
        <w:tabs>
          <w:tab w:val="left" w:pos="851"/>
        </w:tabs>
      </w:pPr>
      <w:r>
        <w:t>To further support the DNSH assessment</w:t>
      </w:r>
      <w:r w:rsidR="004E21DF">
        <w:t>,</w:t>
      </w:r>
      <w:r>
        <w:t xml:space="preserve"> a specific handbook is being developed on </w:t>
      </w:r>
      <w:r w:rsidRPr="00B721B9">
        <w:rPr>
          <w:b/>
        </w:rPr>
        <w:t>construction waste</w:t>
      </w:r>
      <w:r>
        <w:t xml:space="preserve"> to support managing authorities in assuring the </w:t>
      </w:r>
      <w:r w:rsidRPr="00435443">
        <w:rPr>
          <w:b/>
        </w:rPr>
        <w:t>70% minimum recycling threshold</w:t>
      </w:r>
      <w:r>
        <w:t xml:space="preserve"> defined </w:t>
      </w:r>
      <w:r w:rsidR="00F55FC4">
        <w:t>EU</w:t>
      </w:r>
      <w:r w:rsidR="003D58FD">
        <w:t xml:space="preserve"> </w:t>
      </w:r>
      <w:r>
        <w:t>Taxonomy</w:t>
      </w:r>
      <w:r w:rsidR="00F55FC4">
        <w:t xml:space="preserve"> Climate Delegated Act</w:t>
      </w:r>
      <w:r>
        <w:t>.</w:t>
      </w:r>
      <w:r w:rsidR="003D58FD">
        <w:t xml:space="preserve"> </w:t>
      </w:r>
      <w:r w:rsidRPr="008A0647">
        <w:t xml:space="preserve">Although other types of investments may differ, it is anticipated that </w:t>
      </w:r>
      <w:r w:rsidRPr="008A0647">
        <w:lastRenderedPageBreak/>
        <w:t>the comprehensive DNSH guidelines developed for buildings will provide valuable insights and serve as a model for creating specific guidelines in other investment areas.</w:t>
      </w:r>
    </w:p>
    <w:p w14:paraId="74EEC6E4" w14:textId="77777777" w:rsidR="00863C10" w:rsidRDefault="00863C10" w:rsidP="00AC08FC">
      <w:pPr>
        <w:tabs>
          <w:tab w:val="left" w:pos="851"/>
        </w:tabs>
      </w:pPr>
    </w:p>
    <w:p w14:paraId="3B17388D" w14:textId="2A14E160" w:rsidR="00D8548C" w:rsidRPr="000262DE" w:rsidRDefault="00863C10" w:rsidP="00D8548C">
      <w:pPr>
        <w:rPr>
          <w:rFonts w:eastAsiaTheme="majorEastAsia" w:cstheme="majorBidi"/>
          <w:b/>
          <w:color w:val="F04E30"/>
        </w:rPr>
      </w:pPr>
      <w:r w:rsidRPr="00594811">
        <w:rPr>
          <w:rFonts w:eastAsiaTheme="majorEastAsia" w:cstheme="majorBidi"/>
          <w:b/>
          <w:bCs/>
          <w:iCs/>
          <w:color w:val="F04E30"/>
        </w:rPr>
        <w:t>Priority order law for environmental permitting (Finland)</w:t>
      </w:r>
    </w:p>
    <w:p w14:paraId="04E14E0C" w14:textId="494BF8D4" w:rsidR="00D8548C" w:rsidRPr="001171C3" w:rsidRDefault="00D8548C" w:rsidP="00D8548C">
      <w:pPr>
        <w:rPr>
          <w:lang w:val="en-GB"/>
        </w:rPr>
      </w:pPr>
      <w:r w:rsidRPr="0016614E">
        <w:rPr>
          <w:lang w:val="en-GB"/>
        </w:rPr>
        <w:t xml:space="preserve">The DNSH principle was identified as a useful overarching criterion to cover all aspects of environmental integrity </w:t>
      </w:r>
      <w:r w:rsidR="00757C09">
        <w:rPr>
          <w:lang w:val="en-GB"/>
        </w:rPr>
        <w:t>during</w:t>
      </w:r>
      <w:r w:rsidRPr="0016614E">
        <w:rPr>
          <w:lang w:val="en-GB"/>
        </w:rPr>
        <w:t xml:space="preserve"> the </w:t>
      </w:r>
      <w:r w:rsidR="00757C09">
        <w:rPr>
          <w:lang w:val="en-GB"/>
        </w:rPr>
        <w:t>implementation of Finland’s RRF funds.</w:t>
      </w:r>
      <w:r>
        <w:rPr>
          <w:lang w:val="en-GB"/>
        </w:rPr>
        <w:t xml:space="preserve"> </w:t>
      </w:r>
      <w:r w:rsidR="00F16757">
        <w:rPr>
          <w:lang w:val="en-GB"/>
        </w:rPr>
        <w:t>The inter-ministerial working group on financing the green transition in Finland</w:t>
      </w:r>
      <w:r w:rsidR="00343EDF">
        <w:rPr>
          <w:lang w:val="en-GB"/>
        </w:rPr>
        <w:t xml:space="preserve"> concluded</w:t>
      </w:r>
      <w:r w:rsidRPr="0016614E">
        <w:rPr>
          <w:lang w:val="en-GB"/>
        </w:rPr>
        <w:t xml:space="preserve"> that </w:t>
      </w:r>
      <w:r w:rsidR="009C6211">
        <w:rPr>
          <w:lang w:val="en-GB"/>
        </w:rPr>
        <w:t>the (rather long) environmental</w:t>
      </w:r>
      <w:r w:rsidRPr="0016614E">
        <w:rPr>
          <w:lang w:val="en-GB"/>
        </w:rPr>
        <w:t xml:space="preserve"> permitting, particularly for energy-related investments</w:t>
      </w:r>
      <w:r w:rsidR="00487B3F">
        <w:rPr>
          <w:lang w:val="en-GB"/>
        </w:rPr>
        <w:t xml:space="preserve"> under</w:t>
      </w:r>
      <w:r w:rsidR="00690FF8">
        <w:rPr>
          <w:lang w:val="en-GB"/>
        </w:rPr>
        <w:t xml:space="preserve"> the</w:t>
      </w:r>
      <w:r w:rsidR="00F91ECE">
        <w:rPr>
          <w:lang w:val="en-GB"/>
        </w:rPr>
        <w:t xml:space="preserve"> </w:t>
      </w:r>
      <w:r w:rsidR="00487B3F">
        <w:rPr>
          <w:lang w:val="en-GB"/>
        </w:rPr>
        <w:t>RRF</w:t>
      </w:r>
      <w:r w:rsidR="0038759A">
        <w:rPr>
          <w:lang w:val="en-GB"/>
        </w:rPr>
        <w:t>, could</w:t>
      </w:r>
      <w:r w:rsidR="00690FF8">
        <w:rPr>
          <w:lang w:val="en-GB"/>
        </w:rPr>
        <w:t xml:space="preserve"> hinder the</w:t>
      </w:r>
      <w:r w:rsidR="00F91ECE">
        <w:rPr>
          <w:lang w:val="en-GB"/>
        </w:rPr>
        <w:t xml:space="preserve"> fast implementation</w:t>
      </w:r>
      <w:r w:rsidR="00367DBE">
        <w:rPr>
          <w:lang w:val="en-GB"/>
        </w:rPr>
        <w:t xml:space="preserve"> of (large) infrastructure projects which are needed for</w:t>
      </w:r>
      <w:r w:rsidR="00CA3BE9">
        <w:rPr>
          <w:lang w:val="en-GB"/>
        </w:rPr>
        <w:t xml:space="preserve"> scaling up the green transition in Finland</w:t>
      </w:r>
      <w:r w:rsidRPr="0016614E">
        <w:rPr>
          <w:lang w:val="en-GB"/>
        </w:rPr>
        <w:t xml:space="preserve">. </w:t>
      </w:r>
      <w:r w:rsidR="00CA7706">
        <w:rPr>
          <w:lang w:val="en-GB"/>
        </w:rPr>
        <w:t>To</w:t>
      </w:r>
      <w:r w:rsidRPr="0016614E">
        <w:rPr>
          <w:lang w:val="en-GB"/>
        </w:rPr>
        <w:t xml:space="preserve"> overcome this obstacle, a </w:t>
      </w:r>
      <w:r w:rsidR="00FF7A8E">
        <w:rPr>
          <w:lang w:val="en-GB"/>
        </w:rPr>
        <w:t>national law</w:t>
      </w:r>
      <w:r w:rsidRPr="0016614E">
        <w:rPr>
          <w:lang w:val="en-GB"/>
        </w:rPr>
        <w:t xml:space="preserve"> was developed </w:t>
      </w:r>
      <w:r w:rsidR="00FF7A8E">
        <w:rPr>
          <w:lang w:val="en-GB"/>
        </w:rPr>
        <w:t>and adopted by the Finnish parliament,</w:t>
      </w:r>
      <w:r w:rsidR="00FF7A8E" w:rsidDel="00CA7706">
        <w:rPr>
          <w:lang w:val="en-GB"/>
        </w:rPr>
        <w:t xml:space="preserve"> </w:t>
      </w:r>
      <w:r w:rsidR="00CA7706">
        <w:rPr>
          <w:lang w:val="en-GB"/>
        </w:rPr>
        <w:t>providing</w:t>
      </w:r>
      <w:r w:rsidR="00D74DC3">
        <w:rPr>
          <w:lang w:val="en-GB"/>
        </w:rPr>
        <w:t xml:space="preserve"> priority to</w:t>
      </w:r>
      <w:r w:rsidR="00EE20B3">
        <w:rPr>
          <w:lang w:val="en-GB"/>
        </w:rPr>
        <w:t xml:space="preserve"> </w:t>
      </w:r>
      <w:r w:rsidR="00775A1B">
        <w:rPr>
          <w:lang w:val="en-GB"/>
        </w:rPr>
        <w:t>(infrastructure) projects</w:t>
      </w:r>
      <w:r w:rsidR="003714AA">
        <w:rPr>
          <w:lang w:val="en-GB"/>
        </w:rPr>
        <w:t xml:space="preserve"> </w:t>
      </w:r>
      <w:r w:rsidR="00D36982">
        <w:rPr>
          <w:lang w:val="en-GB"/>
        </w:rPr>
        <w:t xml:space="preserve">in the environmental permitting process </w:t>
      </w:r>
      <w:r w:rsidR="001B683A">
        <w:rPr>
          <w:lang w:val="en-GB"/>
        </w:rPr>
        <w:t xml:space="preserve">which </w:t>
      </w:r>
      <w:r w:rsidR="00CA7706">
        <w:rPr>
          <w:lang w:val="en-GB"/>
        </w:rPr>
        <w:t>have gone</w:t>
      </w:r>
      <w:r w:rsidR="001B683A">
        <w:rPr>
          <w:lang w:val="en-GB"/>
        </w:rPr>
        <w:t xml:space="preserve"> through a</w:t>
      </w:r>
      <w:r w:rsidRPr="0016614E">
        <w:rPr>
          <w:lang w:val="en-GB"/>
        </w:rPr>
        <w:t xml:space="preserve"> DNSH </w:t>
      </w:r>
      <w:r w:rsidR="003C7496">
        <w:rPr>
          <w:lang w:val="en-GB"/>
        </w:rPr>
        <w:t>assessment</w:t>
      </w:r>
      <w:r>
        <w:rPr>
          <w:lang w:val="en-GB"/>
        </w:rPr>
        <w:t xml:space="preserve">. </w:t>
      </w:r>
      <w:r w:rsidRPr="001171C3">
        <w:rPr>
          <w:lang w:val="en-GB"/>
        </w:rPr>
        <w:t xml:space="preserve">The DNSH principle </w:t>
      </w:r>
      <w:r>
        <w:rPr>
          <w:lang w:val="en-GB"/>
        </w:rPr>
        <w:t>is</w:t>
      </w:r>
      <w:r w:rsidRPr="001171C3">
        <w:rPr>
          <w:lang w:val="en-GB"/>
        </w:rPr>
        <w:t xml:space="preserve"> </w:t>
      </w:r>
      <w:r w:rsidR="00276BBE">
        <w:rPr>
          <w:lang w:val="en-GB"/>
        </w:rPr>
        <w:t>therefore</w:t>
      </w:r>
      <w:r w:rsidRPr="001171C3">
        <w:rPr>
          <w:lang w:val="en-GB"/>
        </w:rPr>
        <w:t xml:space="preserve"> used as a </w:t>
      </w:r>
      <w:r w:rsidR="00276BBE">
        <w:rPr>
          <w:lang w:val="en-GB"/>
        </w:rPr>
        <w:t>“</w:t>
      </w:r>
      <w:r w:rsidRPr="001171C3">
        <w:rPr>
          <w:lang w:val="en-GB"/>
        </w:rPr>
        <w:t>tool</w:t>
      </w:r>
      <w:r w:rsidR="00276BBE">
        <w:rPr>
          <w:lang w:val="en-GB"/>
        </w:rPr>
        <w:t>”</w:t>
      </w:r>
      <w:r w:rsidRPr="001171C3">
        <w:rPr>
          <w:lang w:val="en-GB"/>
        </w:rPr>
        <w:t xml:space="preserve"> for determin</w:t>
      </w:r>
      <w:r w:rsidR="00276BBE">
        <w:rPr>
          <w:lang w:val="en-GB"/>
        </w:rPr>
        <w:t>ing</w:t>
      </w:r>
      <w:r w:rsidRPr="001171C3">
        <w:rPr>
          <w:lang w:val="en-GB"/>
        </w:rPr>
        <w:t xml:space="preserve"> which projects are </w:t>
      </w:r>
      <w:r w:rsidR="00276BBE">
        <w:rPr>
          <w:lang w:val="en-GB"/>
        </w:rPr>
        <w:t>eligible</w:t>
      </w:r>
      <w:r w:rsidRPr="001171C3">
        <w:rPr>
          <w:lang w:val="en-GB"/>
        </w:rPr>
        <w:t xml:space="preserve"> for fast-track handling</w:t>
      </w:r>
      <w:r w:rsidR="00FF18CF">
        <w:rPr>
          <w:lang w:val="en-GB"/>
        </w:rPr>
        <w:t xml:space="preserve"> </w:t>
      </w:r>
      <w:r w:rsidR="00206CC9">
        <w:rPr>
          <w:lang w:val="en-GB"/>
        </w:rPr>
        <w:t xml:space="preserve">of </w:t>
      </w:r>
      <w:r w:rsidR="00FF18CF">
        <w:rPr>
          <w:lang w:val="en-GB"/>
        </w:rPr>
        <w:t>the environmental permit</w:t>
      </w:r>
      <w:r w:rsidR="009E5920">
        <w:rPr>
          <w:lang w:val="en-GB"/>
        </w:rPr>
        <w:t>, as long as the projects fall within the sectoral scope and conditions of the priority order law</w:t>
      </w:r>
      <w:r w:rsidRPr="001171C3">
        <w:rPr>
          <w:lang w:val="en-GB"/>
        </w:rPr>
        <w:t xml:space="preserve">. </w:t>
      </w:r>
      <w:r w:rsidR="005A45FF">
        <w:rPr>
          <w:lang w:val="en-GB"/>
        </w:rPr>
        <w:t>The priority-order process applies to</w:t>
      </w:r>
      <w:r w:rsidR="00543066">
        <w:rPr>
          <w:lang w:val="en-GB"/>
        </w:rPr>
        <w:t xml:space="preserve"> projects funded by </w:t>
      </w:r>
      <w:r w:rsidR="00D176F6">
        <w:rPr>
          <w:lang w:val="en-GB"/>
        </w:rPr>
        <w:t>any fund</w:t>
      </w:r>
      <w:r w:rsidR="00E67DDF">
        <w:rPr>
          <w:lang w:val="en-GB"/>
        </w:rPr>
        <w:t xml:space="preserve">. </w:t>
      </w:r>
      <w:r w:rsidR="00F1567A">
        <w:rPr>
          <w:lang w:val="en-GB"/>
        </w:rPr>
        <w:t>Within the DNSH assessment</w:t>
      </w:r>
      <w:r>
        <w:rPr>
          <w:lang w:val="en-GB"/>
        </w:rPr>
        <w:t xml:space="preserve"> process,</w:t>
      </w:r>
      <w:r w:rsidRPr="000E3537">
        <w:rPr>
          <w:lang w:val="en-GB"/>
        </w:rPr>
        <w:t xml:space="preserve"> no quantitative criteria are used</w:t>
      </w:r>
      <w:r>
        <w:rPr>
          <w:lang w:val="en-GB"/>
        </w:rPr>
        <w:t xml:space="preserve"> (e.g.</w:t>
      </w:r>
      <w:r w:rsidR="00CA7706">
        <w:rPr>
          <w:lang w:val="en-GB"/>
        </w:rPr>
        <w:t>,</w:t>
      </w:r>
      <w:r>
        <w:rPr>
          <w:lang w:val="en-GB"/>
        </w:rPr>
        <w:t xml:space="preserve"> LCAs)</w:t>
      </w:r>
      <w:r w:rsidRPr="000E3537">
        <w:rPr>
          <w:lang w:val="en-GB"/>
        </w:rPr>
        <w:t>,</w:t>
      </w:r>
      <w:r w:rsidR="00A4363A">
        <w:rPr>
          <w:lang w:val="en-GB"/>
        </w:rPr>
        <w:t xml:space="preserve"> although these could</w:t>
      </w:r>
      <w:r w:rsidRPr="000E3537">
        <w:rPr>
          <w:lang w:val="en-GB"/>
        </w:rPr>
        <w:t xml:space="preserve"> be used </w:t>
      </w:r>
      <w:r w:rsidR="00A4363A">
        <w:rPr>
          <w:lang w:val="en-GB"/>
        </w:rPr>
        <w:t>to</w:t>
      </w:r>
      <w:r w:rsidRPr="000E3537">
        <w:rPr>
          <w:lang w:val="en-GB"/>
        </w:rPr>
        <w:t xml:space="preserve"> justify good performance.</w:t>
      </w:r>
      <w:r>
        <w:rPr>
          <w:lang w:val="en-GB"/>
        </w:rPr>
        <w:t xml:space="preserve"> </w:t>
      </w:r>
      <w:r w:rsidRPr="001171C3">
        <w:rPr>
          <w:lang w:val="en-GB"/>
        </w:rPr>
        <w:t>It</w:t>
      </w:r>
      <w:r>
        <w:rPr>
          <w:lang w:val="en-GB"/>
        </w:rPr>
        <w:t xml:space="preserve"> is</w:t>
      </w:r>
      <w:r w:rsidRPr="001171C3">
        <w:rPr>
          <w:lang w:val="en-GB"/>
        </w:rPr>
        <w:t xml:space="preserve"> important to note that the DNSH </w:t>
      </w:r>
      <w:r w:rsidR="00EB6C6F">
        <w:rPr>
          <w:lang w:val="en-GB"/>
        </w:rPr>
        <w:t>assessment as part of the priority law</w:t>
      </w:r>
      <w:r w:rsidRPr="001171C3">
        <w:rPr>
          <w:lang w:val="en-GB"/>
        </w:rPr>
        <w:t xml:space="preserve"> </w:t>
      </w:r>
      <w:r w:rsidR="002356C3">
        <w:rPr>
          <w:lang w:val="en-GB"/>
        </w:rPr>
        <w:t>does</w:t>
      </w:r>
      <w:r w:rsidR="00CA7706">
        <w:rPr>
          <w:lang w:val="en-GB"/>
        </w:rPr>
        <w:t xml:space="preserve"> no</w:t>
      </w:r>
      <w:r w:rsidR="002356C3">
        <w:rPr>
          <w:lang w:val="en-GB"/>
        </w:rPr>
        <w:t>t</w:t>
      </w:r>
      <w:r w:rsidRPr="001171C3">
        <w:rPr>
          <w:lang w:val="en-GB"/>
        </w:rPr>
        <w:t xml:space="preserve"> impact the environmental permit itself or </w:t>
      </w:r>
      <w:r w:rsidR="00CF4483">
        <w:rPr>
          <w:lang w:val="en-GB"/>
        </w:rPr>
        <w:t>the permitting review process</w:t>
      </w:r>
      <w:r w:rsidRPr="001171C3">
        <w:rPr>
          <w:lang w:val="en-GB"/>
        </w:rPr>
        <w:t xml:space="preserve">; </w:t>
      </w:r>
      <w:r>
        <w:rPr>
          <w:lang w:val="en-GB"/>
        </w:rPr>
        <w:t>i</w:t>
      </w:r>
      <w:r w:rsidRPr="00A75082">
        <w:rPr>
          <w:lang w:val="en-GB"/>
        </w:rPr>
        <w:t xml:space="preserve">t only ensures </w:t>
      </w:r>
      <w:r w:rsidR="00F43BA5">
        <w:rPr>
          <w:lang w:val="en-GB"/>
        </w:rPr>
        <w:t>that</w:t>
      </w:r>
      <w:r w:rsidRPr="00A75082">
        <w:rPr>
          <w:lang w:val="en-GB"/>
        </w:rPr>
        <w:t xml:space="preserve"> eligible projects </w:t>
      </w:r>
      <w:r w:rsidR="00A60339">
        <w:rPr>
          <w:lang w:val="en-GB"/>
        </w:rPr>
        <w:t>go through the</w:t>
      </w:r>
      <w:r w:rsidRPr="00A75082">
        <w:rPr>
          <w:lang w:val="en-GB"/>
        </w:rPr>
        <w:t xml:space="preserve"> permitting </w:t>
      </w:r>
      <w:r w:rsidR="00682E83">
        <w:rPr>
          <w:lang w:val="en-GB"/>
        </w:rPr>
        <w:t>process</w:t>
      </w:r>
      <w:r w:rsidRPr="00A75082">
        <w:rPr>
          <w:lang w:val="en-GB"/>
        </w:rPr>
        <w:t xml:space="preserve"> within 12 months.</w:t>
      </w:r>
    </w:p>
    <w:p w14:paraId="527BC726" w14:textId="77777777" w:rsidR="00D8548C" w:rsidRDefault="00D8548C" w:rsidP="00E4633B">
      <w:pPr>
        <w:rPr>
          <w:lang w:val="en-GB"/>
        </w:rPr>
      </w:pPr>
    </w:p>
    <w:p w14:paraId="7193DDC2" w14:textId="26F5650A" w:rsidR="00D8548C" w:rsidRDefault="00D8548C" w:rsidP="00D8548C">
      <w:pPr>
        <w:rPr>
          <w:lang w:val="en-GB"/>
        </w:rPr>
      </w:pPr>
      <w:r w:rsidRPr="0016614E">
        <w:rPr>
          <w:lang w:val="en-GB"/>
        </w:rPr>
        <w:t xml:space="preserve">Implementing this </w:t>
      </w:r>
      <w:r>
        <w:rPr>
          <w:lang w:val="en-GB"/>
        </w:rPr>
        <w:t xml:space="preserve">process </w:t>
      </w:r>
      <w:r w:rsidRPr="0016614E">
        <w:rPr>
          <w:lang w:val="en-GB"/>
        </w:rPr>
        <w:t>requires major capability improvements f</w:t>
      </w:r>
      <w:r>
        <w:rPr>
          <w:lang w:val="en-GB"/>
        </w:rPr>
        <w:t>rom</w:t>
      </w:r>
      <w:r w:rsidRPr="0016614E">
        <w:rPr>
          <w:lang w:val="en-GB"/>
        </w:rPr>
        <w:t xml:space="preserve"> the Regional State Administrative Agencies</w:t>
      </w:r>
      <w:r>
        <w:rPr>
          <w:lang w:val="en-GB"/>
        </w:rPr>
        <w:t>, assigned as</w:t>
      </w:r>
      <w:r w:rsidRPr="00A75082">
        <w:t xml:space="preserve"> </w:t>
      </w:r>
      <w:r>
        <w:t xml:space="preserve">the </w:t>
      </w:r>
      <w:r w:rsidRPr="00A75082">
        <w:rPr>
          <w:lang w:val="en-GB"/>
        </w:rPr>
        <w:t>implementing authorities for th</w:t>
      </w:r>
      <w:r>
        <w:rPr>
          <w:lang w:val="en-GB"/>
        </w:rPr>
        <w:t>is</w:t>
      </w:r>
      <w:r w:rsidRPr="00A75082">
        <w:rPr>
          <w:lang w:val="en-GB"/>
        </w:rPr>
        <w:t xml:space="preserve"> fast-track permitting process</w:t>
      </w:r>
      <w:r>
        <w:rPr>
          <w:lang w:val="en-GB"/>
        </w:rPr>
        <w:t xml:space="preserve">. </w:t>
      </w:r>
      <w:r w:rsidRPr="001171C3">
        <w:rPr>
          <w:lang w:val="en-GB"/>
        </w:rPr>
        <w:t xml:space="preserve">Officials </w:t>
      </w:r>
      <w:r w:rsidR="0052051D">
        <w:rPr>
          <w:lang w:val="en-GB"/>
        </w:rPr>
        <w:t xml:space="preserve">have been trained and </w:t>
      </w:r>
      <w:r w:rsidRPr="001171C3">
        <w:rPr>
          <w:lang w:val="en-GB"/>
        </w:rPr>
        <w:t>receive support</w:t>
      </w:r>
      <w:r w:rsidR="0052051D">
        <w:rPr>
          <w:lang w:val="en-GB"/>
        </w:rPr>
        <w:t xml:space="preserve"> through </w:t>
      </w:r>
      <w:r w:rsidR="005D68F0">
        <w:rPr>
          <w:lang w:val="en-GB"/>
        </w:rPr>
        <w:t>a</w:t>
      </w:r>
      <w:r w:rsidR="0052051D">
        <w:rPr>
          <w:lang w:val="en-GB"/>
        </w:rPr>
        <w:t xml:space="preserve"> parallel TSI project on the development of national DNSH guidelines in Finland</w:t>
      </w:r>
      <w:r w:rsidRPr="001171C3">
        <w:rPr>
          <w:lang w:val="en-GB"/>
        </w:rPr>
        <w:t xml:space="preserve">, to </w:t>
      </w:r>
      <w:r w:rsidR="004A61D3">
        <w:rPr>
          <w:lang w:val="en-GB"/>
        </w:rPr>
        <w:t>enhance and</w:t>
      </w:r>
      <w:r w:rsidRPr="001171C3">
        <w:rPr>
          <w:lang w:val="en-GB"/>
        </w:rPr>
        <w:t xml:space="preserve"> </w:t>
      </w:r>
      <w:r>
        <w:rPr>
          <w:lang w:val="en-GB"/>
        </w:rPr>
        <w:t>increase</w:t>
      </w:r>
      <w:r w:rsidR="004A61D3">
        <w:rPr>
          <w:lang w:val="en-GB"/>
        </w:rPr>
        <w:t xml:space="preserve"> the</w:t>
      </w:r>
      <w:r>
        <w:rPr>
          <w:lang w:val="en-GB"/>
        </w:rPr>
        <w:t xml:space="preserve"> capabilities</w:t>
      </w:r>
      <w:r w:rsidR="004A61D3">
        <w:rPr>
          <w:lang w:val="en-GB"/>
        </w:rPr>
        <w:t xml:space="preserve"> of the relevant permitting authorities</w:t>
      </w:r>
      <w:r w:rsidRPr="001171C3">
        <w:rPr>
          <w:lang w:val="en-GB"/>
        </w:rPr>
        <w:t>. By implementing these changes, it</w:t>
      </w:r>
      <w:r w:rsidR="00CA7706">
        <w:rPr>
          <w:lang w:val="en-GB"/>
        </w:rPr>
        <w:t xml:space="preserve"> i</w:t>
      </w:r>
      <w:r w:rsidRPr="001171C3">
        <w:rPr>
          <w:lang w:val="en-GB"/>
        </w:rPr>
        <w:t>s expected that the permitting process will be more streamlined and will enable the deployment of green transition investments to move forward more efficiently.</w:t>
      </w:r>
    </w:p>
    <w:p w14:paraId="50AF5D54" w14:textId="77777777" w:rsidR="00D8548C" w:rsidRDefault="00D8548C" w:rsidP="00D8548C">
      <w:pPr>
        <w:rPr>
          <w:lang w:val="en-GB"/>
        </w:rPr>
      </w:pPr>
    </w:p>
    <w:p w14:paraId="729C311C" w14:textId="1DA00824" w:rsidR="00D8548C" w:rsidRDefault="00D8548C" w:rsidP="00D8548C">
      <w:pPr>
        <w:rPr>
          <w:lang w:val="en-GB"/>
        </w:rPr>
      </w:pPr>
      <w:r>
        <w:rPr>
          <w:lang w:val="en-GB"/>
        </w:rPr>
        <w:t>Finland</w:t>
      </w:r>
      <w:r w:rsidR="004A61D3">
        <w:rPr>
          <w:lang w:val="en-GB"/>
        </w:rPr>
        <w:t>’s</w:t>
      </w:r>
      <w:r>
        <w:rPr>
          <w:lang w:val="en-GB"/>
        </w:rPr>
        <w:t xml:space="preserve"> representative</w:t>
      </w:r>
      <w:r w:rsidR="00862D8E">
        <w:rPr>
          <w:lang w:val="en-GB"/>
        </w:rPr>
        <w:t xml:space="preserve"> noted</w:t>
      </w:r>
      <w:r>
        <w:rPr>
          <w:lang w:val="en-GB"/>
        </w:rPr>
        <w:t xml:space="preserve"> that t</w:t>
      </w:r>
      <w:r w:rsidRPr="008056D8">
        <w:rPr>
          <w:lang w:val="en-GB"/>
        </w:rPr>
        <w:t>his system require</w:t>
      </w:r>
      <w:r>
        <w:rPr>
          <w:lang w:val="en-GB"/>
        </w:rPr>
        <w:t>s</w:t>
      </w:r>
      <w:r w:rsidRPr="008056D8">
        <w:rPr>
          <w:lang w:val="en-GB"/>
        </w:rPr>
        <w:t xml:space="preserve"> a strong inter-ministerial cooperation</w:t>
      </w:r>
      <w:r>
        <w:rPr>
          <w:lang w:val="en-GB"/>
        </w:rPr>
        <w:t>, and strong technical capabilities from line ministries since they are</w:t>
      </w:r>
      <w:r w:rsidRPr="008056D8">
        <w:rPr>
          <w:lang w:val="en-GB"/>
        </w:rPr>
        <w:t xml:space="preserve"> conducting impact assessments that fall under their sectors.</w:t>
      </w:r>
    </w:p>
    <w:p w14:paraId="067FDB8B" w14:textId="77777777" w:rsidR="00B62D69" w:rsidRPr="00AC08FC" w:rsidRDefault="00B62D69" w:rsidP="00E4633B"/>
    <w:p w14:paraId="514761CB" w14:textId="6F4988AC" w:rsidR="00B74C0B" w:rsidRDefault="00B74C0B" w:rsidP="00B74C0B">
      <w:r>
        <w:t xml:space="preserve">In addition to these focus cases, </w:t>
      </w:r>
      <w:r w:rsidR="00F02D29">
        <w:t>a</w:t>
      </w:r>
      <w:r>
        <w:t xml:space="preserve"> relevant practice providing an illustration of example solution to face </w:t>
      </w:r>
      <w:r w:rsidR="00F02D29">
        <w:t>implementation</w:t>
      </w:r>
      <w:r>
        <w:t xml:space="preserve"> challenges </w:t>
      </w:r>
      <w:r w:rsidR="00F93C13">
        <w:t xml:space="preserve">was </w:t>
      </w:r>
      <w:r>
        <w:t>identified</w:t>
      </w:r>
      <w:r w:rsidR="00DC0E10">
        <w:t xml:space="preserve"> during the panel discussion of Webinar 2</w:t>
      </w:r>
      <w:r>
        <w:t xml:space="preserve">. </w:t>
      </w:r>
      <w:r w:rsidR="00F93C13">
        <w:t xml:space="preserve">Its </w:t>
      </w:r>
      <w:r>
        <w:t xml:space="preserve">functioning and relevance is presented in </w:t>
      </w:r>
      <w:r w:rsidR="00E52899">
        <w:rPr>
          <w:highlight w:val="yellow"/>
        </w:rPr>
        <w:fldChar w:fldCharType="begin"/>
      </w:r>
      <w:r w:rsidR="00E52899">
        <w:rPr>
          <w:highlight w:val="yellow"/>
        </w:rPr>
        <w:instrText xml:space="preserve"> REF _Ref128125069 \h </w:instrText>
      </w:r>
      <w:r w:rsidR="00E52899">
        <w:rPr>
          <w:highlight w:val="yellow"/>
        </w:rPr>
      </w:r>
      <w:r w:rsidR="00E52899">
        <w:rPr>
          <w:highlight w:val="yellow"/>
        </w:rPr>
        <w:fldChar w:fldCharType="separate"/>
      </w:r>
      <w:r w:rsidR="0031368D">
        <w:t xml:space="preserve">Box </w:t>
      </w:r>
      <w:r w:rsidR="0031368D">
        <w:rPr>
          <w:noProof/>
        </w:rPr>
        <w:t>3</w:t>
      </w:r>
      <w:r w:rsidR="00E52899">
        <w:rPr>
          <w:highlight w:val="yellow"/>
        </w:rPr>
        <w:fldChar w:fldCharType="end"/>
      </w:r>
      <w:r>
        <w:t>.</w:t>
      </w:r>
    </w:p>
    <w:p w14:paraId="3A7F8582" w14:textId="77777777" w:rsidR="00B74C0B" w:rsidRDefault="00B74C0B" w:rsidP="00B74C0B"/>
    <w:p w14:paraId="4931A11F" w14:textId="3D95908B" w:rsidR="00B74C0B" w:rsidRDefault="00B74C0B" w:rsidP="00B74C0B">
      <w:pPr>
        <w:pStyle w:val="Titulek"/>
        <w:keepNext/>
      </w:pPr>
      <w:bookmarkStart w:id="28" w:name="_Ref128125069"/>
      <w:r>
        <w:t xml:space="preserve">Box </w:t>
      </w:r>
      <w:fldSimple w:instr=" SEQ Box \* ARABIC ">
        <w:r w:rsidR="0031368D">
          <w:rPr>
            <w:noProof/>
          </w:rPr>
          <w:t>3</w:t>
        </w:r>
      </w:fldSimple>
      <w:bookmarkEnd w:id="28"/>
      <w:r>
        <w:t xml:space="preserve"> Illustrative </w:t>
      </w:r>
      <w:r w:rsidR="004D1887">
        <w:t xml:space="preserve">implementation </w:t>
      </w:r>
      <w:r>
        <w:t>practice</w:t>
      </w:r>
    </w:p>
    <w:tbl>
      <w:tblPr>
        <w:tblStyle w:val="Table1"/>
        <w:tblW w:w="5000" w:type="pct"/>
        <w:shd w:val="clear" w:color="auto" w:fill="E0EBEB" w:themeFill="accent3" w:themeFillTint="66"/>
        <w:tblLook w:val="04A0" w:firstRow="1" w:lastRow="0" w:firstColumn="1" w:lastColumn="0" w:noHBand="0" w:noVBand="1"/>
      </w:tblPr>
      <w:tblGrid>
        <w:gridCol w:w="9016"/>
      </w:tblGrid>
      <w:tr w:rsidR="00B74C0B" w:rsidRPr="007A5F9A" w14:paraId="1C77EE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0EBEB" w:themeFill="accent3" w:themeFillTint="66"/>
          </w:tcPr>
          <w:p w14:paraId="62499E85" w14:textId="7DD7254B" w:rsidR="004D1887" w:rsidRPr="004D1887" w:rsidRDefault="004D1887" w:rsidP="00EA2D8D">
            <w:pPr>
              <w:ind w:left="0"/>
              <w:rPr>
                <w:rFonts w:eastAsia="Times New Roman"/>
                <w:bCs/>
                <w:color w:val="005962" w:themeColor="accent1"/>
              </w:rPr>
            </w:pPr>
            <w:r w:rsidRPr="004D1887">
              <w:rPr>
                <w:rFonts w:eastAsia="Times New Roman"/>
                <w:bCs/>
                <w:color w:val="005962" w:themeColor="accent1"/>
              </w:rPr>
              <w:t>Large companies responsible for ex-ante assessment (</w:t>
            </w:r>
            <w:r w:rsidR="00F93107">
              <w:rPr>
                <w:rFonts w:eastAsia="Times New Roman"/>
                <w:bCs/>
                <w:color w:val="005962" w:themeColor="accent1"/>
              </w:rPr>
              <w:t xml:space="preserve">based on the </w:t>
            </w:r>
            <w:r w:rsidRPr="004D1887">
              <w:rPr>
                <w:rFonts w:eastAsia="Times New Roman"/>
                <w:bCs/>
                <w:color w:val="005962" w:themeColor="accent1"/>
              </w:rPr>
              <w:t>Span</w:t>
            </w:r>
            <w:r w:rsidR="00F93107">
              <w:rPr>
                <w:rFonts w:eastAsia="Times New Roman"/>
                <w:bCs/>
                <w:color w:val="005962" w:themeColor="accent1"/>
              </w:rPr>
              <w:t>ish model</w:t>
            </w:r>
            <w:r w:rsidRPr="004D1887">
              <w:rPr>
                <w:rFonts w:eastAsia="Times New Roman"/>
                <w:bCs/>
                <w:color w:val="005962" w:themeColor="accent1"/>
              </w:rPr>
              <w:t>)</w:t>
            </w:r>
          </w:p>
          <w:p w14:paraId="08D6333A" w14:textId="62B057D0" w:rsidR="00B74C0B" w:rsidRPr="009656D4" w:rsidRDefault="004D1887">
            <w:pPr>
              <w:ind w:left="0"/>
              <w:jc w:val="left"/>
              <w:rPr>
                <w:color w:val="000000" w:themeColor="text1"/>
                <w:sz w:val="16"/>
                <w:szCs w:val="16"/>
              </w:rPr>
            </w:pPr>
            <w:r w:rsidRPr="004D1887">
              <w:rPr>
                <w:b w:val="0"/>
                <w:color w:val="000000" w:themeColor="text1"/>
              </w:rPr>
              <w:t>Each ministry in Spain bears the responsibility for establishing and managing DNSH ex-ante assessments</w:t>
            </w:r>
            <w:r w:rsidR="00971D32">
              <w:rPr>
                <w:b w:val="0"/>
                <w:color w:val="000000" w:themeColor="text1"/>
              </w:rPr>
              <w:t xml:space="preserve"> under the RRF</w:t>
            </w:r>
            <w:r w:rsidRPr="004D1887">
              <w:rPr>
                <w:b w:val="0"/>
                <w:color w:val="000000" w:themeColor="text1"/>
              </w:rPr>
              <w:t>. However, larger company beneficiaries may be tasked with conducting these assessments themselves, along with a requirement for third-party validation or certification. By doing so, Spain can allocate its resources to other requests and ensure</w:t>
            </w:r>
            <w:r w:rsidR="00C11CEB">
              <w:rPr>
                <w:b w:val="0"/>
                <w:color w:val="000000" w:themeColor="text1"/>
              </w:rPr>
              <w:t>s</w:t>
            </w:r>
            <w:r w:rsidRPr="004D1887">
              <w:rPr>
                <w:b w:val="0"/>
                <w:color w:val="000000" w:themeColor="text1"/>
              </w:rPr>
              <w:t xml:space="preserve"> that project-specific assessments are of high quality and relevance. This approach is self-evident to Spain as DNSH is a long-term consideration, and companies will inevitably need to incorporate DNSH into their procedures. Belgium also acknowledged the potential of such</w:t>
            </w:r>
            <w:r w:rsidR="00CA7706">
              <w:rPr>
                <w:b w:val="0"/>
                <w:color w:val="000000" w:themeColor="text1"/>
              </w:rPr>
              <w:t xml:space="preserve"> an</w:t>
            </w:r>
            <w:r w:rsidRPr="004D1887">
              <w:rPr>
                <w:b w:val="0"/>
                <w:color w:val="000000" w:themeColor="text1"/>
              </w:rPr>
              <w:t xml:space="preserve"> approach. </w:t>
            </w:r>
          </w:p>
        </w:tc>
      </w:tr>
    </w:tbl>
    <w:p w14:paraId="5AEE4EAF" w14:textId="25176146" w:rsidR="006D08EB" w:rsidRDefault="006D08EB" w:rsidP="00E4633B"/>
    <w:p w14:paraId="4D07F3BB" w14:textId="7BFC9CC6" w:rsidR="00B62D69" w:rsidRDefault="00B62D69" w:rsidP="004D0CAD">
      <w:pPr>
        <w:pStyle w:val="Nadpis3"/>
        <w:ind w:left="567" w:hanging="567"/>
      </w:pPr>
      <w:bookmarkStart w:id="29" w:name="_Toc131775839"/>
      <w:r>
        <w:lastRenderedPageBreak/>
        <w:t>Replicability to the Czech context</w:t>
      </w:r>
      <w:bookmarkEnd w:id="29"/>
    </w:p>
    <w:p w14:paraId="038074BB" w14:textId="1BCDACB5" w:rsidR="00B62D69" w:rsidRPr="00FF36CF" w:rsidRDefault="003C1993" w:rsidP="00B62D69">
      <w:r>
        <w:rPr>
          <w:highlight w:val="yellow"/>
        </w:rPr>
        <w:fldChar w:fldCharType="begin"/>
      </w:r>
      <w:r>
        <w:rPr>
          <w:highlight w:val="yellow"/>
        </w:rPr>
        <w:instrText xml:space="preserve"> REF _Ref128060655 \h </w:instrText>
      </w:r>
      <w:r>
        <w:rPr>
          <w:highlight w:val="yellow"/>
        </w:rPr>
      </w:r>
      <w:r>
        <w:rPr>
          <w:highlight w:val="yellow"/>
        </w:rPr>
        <w:fldChar w:fldCharType="separate"/>
      </w:r>
      <w:r w:rsidR="0031368D">
        <w:t xml:space="preserve">Table </w:t>
      </w:r>
      <w:r w:rsidR="0031368D">
        <w:rPr>
          <w:noProof/>
        </w:rPr>
        <w:t>4</w:t>
      </w:r>
      <w:r>
        <w:rPr>
          <w:highlight w:val="yellow"/>
        </w:rPr>
        <w:fldChar w:fldCharType="end"/>
      </w:r>
      <w:r w:rsidR="008A6193" w:rsidRPr="008A6193">
        <w:rPr>
          <w:highlight w:val="yellow"/>
        </w:rPr>
        <w:fldChar w:fldCharType="begin"/>
      </w:r>
      <w:r w:rsidR="008A6193" w:rsidRPr="008A6193">
        <w:rPr>
          <w:highlight w:val="yellow"/>
        </w:rPr>
        <w:instrText xml:space="preserve"> REF _Ref128060655 \h </w:instrText>
      </w:r>
      <w:r w:rsidR="008A6193">
        <w:rPr>
          <w:highlight w:val="yellow"/>
        </w:rPr>
        <w:instrText xml:space="preserve"> \* MERGEFORMAT </w:instrText>
      </w:r>
      <w:r w:rsidR="008A6193" w:rsidRPr="008A6193">
        <w:rPr>
          <w:highlight w:val="yellow"/>
        </w:rPr>
      </w:r>
      <w:r w:rsidR="0031368D">
        <w:rPr>
          <w:highlight w:val="yellow"/>
        </w:rPr>
        <w:fldChar w:fldCharType="separate"/>
      </w:r>
      <w:r w:rsidR="0031368D">
        <w:t xml:space="preserve">Table </w:t>
      </w:r>
      <w:r w:rsidR="0031368D">
        <w:rPr>
          <w:noProof/>
        </w:rPr>
        <w:t>4</w:t>
      </w:r>
      <w:r w:rsidR="008A6193" w:rsidRPr="008A6193">
        <w:rPr>
          <w:highlight w:val="yellow"/>
        </w:rPr>
        <w:fldChar w:fldCharType="end"/>
      </w:r>
      <w:r w:rsidR="00504895" w:rsidRPr="00504895">
        <w:t xml:space="preserve"> synthesizes the enablers and barriers to the establishment and success of the practices to assess their replicability to Czechia.</w:t>
      </w:r>
      <w:r w:rsidR="00F90DE6">
        <w:t xml:space="preserve"> Here, enablers are defined as factors that allow the establishment and effectiveness of the practices. </w:t>
      </w:r>
      <w:r w:rsidR="00CA7706">
        <w:t xml:space="preserve">In </w:t>
      </w:r>
      <w:r w:rsidR="00F90DE6">
        <w:t>contrast, barriers are defined as factors that hinder the establishment and effectiveness of the practices.</w:t>
      </w:r>
    </w:p>
    <w:p w14:paraId="15F43072" w14:textId="77777777" w:rsidR="00AF5505" w:rsidRDefault="00AF5505" w:rsidP="00B62D69"/>
    <w:p w14:paraId="0C3822B2" w14:textId="01C2EB57" w:rsidR="008A6193" w:rsidRDefault="008A6193" w:rsidP="008A6193">
      <w:pPr>
        <w:pStyle w:val="Titulek"/>
        <w:keepNext/>
      </w:pPr>
      <w:bookmarkStart w:id="30" w:name="_Ref128060655"/>
      <w:r>
        <w:t xml:space="preserve">Table </w:t>
      </w:r>
      <w:fldSimple w:instr=" SEQ Table \* ARABIC ">
        <w:r w:rsidR="0031368D">
          <w:rPr>
            <w:noProof/>
          </w:rPr>
          <w:t>4</w:t>
        </w:r>
      </w:fldSimple>
      <w:bookmarkEnd w:id="30"/>
      <w:r>
        <w:t xml:space="preserve"> </w:t>
      </w:r>
      <w:r w:rsidRPr="003B03DA">
        <w:t xml:space="preserve">Enablers and barriers to the </w:t>
      </w:r>
      <w:r>
        <w:t>implementation</w:t>
      </w:r>
      <w:r w:rsidRPr="003B03DA">
        <w:t xml:space="preserve"> practices reviewed</w:t>
      </w:r>
    </w:p>
    <w:tbl>
      <w:tblPr>
        <w:tblStyle w:val="Table1"/>
        <w:tblW w:w="0" w:type="auto"/>
        <w:tblLook w:val="04A0" w:firstRow="1" w:lastRow="0" w:firstColumn="1" w:lastColumn="0" w:noHBand="0" w:noVBand="1"/>
      </w:tblPr>
      <w:tblGrid>
        <w:gridCol w:w="530"/>
        <w:gridCol w:w="2500"/>
        <w:gridCol w:w="2635"/>
        <w:gridCol w:w="2723"/>
      </w:tblGrid>
      <w:tr w:rsidR="00AF5505" w:rsidRPr="001B2DC5" w14:paraId="18231EC2" w14:textId="77777777" w:rsidTr="004D0CAD">
        <w:trPr>
          <w:cnfStyle w:val="100000000000" w:firstRow="1" w:lastRow="0" w:firstColumn="0" w:lastColumn="0" w:oddVBand="0" w:evenVBand="0" w:oddHBand="0" w:evenHBand="0" w:firstRowFirstColumn="0" w:firstRowLastColumn="0" w:lastRowFirstColumn="0" w:lastRowLastColumn="0"/>
          <w:trHeight w:val="1166"/>
        </w:trPr>
        <w:tc>
          <w:tcPr>
            <w:cnfStyle w:val="001000000000" w:firstRow="0" w:lastRow="0" w:firstColumn="1" w:lastColumn="0" w:oddVBand="0" w:evenVBand="0" w:oddHBand="0" w:evenHBand="0" w:firstRowFirstColumn="0" w:firstRowLastColumn="0" w:lastRowFirstColumn="0" w:lastRowLastColumn="0"/>
            <w:tcW w:w="530" w:type="dxa"/>
            <w:shd w:val="clear" w:color="auto" w:fill="B2CFCD" w:themeFill="accent3"/>
            <w:tcMar>
              <w:left w:w="28" w:type="dxa"/>
              <w:bottom w:w="28" w:type="dxa"/>
              <w:right w:w="28" w:type="dxa"/>
            </w:tcMar>
            <w:vAlign w:val="top"/>
          </w:tcPr>
          <w:p w14:paraId="70843CB4" w14:textId="77777777" w:rsidR="00AF5505" w:rsidRPr="001B2DC5" w:rsidRDefault="00AF5505">
            <w:pPr>
              <w:ind w:left="0"/>
              <w:rPr>
                <w:color w:val="auto"/>
                <w:sz w:val="16"/>
                <w:szCs w:val="16"/>
                <w:lang w:val="en-GB"/>
              </w:rPr>
            </w:pPr>
          </w:p>
        </w:tc>
        <w:tc>
          <w:tcPr>
            <w:tcW w:w="2500" w:type="dxa"/>
            <w:shd w:val="clear" w:color="auto" w:fill="B2CFCD" w:themeFill="accent3"/>
            <w:tcMar>
              <w:left w:w="28" w:type="dxa"/>
              <w:bottom w:w="28" w:type="dxa"/>
              <w:right w:w="28" w:type="dxa"/>
            </w:tcMar>
          </w:tcPr>
          <w:p w14:paraId="2932F212" w14:textId="2C97697F" w:rsidR="007D405B" w:rsidRDefault="00381C6B">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r w:rsidRPr="00381C6B">
              <w:rPr>
                <w:color w:val="auto"/>
                <w:sz w:val="16"/>
                <w:szCs w:val="16"/>
                <w:lang w:val="en-GB"/>
              </w:rPr>
              <w:t xml:space="preserve">DNSH </w:t>
            </w:r>
            <w:r w:rsidR="007D3D5E">
              <w:rPr>
                <w:color w:val="auto"/>
                <w:sz w:val="16"/>
                <w:szCs w:val="16"/>
                <w:lang w:val="en-GB"/>
              </w:rPr>
              <w:t>building</w:t>
            </w:r>
            <w:r>
              <w:rPr>
                <w:color w:val="auto"/>
                <w:sz w:val="16"/>
                <w:szCs w:val="16"/>
                <w:lang w:val="en-GB"/>
              </w:rPr>
              <w:t xml:space="preserve"> </w:t>
            </w:r>
            <w:r w:rsidRPr="00381C6B">
              <w:rPr>
                <w:color w:val="auto"/>
                <w:sz w:val="16"/>
                <w:szCs w:val="16"/>
                <w:lang w:val="en-GB"/>
              </w:rPr>
              <w:t xml:space="preserve">granular approach </w:t>
            </w:r>
          </w:p>
          <w:p w14:paraId="1C19C838" w14:textId="42A403CF" w:rsidR="00AF5505" w:rsidRPr="001B2DC5" w:rsidRDefault="00AF5505">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1B2DC5">
              <w:rPr>
                <w:color w:val="auto"/>
                <w:sz w:val="16"/>
                <w:szCs w:val="16"/>
                <w:lang w:val="en-GB"/>
              </w:rPr>
              <w:t>(</w:t>
            </w:r>
            <w:r>
              <w:rPr>
                <w:color w:val="auto"/>
                <w:sz w:val="16"/>
                <w:szCs w:val="16"/>
                <w:lang w:val="en-GB"/>
              </w:rPr>
              <w:t>SK</w:t>
            </w:r>
            <w:r w:rsidRPr="001B2DC5">
              <w:rPr>
                <w:color w:val="auto"/>
                <w:sz w:val="16"/>
                <w:szCs w:val="16"/>
                <w:lang w:val="en-GB"/>
              </w:rPr>
              <w:t>)</w:t>
            </w:r>
          </w:p>
        </w:tc>
        <w:tc>
          <w:tcPr>
            <w:tcW w:w="2635" w:type="dxa"/>
            <w:shd w:val="clear" w:color="auto" w:fill="B2CFCD" w:themeFill="accent3"/>
            <w:tcMar>
              <w:left w:w="28" w:type="dxa"/>
              <w:bottom w:w="28" w:type="dxa"/>
              <w:right w:w="28" w:type="dxa"/>
            </w:tcMar>
          </w:tcPr>
          <w:p w14:paraId="2422DC72" w14:textId="77777777" w:rsidR="00AF5505" w:rsidRPr="004D0CAD" w:rsidRDefault="00AF5505">
            <w:pPr>
              <w:ind w:left="0"/>
              <w:cnfStyle w:val="100000000000" w:firstRow="1" w:lastRow="0" w:firstColumn="0" w:lastColumn="0" w:oddVBand="0" w:evenVBand="0" w:oddHBand="0" w:evenHBand="0" w:firstRowFirstColumn="0" w:firstRowLastColumn="0" w:lastRowFirstColumn="0" w:lastRowLastColumn="0"/>
              <w:rPr>
                <w:b w:val="0"/>
                <w:color w:val="auto"/>
                <w:sz w:val="16"/>
                <w:szCs w:val="16"/>
                <w:lang w:val="en-GB"/>
              </w:rPr>
            </w:pPr>
            <w:r w:rsidRPr="00134072">
              <w:rPr>
                <w:color w:val="auto"/>
                <w:sz w:val="16"/>
                <w:szCs w:val="16"/>
                <w:lang w:val="en-GB"/>
              </w:rPr>
              <w:t xml:space="preserve">Priority order law for environmental permitting </w:t>
            </w:r>
          </w:p>
          <w:p w14:paraId="686FBB8E" w14:textId="77777777" w:rsidR="00AF5505" w:rsidRPr="001B2DC5" w:rsidRDefault="00AF5505">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Pr>
                <w:color w:val="auto"/>
                <w:sz w:val="16"/>
                <w:szCs w:val="16"/>
                <w:lang w:val="en-GB"/>
              </w:rPr>
              <w:t>(FI)</w:t>
            </w:r>
          </w:p>
        </w:tc>
        <w:tc>
          <w:tcPr>
            <w:tcW w:w="2723" w:type="dxa"/>
            <w:shd w:val="clear" w:color="auto" w:fill="B2CFCD" w:themeFill="accent3"/>
            <w:tcMar>
              <w:left w:w="28" w:type="dxa"/>
              <w:bottom w:w="28" w:type="dxa"/>
              <w:right w:w="28" w:type="dxa"/>
            </w:tcMar>
          </w:tcPr>
          <w:p w14:paraId="5818021E" w14:textId="77777777" w:rsidR="000E50D0" w:rsidRDefault="000E50D0" w:rsidP="004D0CAD">
            <w:pPr>
              <w:ind w:left="0"/>
              <w:cnfStyle w:val="100000000000" w:firstRow="1" w:lastRow="0" w:firstColumn="0" w:lastColumn="0" w:oddVBand="0" w:evenVBand="0" w:oddHBand="0" w:evenHBand="0" w:firstRowFirstColumn="0" w:firstRowLastColumn="0" w:lastRowFirstColumn="0" w:lastRowLastColumn="0"/>
              <w:rPr>
                <w:b w:val="0"/>
                <w:sz w:val="15"/>
                <w:szCs w:val="15"/>
                <w:lang w:val="en-GB"/>
              </w:rPr>
            </w:pPr>
            <w:r w:rsidRPr="000E50D0">
              <w:rPr>
                <w:color w:val="auto"/>
                <w:sz w:val="15"/>
                <w:szCs w:val="15"/>
                <w:lang w:val="en-GB"/>
              </w:rPr>
              <w:t xml:space="preserve">Large companies responsible for ex-ante assessment </w:t>
            </w:r>
          </w:p>
          <w:p w14:paraId="0EACB829" w14:textId="42F8E805" w:rsidR="00AF5505" w:rsidRPr="001B2DC5" w:rsidRDefault="004D0CAD">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4D0CAD">
              <w:rPr>
                <w:color w:val="auto"/>
                <w:sz w:val="15"/>
                <w:szCs w:val="15"/>
                <w:lang w:val="en-GB"/>
              </w:rPr>
              <w:t xml:space="preserve">(ES)  </w:t>
            </w:r>
          </w:p>
        </w:tc>
      </w:tr>
      <w:tr w:rsidR="00AF5505" w:rsidRPr="00C14DA4" w14:paraId="7314574C" w14:textId="77777777" w:rsidTr="004D0CAD">
        <w:trPr>
          <w:cantSplit/>
          <w:trHeight w:val="1112"/>
        </w:trPr>
        <w:tc>
          <w:tcPr>
            <w:cnfStyle w:val="001000000000" w:firstRow="0" w:lastRow="0" w:firstColumn="1" w:lastColumn="0" w:oddVBand="0" w:evenVBand="0" w:oddHBand="0" w:evenHBand="0" w:firstRowFirstColumn="0" w:firstRowLastColumn="0" w:lastRowFirstColumn="0" w:lastRowLastColumn="0"/>
            <w:tcW w:w="530" w:type="dxa"/>
            <w:shd w:val="clear" w:color="auto" w:fill="B2CFCD" w:themeFill="accent3"/>
            <w:tcMar>
              <w:left w:w="28" w:type="dxa"/>
              <w:right w:w="28" w:type="dxa"/>
            </w:tcMar>
            <w:textDirection w:val="btLr"/>
            <w:vAlign w:val="top"/>
          </w:tcPr>
          <w:p w14:paraId="165FC043" w14:textId="77777777" w:rsidR="00AF5505" w:rsidRPr="0085113B" w:rsidRDefault="00AF5505">
            <w:pPr>
              <w:ind w:left="113" w:right="113"/>
              <w:jc w:val="center"/>
              <w:rPr>
                <w:b/>
                <w:sz w:val="16"/>
                <w:szCs w:val="16"/>
                <w:lang w:val="en-GB"/>
              </w:rPr>
            </w:pPr>
            <w:r w:rsidRPr="0085113B">
              <w:rPr>
                <w:b/>
                <w:sz w:val="16"/>
                <w:szCs w:val="16"/>
                <w:lang w:val="en-GB"/>
              </w:rPr>
              <w:t>Enablers</w:t>
            </w:r>
          </w:p>
        </w:tc>
        <w:tc>
          <w:tcPr>
            <w:tcW w:w="2500" w:type="dxa"/>
            <w:tcMar>
              <w:top w:w="28" w:type="dxa"/>
              <w:left w:w="28" w:type="dxa"/>
              <w:right w:w="28" w:type="dxa"/>
            </w:tcMar>
          </w:tcPr>
          <w:p w14:paraId="2C51BDE7" w14:textId="77777777" w:rsidR="00CB17B3" w:rsidRPr="00FD5476" w:rsidRDefault="00CB17B3" w:rsidP="00CB17B3">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pt-PT"/>
              </w:rPr>
            </w:pPr>
            <w:r w:rsidRPr="00FD5476">
              <w:rPr>
                <w:rFonts w:eastAsia="Calibri" w:cs="Times New Roman"/>
                <w:sz w:val="16"/>
                <w:szCs w:val="16"/>
                <w:lang w:val="pt-PT"/>
              </w:rPr>
              <w:t xml:space="preserve">E1 </w:t>
            </w:r>
            <w:r w:rsidRPr="00FD5476">
              <w:rPr>
                <w:sz w:val="16"/>
                <w:szCs w:val="16"/>
                <w:lang w:val="pt-PT"/>
              </w:rPr>
              <w:t>Descentralized DNSH Governance</w:t>
            </w:r>
          </w:p>
          <w:p w14:paraId="3F62D9E6" w14:textId="56EF1777" w:rsidR="00AF5505" w:rsidRPr="00FD5476" w:rsidRDefault="00CB17B3">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en-GB"/>
              </w:rPr>
            </w:pPr>
            <w:r w:rsidRPr="00FD5476">
              <w:rPr>
                <w:rFonts w:eastAsia="Calibri" w:cs="Times New Roman"/>
                <w:sz w:val="16"/>
                <w:szCs w:val="16"/>
                <w:lang w:val="en-GB"/>
              </w:rPr>
              <w:t xml:space="preserve">E2 </w:t>
            </w:r>
            <w:r w:rsidRPr="00FD5476">
              <w:rPr>
                <w:sz w:val="16"/>
                <w:szCs w:val="16"/>
                <w:lang w:val="en-GB"/>
              </w:rPr>
              <w:t>Technical support</w:t>
            </w:r>
          </w:p>
        </w:tc>
        <w:tc>
          <w:tcPr>
            <w:tcW w:w="2635" w:type="dxa"/>
            <w:tcMar>
              <w:top w:w="28" w:type="dxa"/>
              <w:left w:w="28" w:type="dxa"/>
              <w:right w:w="28" w:type="dxa"/>
            </w:tcMar>
          </w:tcPr>
          <w:p w14:paraId="736734C0" w14:textId="77777777" w:rsidR="00CB17B3" w:rsidRPr="00FD5476" w:rsidRDefault="00CB17B3" w:rsidP="00CB17B3">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it-IT"/>
              </w:rPr>
            </w:pPr>
            <w:r w:rsidRPr="00FD5476">
              <w:rPr>
                <w:rFonts w:eastAsia="Calibri" w:cs="Times New Roman"/>
                <w:sz w:val="16"/>
                <w:szCs w:val="16"/>
                <w:lang w:val="it-IT"/>
              </w:rPr>
              <w:t>E</w:t>
            </w:r>
            <w:r w:rsidRPr="00FD5476">
              <w:rPr>
                <w:sz w:val="16"/>
                <w:szCs w:val="16"/>
                <w:lang w:val="it-IT"/>
              </w:rPr>
              <w:t>4</w:t>
            </w:r>
            <w:r w:rsidRPr="00FD5476">
              <w:rPr>
                <w:rFonts w:eastAsia="Calibri" w:cs="Times New Roman"/>
                <w:sz w:val="16"/>
                <w:szCs w:val="16"/>
                <w:lang w:val="it-IT"/>
              </w:rPr>
              <w:t xml:space="preserve"> </w:t>
            </w:r>
            <w:r w:rsidRPr="00FD5476">
              <w:rPr>
                <w:sz w:val="16"/>
                <w:szCs w:val="16"/>
                <w:lang w:val="it-IT"/>
              </w:rPr>
              <w:t>Legislative framework</w:t>
            </w:r>
          </w:p>
          <w:p w14:paraId="595F963F" w14:textId="77777777" w:rsidR="001E77DC" w:rsidRPr="00FD5476" w:rsidRDefault="001E77DC" w:rsidP="001E77DC">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it-IT"/>
              </w:rPr>
            </w:pPr>
            <w:r w:rsidRPr="00FD5476">
              <w:rPr>
                <w:sz w:val="16"/>
                <w:szCs w:val="16"/>
                <w:lang w:val="it-IT"/>
              </w:rPr>
              <w:t>E5 Political support</w:t>
            </w:r>
          </w:p>
          <w:p w14:paraId="57770C16" w14:textId="4313C953" w:rsidR="00AF5505" w:rsidRPr="00FD5476" w:rsidRDefault="00CB17B3">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en-GB"/>
              </w:rPr>
            </w:pPr>
            <w:r w:rsidRPr="00FD5476">
              <w:rPr>
                <w:sz w:val="16"/>
                <w:szCs w:val="16"/>
                <w:lang w:val="it-IT"/>
              </w:rPr>
              <w:t>E6</w:t>
            </w:r>
            <w:r w:rsidR="00AF5505" w:rsidRPr="00FD5476">
              <w:rPr>
                <w:sz w:val="16"/>
                <w:szCs w:val="16"/>
                <w:lang w:val="it-IT"/>
              </w:rPr>
              <w:t xml:space="preserve"> Technical support</w:t>
            </w:r>
            <w:r w:rsidRPr="00FD5476">
              <w:rPr>
                <w:sz w:val="16"/>
                <w:szCs w:val="16"/>
                <w:lang w:val="it-IT"/>
              </w:rPr>
              <w:t xml:space="preserve"> </w:t>
            </w:r>
          </w:p>
        </w:tc>
        <w:tc>
          <w:tcPr>
            <w:tcW w:w="2723" w:type="dxa"/>
            <w:tcMar>
              <w:top w:w="28" w:type="dxa"/>
              <w:left w:w="28" w:type="dxa"/>
              <w:right w:w="28" w:type="dxa"/>
            </w:tcMar>
          </w:tcPr>
          <w:p w14:paraId="0A89B12C" w14:textId="3AA12A49" w:rsidR="00BE4BB5" w:rsidRPr="00FD5476" w:rsidRDefault="00BF2E1E" w:rsidP="001442CC">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FD5476">
              <w:rPr>
                <w:sz w:val="16"/>
                <w:szCs w:val="16"/>
              </w:rPr>
              <w:t>E</w:t>
            </w:r>
            <w:r w:rsidR="00EC0FEC" w:rsidRPr="00FD5476">
              <w:rPr>
                <w:sz w:val="16"/>
                <w:szCs w:val="16"/>
              </w:rPr>
              <w:t>7</w:t>
            </w:r>
            <w:r w:rsidR="00D72E16" w:rsidRPr="00FD5476">
              <w:rPr>
                <w:sz w:val="16"/>
                <w:szCs w:val="16"/>
              </w:rPr>
              <w:t xml:space="preserve"> </w:t>
            </w:r>
            <w:r w:rsidR="00BE4BB5" w:rsidRPr="00FD5476">
              <w:rPr>
                <w:sz w:val="16"/>
                <w:szCs w:val="16"/>
              </w:rPr>
              <w:t>Defined criteria for company-level assessment</w:t>
            </w:r>
            <w:r w:rsidR="00BE4BB5" w:rsidRPr="00FD5476">
              <w:rPr>
                <w:sz w:val="16"/>
                <w:szCs w:val="16"/>
                <w:lang w:val="en-GB"/>
              </w:rPr>
              <w:t xml:space="preserve"> </w:t>
            </w:r>
          </w:p>
          <w:p w14:paraId="70875E98" w14:textId="50E596E5" w:rsidR="00AF5505" w:rsidRPr="00FD5476" w:rsidRDefault="00BF2E1E">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lang w:val="en-GB"/>
              </w:rPr>
            </w:pPr>
            <w:r w:rsidRPr="00FD5476">
              <w:rPr>
                <w:sz w:val="16"/>
                <w:szCs w:val="16"/>
                <w:lang w:val="en-GB"/>
              </w:rPr>
              <w:t>E</w:t>
            </w:r>
            <w:r w:rsidR="00BE4BB5" w:rsidRPr="00FD5476">
              <w:rPr>
                <w:sz w:val="16"/>
                <w:szCs w:val="16"/>
                <w:lang w:val="en-GB"/>
              </w:rPr>
              <w:t>8</w:t>
            </w:r>
            <w:r w:rsidR="00D72E16" w:rsidRPr="00FD5476">
              <w:rPr>
                <w:sz w:val="16"/>
                <w:szCs w:val="16"/>
                <w:lang w:val="en-GB"/>
              </w:rPr>
              <w:t xml:space="preserve"> </w:t>
            </w:r>
            <w:r w:rsidR="00497C82" w:rsidRPr="00FD5476">
              <w:rPr>
                <w:sz w:val="16"/>
                <w:szCs w:val="16"/>
                <w:lang w:val="en-GB"/>
              </w:rPr>
              <w:t xml:space="preserve">Third-party validation </w:t>
            </w:r>
          </w:p>
        </w:tc>
      </w:tr>
      <w:tr w:rsidR="00AF5505" w:rsidRPr="00C14DA4" w14:paraId="2BC4744D" w14:textId="77777777" w:rsidTr="004D0CAD">
        <w:trPr>
          <w:cantSplit/>
          <w:trHeight w:val="898"/>
        </w:trPr>
        <w:tc>
          <w:tcPr>
            <w:cnfStyle w:val="001000000000" w:firstRow="0" w:lastRow="0" w:firstColumn="1" w:lastColumn="0" w:oddVBand="0" w:evenVBand="0" w:oddHBand="0" w:evenHBand="0" w:firstRowFirstColumn="0" w:firstRowLastColumn="0" w:lastRowFirstColumn="0" w:lastRowLastColumn="0"/>
            <w:tcW w:w="530" w:type="dxa"/>
            <w:shd w:val="clear" w:color="auto" w:fill="B2CFCD" w:themeFill="accent3"/>
            <w:tcMar>
              <w:left w:w="28" w:type="dxa"/>
              <w:right w:w="28" w:type="dxa"/>
            </w:tcMar>
            <w:textDirection w:val="btLr"/>
            <w:vAlign w:val="top"/>
          </w:tcPr>
          <w:p w14:paraId="6E6606AD" w14:textId="77777777" w:rsidR="00AF5505" w:rsidRPr="0085113B" w:rsidRDefault="00AF5505">
            <w:pPr>
              <w:ind w:left="113" w:right="113"/>
              <w:jc w:val="center"/>
              <w:rPr>
                <w:b/>
                <w:sz w:val="16"/>
                <w:szCs w:val="16"/>
                <w:lang w:val="en-GB"/>
              </w:rPr>
            </w:pPr>
            <w:r w:rsidRPr="0085113B">
              <w:rPr>
                <w:b/>
                <w:sz w:val="16"/>
                <w:szCs w:val="16"/>
                <w:lang w:val="en-GB"/>
              </w:rPr>
              <w:t>Barriers</w:t>
            </w:r>
          </w:p>
        </w:tc>
        <w:tc>
          <w:tcPr>
            <w:tcW w:w="2500" w:type="dxa"/>
            <w:tcMar>
              <w:top w:w="28" w:type="dxa"/>
              <w:left w:w="28" w:type="dxa"/>
              <w:right w:w="28" w:type="dxa"/>
            </w:tcMar>
          </w:tcPr>
          <w:p w14:paraId="5B1B15A7" w14:textId="23838F62" w:rsidR="00AF5505" w:rsidRPr="00FD5476" w:rsidRDefault="001E77DC">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en-GB"/>
              </w:rPr>
            </w:pPr>
            <w:r w:rsidRPr="00FD5476">
              <w:rPr>
                <w:sz w:val="16"/>
                <w:szCs w:val="16"/>
                <w:lang w:val="en-GB"/>
              </w:rPr>
              <w:t>B1 Limitations in replicability to other sector</w:t>
            </w:r>
            <w:r w:rsidR="00984BA1">
              <w:rPr>
                <w:sz w:val="16"/>
                <w:szCs w:val="16"/>
                <w:lang w:val="en-GB"/>
              </w:rPr>
              <w:t>s</w:t>
            </w:r>
          </w:p>
        </w:tc>
        <w:tc>
          <w:tcPr>
            <w:tcW w:w="2635" w:type="dxa"/>
            <w:tcMar>
              <w:top w:w="28" w:type="dxa"/>
              <w:left w:w="28" w:type="dxa"/>
              <w:right w:w="28" w:type="dxa"/>
            </w:tcMar>
          </w:tcPr>
          <w:p w14:paraId="7284BF80" w14:textId="77777777" w:rsidR="00CB17B3" w:rsidRPr="00FD5476" w:rsidRDefault="00CB17B3" w:rsidP="00CB17B3">
            <w:pPr>
              <w:spacing w:line="360" w:lineRule="auto"/>
              <w:ind w:left="0"/>
              <w:cnfStyle w:val="000000000000" w:firstRow="0" w:lastRow="0" w:firstColumn="0" w:lastColumn="0" w:oddVBand="0" w:evenVBand="0" w:oddHBand="0" w:evenHBand="0" w:firstRowFirstColumn="0" w:firstRowLastColumn="0" w:lastRowFirstColumn="0" w:lastRowLastColumn="0"/>
              <w:rPr>
                <w:sz w:val="16"/>
                <w:szCs w:val="16"/>
              </w:rPr>
            </w:pPr>
            <w:r w:rsidRPr="00FD5476">
              <w:rPr>
                <w:sz w:val="16"/>
                <w:szCs w:val="16"/>
              </w:rPr>
              <w:t>B2 Insufficient technical capabilities</w:t>
            </w:r>
          </w:p>
          <w:p w14:paraId="391A9CC8" w14:textId="69B37873" w:rsidR="00AF5505" w:rsidRPr="00FD5476" w:rsidRDefault="001E77DC">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en-GB"/>
              </w:rPr>
            </w:pPr>
            <w:r w:rsidRPr="00FD5476">
              <w:rPr>
                <w:sz w:val="16"/>
                <w:szCs w:val="16"/>
                <w:lang w:val="en-GB"/>
              </w:rPr>
              <w:t>B3</w:t>
            </w:r>
            <w:r w:rsidR="00CB17B3" w:rsidRPr="00FD5476">
              <w:rPr>
                <w:sz w:val="16"/>
                <w:szCs w:val="16"/>
                <w:lang w:val="en-GB"/>
              </w:rPr>
              <w:t xml:space="preserve"> Limited inter-ministerial cooperation</w:t>
            </w:r>
          </w:p>
        </w:tc>
        <w:tc>
          <w:tcPr>
            <w:tcW w:w="2723" w:type="dxa"/>
            <w:tcMar>
              <w:top w:w="28" w:type="dxa"/>
              <w:left w:w="28" w:type="dxa"/>
              <w:right w:w="28" w:type="dxa"/>
            </w:tcMar>
          </w:tcPr>
          <w:p w14:paraId="2F875CF3" w14:textId="15102846" w:rsidR="00AF5505" w:rsidRPr="00FD5476" w:rsidRDefault="00D72E16">
            <w:pPr>
              <w:spacing w:line="360" w:lineRule="auto"/>
              <w:ind w:left="0"/>
              <w:cnfStyle w:val="000000000000" w:firstRow="0" w:lastRow="0" w:firstColumn="0" w:lastColumn="0" w:oddVBand="0" w:evenVBand="0" w:oddHBand="0" w:evenHBand="0" w:firstRowFirstColumn="0" w:firstRowLastColumn="0" w:lastRowFirstColumn="0" w:lastRowLastColumn="0"/>
              <w:rPr>
                <w:color w:val="FF0000"/>
                <w:sz w:val="16"/>
                <w:szCs w:val="16"/>
                <w:lang w:val="en-GB"/>
              </w:rPr>
            </w:pPr>
            <w:r w:rsidRPr="00FD5476">
              <w:rPr>
                <w:sz w:val="16"/>
                <w:szCs w:val="16"/>
                <w:lang w:val="en-GB"/>
              </w:rPr>
              <w:t>B4 Limited to large size companies</w:t>
            </w:r>
          </w:p>
        </w:tc>
      </w:tr>
    </w:tbl>
    <w:p w14:paraId="5AFDEF2F" w14:textId="77777777" w:rsidR="00504895" w:rsidRPr="00AF5505" w:rsidRDefault="00504895" w:rsidP="00B62D69">
      <w:pPr>
        <w:rPr>
          <w:lang w:val="en-GB"/>
        </w:rPr>
      </w:pPr>
    </w:p>
    <w:p w14:paraId="6D1C9EE3" w14:textId="227E99C8" w:rsidR="00381C6B" w:rsidRPr="00841CFD" w:rsidRDefault="0013457B" w:rsidP="00841CFD">
      <w:pPr>
        <w:jc w:val="both"/>
        <w:rPr>
          <w:rFonts w:eastAsia="Times New Roman"/>
          <w:b/>
          <w:color w:val="F04E30"/>
        </w:rPr>
      </w:pPr>
      <w:r w:rsidRPr="00841CFD">
        <w:rPr>
          <w:rFonts w:eastAsia="Times New Roman"/>
          <w:b/>
          <w:color w:val="F04E30"/>
        </w:rPr>
        <w:t xml:space="preserve">Replicability of DNSH </w:t>
      </w:r>
      <w:r w:rsidR="00CA7706">
        <w:rPr>
          <w:rFonts w:eastAsia="Times New Roman"/>
          <w:b/>
          <w:color w:val="F04E30"/>
        </w:rPr>
        <w:t>application with a</w:t>
      </w:r>
      <w:r w:rsidRPr="00841CFD">
        <w:rPr>
          <w:rFonts w:eastAsia="Times New Roman"/>
          <w:b/>
          <w:color w:val="F04E30"/>
        </w:rPr>
        <w:t xml:space="preserve"> granular</w:t>
      </w:r>
      <w:r w:rsidR="00CA7706">
        <w:rPr>
          <w:rFonts w:eastAsia="Times New Roman"/>
          <w:b/>
          <w:color w:val="F04E30"/>
        </w:rPr>
        <w:t xml:space="preserve"> sectorial</w:t>
      </w:r>
      <w:r w:rsidRPr="00841CFD">
        <w:rPr>
          <w:rFonts w:eastAsia="Times New Roman"/>
          <w:b/>
          <w:color w:val="F04E30"/>
        </w:rPr>
        <w:t xml:space="preserve"> approach </w:t>
      </w:r>
      <w:r w:rsidR="00381C6B" w:rsidRPr="00841CFD">
        <w:rPr>
          <w:rFonts w:eastAsia="Times New Roman"/>
          <w:b/>
          <w:color w:val="F04E30"/>
        </w:rPr>
        <w:t>(</w:t>
      </w:r>
      <w:r w:rsidR="00CA7706">
        <w:rPr>
          <w:rFonts w:eastAsia="Times New Roman"/>
          <w:b/>
          <w:color w:val="F04E30"/>
        </w:rPr>
        <w:t xml:space="preserve">based </w:t>
      </w:r>
      <w:r w:rsidRPr="00841CFD">
        <w:rPr>
          <w:rFonts w:eastAsia="Times New Roman"/>
          <w:b/>
          <w:color w:val="F04E30"/>
        </w:rPr>
        <w:t>on the Slovak model)</w:t>
      </w:r>
    </w:p>
    <w:p w14:paraId="4AC3DB2E" w14:textId="45CDFB91" w:rsidR="00381C6B" w:rsidRDefault="00510677" w:rsidP="00510677">
      <w:r w:rsidRPr="00510677">
        <w:t xml:space="preserve">Czechia and Slovakia share a similar decentralized government structure [E1], with responsibility for implementing the DNSH resting with each program owner, corresponding to their respective ministry. However, they differ in their approaches. Slovakia has opted for a decentralized DNSH process, which has resulted in </w:t>
      </w:r>
      <w:r w:rsidRPr="00350610">
        <w:rPr>
          <w:b/>
        </w:rPr>
        <w:t>sector-specific guidelines</w:t>
      </w:r>
      <w:r w:rsidRPr="00510677">
        <w:t xml:space="preserve">, whereas Czechia has focused on developing </w:t>
      </w:r>
      <w:r w:rsidRPr="00350610">
        <w:rPr>
          <w:b/>
        </w:rPr>
        <w:t xml:space="preserve">sector-agnostic </w:t>
      </w:r>
      <w:r w:rsidR="00350610">
        <w:rPr>
          <w:b/>
          <w:bCs/>
        </w:rPr>
        <w:t xml:space="preserve">framework </w:t>
      </w:r>
      <w:r w:rsidRPr="00350610">
        <w:rPr>
          <w:b/>
        </w:rPr>
        <w:t>guidelines</w:t>
      </w:r>
      <w:r w:rsidR="00D5588A">
        <w:t xml:space="preserve">. </w:t>
      </w:r>
      <w:r w:rsidRPr="00510677">
        <w:t>While complete decentralization of the DNSH process may hinder standardization and create inconsistencies among methodologies, the development of sector-specific guidelines could help ministries assess DNSH projects more effectively. This could be particularly valuable for building</w:t>
      </w:r>
      <w:r w:rsidR="00CA7706">
        <w:t xml:space="preserve"> sector</w:t>
      </w:r>
      <w:r w:rsidRPr="00510677">
        <w:t xml:space="preserve"> investments, which require</w:t>
      </w:r>
      <w:r w:rsidR="00CE1FA2">
        <w:t>s</w:t>
      </w:r>
      <w:r w:rsidRPr="00510677">
        <w:t xml:space="preserve"> coordination across multiple ministries/departments. One potential solution to these issues could be to centralize the development and governance of guidelines </w:t>
      </w:r>
      <w:r w:rsidR="001B7C3E">
        <w:t xml:space="preserve">for the building sector </w:t>
      </w:r>
      <w:r w:rsidRPr="00510677">
        <w:t xml:space="preserve">in the </w:t>
      </w:r>
      <w:r w:rsidR="00E63B3C">
        <w:t>M</w:t>
      </w:r>
      <w:r w:rsidRPr="00510677">
        <w:t xml:space="preserve">inistry of </w:t>
      </w:r>
      <w:r w:rsidR="00E63B3C">
        <w:t>E</w:t>
      </w:r>
      <w:r w:rsidRPr="00510677">
        <w:t xml:space="preserve">nvironment, which has already produced a comprehensive document outlining the DNSH principle, CP application process, and requirements for funded sectors, including construction/renovation of buildings. To ensure success, it would be important to align sector-specific guidance with the existing national sector-agnostic guidelines, which could help address concerns about inconsistency [B1]. </w:t>
      </w:r>
    </w:p>
    <w:p w14:paraId="7DAD1615" w14:textId="77777777" w:rsidR="00510677" w:rsidRPr="00510677" w:rsidRDefault="00510677" w:rsidP="00510677"/>
    <w:p w14:paraId="58E8C4E9" w14:textId="6E24CF82" w:rsidR="00381C6B" w:rsidRPr="00841CFD" w:rsidRDefault="0013457B" w:rsidP="00841CFD">
      <w:pPr>
        <w:jc w:val="both"/>
        <w:rPr>
          <w:rFonts w:eastAsia="Times New Roman"/>
          <w:b/>
          <w:color w:val="F04E30"/>
        </w:rPr>
      </w:pPr>
      <w:r w:rsidRPr="00841CFD">
        <w:rPr>
          <w:rFonts w:eastAsia="Times New Roman"/>
          <w:b/>
          <w:color w:val="F04E30"/>
        </w:rPr>
        <w:t xml:space="preserve">Replicability of the </w:t>
      </w:r>
      <w:r w:rsidR="00381C6B" w:rsidRPr="00841CFD">
        <w:rPr>
          <w:rFonts w:eastAsia="Times New Roman"/>
          <w:b/>
          <w:color w:val="F04E30"/>
        </w:rPr>
        <w:t xml:space="preserve">Priority order law for environmental permitting </w:t>
      </w:r>
      <w:r w:rsidRPr="00841CFD">
        <w:rPr>
          <w:rFonts w:eastAsia="Times New Roman"/>
          <w:b/>
          <w:color w:val="F04E30"/>
        </w:rPr>
        <w:t>(</w:t>
      </w:r>
      <w:r w:rsidR="00400C54">
        <w:rPr>
          <w:rFonts w:eastAsia="Times New Roman"/>
          <w:b/>
          <w:color w:val="F04E30"/>
        </w:rPr>
        <w:t xml:space="preserve">based </w:t>
      </w:r>
      <w:r w:rsidRPr="00841CFD">
        <w:rPr>
          <w:rFonts w:eastAsia="Times New Roman"/>
          <w:b/>
          <w:color w:val="F04E30"/>
        </w:rPr>
        <w:t>on the Finnish model)</w:t>
      </w:r>
    </w:p>
    <w:p w14:paraId="4710D925" w14:textId="5FC80F45" w:rsidR="00732289" w:rsidRDefault="00841CFD" w:rsidP="008C6032">
      <w:r w:rsidRPr="00841CFD">
        <w:t>It is unlikely that developing a priority order law for environmental permitting in Czechia can be replicated easily</w:t>
      </w:r>
      <w:r>
        <w:t xml:space="preserve"> in the short term</w:t>
      </w:r>
      <w:r w:rsidRPr="00841CFD">
        <w:t xml:space="preserve">. Firstly, there is no existing legislative framework to support such action [E4], and secondly, it may not be easy to gain political support for </w:t>
      </w:r>
      <w:r w:rsidR="00D826B4">
        <w:t>such an</w:t>
      </w:r>
      <w:r w:rsidRPr="00841CFD">
        <w:t xml:space="preserve"> initiative [E5]. While technical capabilities could be improved [E6] [B3], </w:t>
      </w:r>
      <w:r w:rsidR="00DC751A">
        <w:t xml:space="preserve">there is no political mandate to set up </w:t>
      </w:r>
      <w:r w:rsidR="00CD3498">
        <w:t>a</w:t>
      </w:r>
      <w:r w:rsidR="007D0426">
        <w:t>n inter-ministerial cooperation for a</w:t>
      </w:r>
      <w:r w:rsidR="00CD3498">
        <w:t xml:space="preserve"> system similar </w:t>
      </w:r>
      <w:r w:rsidR="007D0426">
        <w:t>to the priority order law</w:t>
      </w:r>
      <w:r w:rsidRPr="00841CFD">
        <w:t xml:space="preserve">[B3], </w:t>
      </w:r>
      <w:r w:rsidR="007D0426">
        <w:t>although this would be</w:t>
      </w:r>
      <w:r w:rsidRPr="00841CFD">
        <w:t xml:space="preserve"> crucial for the successful implementation of such methodology</w:t>
      </w:r>
      <w:r w:rsidR="00F30A81">
        <w:t>.</w:t>
      </w:r>
    </w:p>
    <w:p w14:paraId="6274A478" w14:textId="77777777" w:rsidR="00F30A81" w:rsidRDefault="00F30A81" w:rsidP="00F30A81">
      <w:pPr>
        <w:jc w:val="both"/>
      </w:pPr>
    </w:p>
    <w:p w14:paraId="3710EDF4" w14:textId="06A39F35" w:rsidR="00BC7124" w:rsidRDefault="00BC7124" w:rsidP="00BC7124">
      <w:pPr>
        <w:rPr>
          <w:lang w:val="en-GB"/>
        </w:rPr>
      </w:pPr>
      <w:r>
        <w:rPr>
          <w:lang w:val="en-GB"/>
        </w:rPr>
        <w:t>The replicability of</w:t>
      </w:r>
      <w:r w:rsidR="009C7C0A">
        <w:rPr>
          <w:lang w:val="en-GB"/>
        </w:rPr>
        <w:t xml:space="preserve"> the</w:t>
      </w:r>
      <w:r>
        <w:rPr>
          <w:lang w:val="en-GB"/>
        </w:rPr>
        <w:t xml:space="preserve"> illustrative example is provided in </w:t>
      </w:r>
      <w:r w:rsidR="009C7C0A">
        <w:rPr>
          <w:lang w:val="en-GB"/>
        </w:rPr>
        <w:fldChar w:fldCharType="begin"/>
      </w:r>
      <w:r w:rsidR="009C7C0A">
        <w:rPr>
          <w:lang w:val="en-GB"/>
        </w:rPr>
        <w:instrText xml:space="preserve"> REF _Ref128125652 \h </w:instrText>
      </w:r>
      <w:r w:rsidR="00DC0E10">
        <w:rPr>
          <w:lang w:val="en-GB"/>
        </w:rPr>
        <w:instrText xml:space="preserve"> \* MERGEFORMAT </w:instrText>
      </w:r>
      <w:r w:rsidR="009C7C0A">
        <w:rPr>
          <w:lang w:val="en-GB"/>
        </w:rPr>
      </w:r>
      <w:r w:rsidR="009C7C0A">
        <w:rPr>
          <w:lang w:val="en-GB"/>
        </w:rPr>
        <w:fldChar w:fldCharType="separate"/>
      </w:r>
      <w:r w:rsidR="0031368D">
        <w:t>Box 4</w:t>
      </w:r>
      <w:r w:rsidR="009C7C0A">
        <w:rPr>
          <w:lang w:val="en-GB"/>
        </w:rPr>
        <w:fldChar w:fldCharType="end"/>
      </w:r>
      <w:r>
        <w:rPr>
          <w:lang w:val="en-GB"/>
        </w:rPr>
        <w:t>.</w:t>
      </w:r>
    </w:p>
    <w:p w14:paraId="1F857698" w14:textId="77777777" w:rsidR="00BC7124" w:rsidRDefault="00BC7124" w:rsidP="00BC7124">
      <w:pPr>
        <w:rPr>
          <w:lang w:val="en-GB"/>
        </w:rPr>
      </w:pPr>
    </w:p>
    <w:p w14:paraId="78C540D4" w14:textId="4A2B3B36" w:rsidR="00C86277" w:rsidRDefault="00BC7124" w:rsidP="00C86277">
      <w:pPr>
        <w:pStyle w:val="Titulek"/>
        <w:keepNext/>
      </w:pPr>
      <w:bookmarkStart w:id="31" w:name="_Ref128125652"/>
      <w:r>
        <w:lastRenderedPageBreak/>
        <w:t xml:space="preserve">Box </w:t>
      </w:r>
      <w:fldSimple w:instr=" SEQ Box \* ARABIC ">
        <w:r w:rsidR="0031368D">
          <w:rPr>
            <w:noProof/>
          </w:rPr>
          <w:t>4</w:t>
        </w:r>
      </w:fldSimple>
      <w:bookmarkEnd w:id="31"/>
      <w:r>
        <w:t xml:space="preserve"> Replicability of the illustrative </w:t>
      </w:r>
      <w:r w:rsidR="00B0528D">
        <w:t>implementation</w:t>
      </w:r>
      <w:r>
        <w:t xml:space="preserve"> </w:t>
      </w:r>
      <w:r w:rsidR="00DC0E10">
        <w:t>practice</w:t>
      </w:r>
    </w:p>
    <w:tbl>
      <w:tblPr>
        <w:tblStyle w:val="Table1"/>
        <w:tblW w:w="5000" w:type="pct"/>
        <w:shd w:val="clear" w:color="auto" w:fill="E0EBEB" w:themeFill="accent3" w:themeFillTint="66"/>
        <w:tblLook w:val="04A0" w:firstRow="1" w:lastRow="0" w:firstColumn="1" w:lastColumn="0" w:noHBand="0" w:noVBand="1"/>
      </w:tblPr>
      <w:tblGrid>
        <w:gridCol w:w="9016"/>
      </w:tblGrid>
      <w:tr w:rsidR="00BC7124" w:rsidRPr="007A5F9A" w14:paraId="550A6FA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E0EBEB" w:themeFill="accent3" w:themeFillTint="66"/>
          </w:tcPr>
          <w:p w14:paraId="5FA30682" w14:textId="371D9399" w:rsidR="009C7C0A" w:rsidRPr="007676CE" w:rsidRDefault="009C7C0A" w:rsidP="007676CE">
            <w:pPr>
              <w:ind w:left="0"/>
              <w:rPr>
                <w:rFonts w:eastAsia="Times New Roman"/>
                <w:bCs/>
                <w:color w:val="F04E30"/>
              </w:rPr>
            </w:pPr>
            <w:r w:rsidRPr="007676CE">
              <w:rPr>
                <w:rFonts w:eastAsia="Times New Roman"/>
                <w:bCs/>
                <w:color w:val="005962" w:themeColor="accent1"/>
              </w:rPr>
              <w:t>Replicability of the transfer of ex-ante assessment responsibility to larger companies (</w:t>
            </w:r>
            <w:r w:rsidR="00400C54">
              <w:rPr>
                <w:rFonts w:eastAsia="Times New Roman"/>
                <w:bCs/>
                <w:color w:val="005962" w:themeColor="accent1"/>
              </w:rPr>
              <w:t xml:space="preserve">based </w:t>
            </w:r>
            <w:r w:rsidRPr="007676CE">
              <w:rPr>
                <w:rFonts w:eastAsia="Times New Roman"/>
                <w:bCs/>
                <w:color w:val="005962" w:themeColor="accent1"/>
              </w:rPr>
              <w:t>on the Spanish model)</w:t>
            </w:r>
          </w:p>
          <w:p w14:paraId="2D9C0221" w14:textId="4F67AF38" w:rsidR="00BC7124" w:rsidRPr="007676CE" w:rsidRDefault="009C7C0A" w:rsidP="009C7C0A">
            <w:pPr>
              <w:ind w:left="0"/>
              <w:jc w:val="left"/>
              <w:rPr>
                <w:b w:val="0"/>
                <w:bCs/>
                <w:color w:val="000000" w:themeColor="text1"/>
                <w:sz w:val="16"/>
                <w:szCs w:val="16"/>
                <w:lang w:val="en-GB"/>
              </w:rPr>
            </w:pPr>
            <w:r w:rsidRPr="007676CE">
              <w:rPr>
                <w:b w:val="0"/>
                <w:bCs/>
                <w:color w:val="auto"/>
              </w:rPr>
              <w:t>Czechia could benefit from Spain</w:t>
            </w:r>
            <w:r w:rsidR="00971D32">
              <w:rPr>
                <w:b w:val="0"/>
                <w:bCs/>
                <w:color w:val="auto"/>
              </w:rPr>
              <w:t>’</w:t>
            </w:r>
            <w:r w:rsidRPr="007676CE">
              <w:rPr>
                <w:b w:val="0"/>
                <w:bCs/>
                <w:color w:val="auto"/>
              </w:rPr>
              <w:t>s approach, as it is complementary to established methodologies and can be relatively easy to integrate into national guidelines and ministerial procedures. Implementing this approach could mitigate the administrative burden for the DNSH division and line Ministries, especially for larger projects [B4]. To implement this approach, it is important to establish specific criteria for when a company can assume responsibility for an ex-ante DNSH assessment [E7]. These criteria should be actionable and evident in the DNSH decision tree. However, one challenge for implementing this process could be the selection and accreditation of third-party validators [E8]. If this process is time-consuming, the verification process can be transferred to the ministry to ensure that the verification process adheres to the same standards as other projects.</w:t>
            </w:r>
          </w:p>
        </w:tc>
      </w:tr>
    </w:tbl>
    <w:p w14:paraId="5EE39916" w14:textId="77777777" w:rsidR="00F30A81" w:rsidRPr="00F30A81" w:rsidRDefault="00F30A81" w:rsidP="004E7DBF"/>
    <w:p w14:paraId="5D8A4AC9" w14:textId="69498619" w:rsidR="00E226B1" w:rsidRDefault="008F496C" w:rsidP="008F496C">
      <w:pPr>
        <w:pStyle w:val="Nadpis2"/>
      </w:pPr>
      <w:bookmarkStart w:id="32" w:name="_Ref130907373"/>
      <w:bookmarkStart w:id="33" w:name="_Toc131775840"/>
      <w:r>
        <w:t>Application of DNSH principle</w:t>
      </w:r>
      <w:r w:rsidR="00F634BC">
        <w:t xml:space="preserve"> to </w:t>
      </w:r>
      <w:r w:rsidR="0090451F">
        <w:t>R&amp;D and</w:t>
      </w:r>
      <w:r w:rsidR="00F634BC">
        <w:t xml:space="preserve"> green </w:t>
      </w:r>
      <w:r w:rsidR="0090451F">
        <w:t>innovation projects</w:t>
      </w:r>
      <w:bookmarkEnd w:id="32"/>
      <w:bookmarkEnd w:id="33"/>
    </w:p>
    <w:p w14:paraId="23B987E9" w14:textId="44AA6BC9" w:rsidR="00373CAC" w:rsidRDefault="0050389B" w:rsidP="0050389B">
      <w:pPr>
        <w:pStyle w:val="Nadpis3"/>
        <w:tabs>
          <w:tab w:val="clear" w:pos="851"/>
          <w:tab w:val="left" w:pos="567"/>
        </w:tabs>
        <w:ind w:left="567" w:hanging="567"/>
      </w:pPr>
      <w:bookmarkStart w:id="34" w:name="_Toc131775841"/>
      <w:r>
        <w:t>Context</w:t>
      </w:r>
      <w:r w:rsidR="00373CAC">
        <w:t xml:space="preserve"> of the challenge</w:t>
      </w:r>
      <w:bookmarkEnd w:id="34"/>
    </w:p>
    <w:p w14:paraId="0218B358" w14:textId="47C2A0AB" w:rsidR="00600698" w:rsidRDefault="00600698" w:rsidP="00600698">
      <w:r w:rsidRPr="00D450C5">
        <w:t xml:space="preserve">Assessing DNSH in </w:t>
      </w:r>
      <w:r w:rsidR="0050389B">
        <w:t>R&amp;D and green</w:t>
      </w:r>
      <w:r w:rsidRPr="00D450C5">
        <w:t xml:space="preserve"> innovati</w:t>
      </w:r>
      <w:r w:rsidR="003B0788">
        <w:t>on</w:t>
      </w:r>
      <w:r w:rsidRPr="00D450C5">
        <w:t xml:space="preserve"> projects was found to be a particularly challenging task for Czech authorities, given that many initiatives are unlikely to have substantial adverse environmental impacts due to the nature</w:t>
      </w:r>
      <w:r w:rsidR="005D2759">
        <w:t xml:space="preserve"> of the activity or project</w:t>
      </w:r>
      <w:r w:rsidRPr="00D450C5">
        <w:t xml:space="preserve"> (e.g.</w:t>
      </w:r>
      <w:r w:rsidR="00400C54">
        <w:t>,</w:t>
      </w:r>
      <w:r w:rsidRPr="00D450C5">
        <w:t xml:space="preserve"> </w:t>
      </w:r>
      <w:r w:rsidR="005D2759">
        <w:t>research &amp; development</w:t>
      </w:r>
      <w:r w:rsidRPr="00D450C5">
        <w:t>)</w:t>
      </w:r>
      <w:r w:rsidR="00400C54">
        <w:t>,</w:t>
      </w:r>
      <w:r w:rsidRPr="00D450C5">
        <w:t xml:space="preserve"> or have unknown </w:t>
      </w:r>
      <w:r w:rsidR="005224DA">
        <w:t>potential environmental impacts</w:t>
      </w:r>
      <w:r w:rsidRPr="00D450C5">
        <w:t xml:space="preserve"> (e.g., </w:t>
      </w:r>
      <w:r w:rsidR="0090451F">
        <w:t>green</w:t>
      </w:r>
      <w:r w:rsidRPr="00D450C5">
        <w:t xml:space="preserve"> innovation, pilot projects)</w:t>
      </w:r>
      <w:r w:rsidR="00B26D8E">
        <w:t xml:space="preserve"> at the point of assessment</w:t>
      </w:r>
      <w:r w:rsidRPr="00D450C5">
        <w:t xml:space="preserve">. </w:t>
      </w:r>
      <w:r w:rsidR="00101A85" w:rsidRPr="00101A85">
        <w:t>As a solution</w:t>
      </w:r>
      <w:r w:rsidRPr="00D450C5">
        <w:t xml:space="preserve">, the </w:t>
      </w:r>
      <w:r w:rsidR="006F3CBA" w:rsidRPr="006F3CBA">
        <w:t>third and final</w:t>
      </w:r>
      <w:r w:rsidRPr="00D450C5">
        <w:t xml:space="preserve"> webinar </w:t>
      </w:r>
      <w:r w:rsidR="00101A85" w:rsidRPr="00101A85">
        <w:t>aimed to share</w:t>
      </w:r>
      <w:r w:rsidR="006F3CBA" w:rsidRPr="006F3CBA">
        <w:t xml:space="preserve"> </w:t>
      </w:r>
      <w:r w:rsidR="00016ABE">
        <w:t>M</w:t>
      </w:r>
      <w:r w:rsidR="006F3CBA" w:rsidRPr="006F3CBA">
        <w:t xml:space="preserve">ember </w:t>
      </w:r>
      <w:r w:rsidR="00016ABE">
        <w:t>S</w:t>
      </w:r>
      <w:r w:rsidR="006F3CBA" w:rsidRPr="006F3CBA">
        <w:t>tates</w:t>
      </w:r>
      <w:r w:rsidR="00971D32">
        <w:t>’</w:t>
      </w:r>
      <w:r w:rsidRPr="00D450C5">
        <w:t xml:space="preserve"> experiences and approaches </w:t>
      </w:r>
      <w:r w:rsidR="00101A85" w:rsidRPr="00101A85">
        <w:t>on</w:t>
      </w:r>
      <w:r w:rsidRPr="00D450C5">
        <w:t xml:space="preserve"> this </w:t>
      </w:r>
      <w:r w:rsidR="00101A85" w:rsidRPr="00101A85">
        <w:t>matter and to deliberate on potential resolutions for</w:t>
      </w:r>
      <w:r w:rsidRPr="00D450C5">
        <w:t xml:space="preserve"> the following </w:t>
      </w:r>
      <w:r w:rsidR="00101A85">
        <w:t xml:space="preserve">specific </w:t>
      </w:r>
      <w:r w:rsidR="00101A85" w:rsidRPr="00101A85">
        <w:t>challenges</w:t>
      </w:r>
      <w:r w:rsidRPr="00D450C5">
        <w:t>:</w:t>
      </w:r>
    </w:p>
    <w:p w14:paraId="08A4DA6A" w14:textId="67815E32" w:rsidR="00600698" w:rsidRDefault="00600698" w:rsidP="0050389B">
      <w:pPr>
        <w:pStyle w:val="Bulletpoint"/>
        <w:numPr>
          <w:ilvl w:val="0"/>
          <w:numId w:val="48"/>
        </w:numPr>
        <w:tabs>
          <w:tab w:val="left" w:pos="360"/>
        </w:tabs>
        <w:suppressAutoHyphens/>
        <w:autoSpaceDN w:val="0"/>
        <w:ind w:left="851" w:hanging="284"/>
      </w:pPr>
      <w:r>
        <w:rPr>
          <w:b/>
          <w:bCs/>
        </w:rPr>
        <w:t>Developing alternative criteria</w:t>
      </w:r>
      <w:r>
        <w:t xml:space="preserve"> </w:t>
      </w:r>
      <w:r w:rsidRPr="00D450C5">
        <w:t>for assessing projects that are not covered by</w:t>
      </w:r>
      <w:r>
        <w:t xml:space="preserve"> </w:t>
      </w:r>
      <w:r w:rsidR="002E1941">
        <w:t xml:space="preserve">existing </w:t>
      </w:r>
      <w:r w:rsidRPr="00D450C5">
        <w:t xml:space="preserve">DNSH guidance and/or by the EU Taxonomy </w:t>
      </w:r>
      <w:r w:rsidR="00E51BF2">
        <w:t>D</w:t>
      </w:r>
      <w:r w:rsidRPr="00D450C5">
        <w:t xml:space="preserve">elegated </w:t>
      </w:r>
      <w:r w:rsidR="00E51BF2">
        <w:t>A</w:t>
      </w:r>
      <w:r w:rsidRPr="00D450C5">
        <w:t>cts;</w:t>
      </w:r>
    </w:p>
    <w:p w14:paraId="375BC4C4" w14:textId="0B146093" w:rsidR="00600698" w:rsidRDefault="00600698" w:rsidP="0050389B">
      <w:pPr>
        <w:pStyle w:val="Bulletpoint"/>
        <w:numPr>
          <w:ilvl w:val="0"/>
          <w:numId w:val="48"/>
        </w:numPr>
        <w:tabs>
          <w:tab w:val="left" w:pos="360"/>
        </w:tabs>
        <w:suppressAutoHyphens/>
        <w:autoSpaceDN w:val="0"/>
        <w:ind w:left="851" w:hanging="284"/>
        <w:rPr>
          <w:b/>
          <w:bCs/>
        </w:rPr>
      </w:pPr>
      <w:r w:rsidRPr="00353CDD">
        <w:rPr>
          <w:b/>
          <w:bCs/>
        </w:rPr>
        <w:t xml:space="preserve">Striking a balance between standardisation </w:t>
      </w:r>
      <w:r w:rsidRPr="00D450C5">
        <w:rPr>
          <w:b/>
          <w:bCs/>
        </w:rPr>
        <w:t>and consideration of projects’ specificities;</w:t>
      </w:r>
    </w:p>
    <w:p w14:paraId="2A901CAF" w14:textId="044EC2CF" w:rsidR="00435F31" w:rsidRPr="00EA2D8D" w:rsidRDefault="00600698" w:rsidP="0050389B">
      <w:pPr>
        <w:pStyle w:val="Bulletpoint"/>
        <w:numPr>
          <w:ilvl w:val="0"/>
          <w:numId w:val="48"/>
        </w:numPr>
        <w:tabs>
          <w:tab w:val="left" w:pos="360"/>
        </w:tabs>
        <w:suppressAutoHyphens/>
        <w:autoSpaceDN w:val="0"/>
        <w:ind w:left="851" w:hanging="284"/>
      </w:pPr>
      <w:r w:rsidRPr="00D450C5">
        <w:rPr>
          <w:b/>
          <w:bCs/>
        </w:rPr>
        <w:t xml:space="preserve">Developing additional policies and methodologies to classify and measure investments in innovative green technologies. </w:t>
      </w:r>
    </w:p>
    <w:p w14:paraId="39083648" w14:textId="77777777" w:rsidR="004E7DBF" w:rsidRDefault="004E7DBF" w:rsidP="00EA2D8D">
      <w:pPr>
        <w:pStyle w:val="Bulletpoint"/>
        <w:numPr>
          <w:ilvl w:val="0"/>
          <w:numId w:val="0"/>
        </w:numPr>
        <w:tabs>
          <w:tab w:val="left" w:pos="360"/>
        </w:tabs>
        <w:suppressAutoHyphens/>
        <w:autoSpaceDN w:val="0"/>
        <w:ind w:left="567"/>
      </w:pPr>
    </w:p>
    <w:p w14:paraId="5C0A9E5E" w14:textId="241090CF" w:rsidR="00F22FD9" w:rsidRDefault="00600698" w:rsidP="00EA2D8D">
      <w:pPr>
        <w:pStyle w:val="Bulletpoint"/>
        <w:numPr>
          <w:ilvl w:val="0"/>
          <w:numId w:val="0"/>
        </w:numPr>
        <w:tabs>
          <w:tab w:val="left" w:pos="360"/>
        </w:tabs>
        <w:suppressAutoHyphens/>
        <w:autoSpaceDN w:val="0"/>
        <w:ind w:left="567"/>
      </w:pPr>
      <w:r w:rsidRPr="000305FD">
        <w:t>The webinar focused on green budgeting as a methodology that can potentially aid in the DNSH assessment of projects that lack technical guidance or screening criteria.</w:t>
      </w:r>
    </w:p>
    <w:p w14:paraId="09104CCD" w14:textId="77777777" w:rsidR="002F28AD" w:rsidRPr="002F28AD" w:rsidRDefault="002F28AD" w:rsidP="00F72FF0"/>
    <w:p w14:paraId="57C03AF6" w14:textId="2278F1E8" w:rsidR="00373CAC" w:rsidRDefault="00373CAC" w:rsidP="0050389B">
      <w:pPr>
        <w:pStyle w:val="Nadpis3"/>
        <w:tabs>
          <w:tab w:val="clear" w:pos="851"/>
          <w:tab w:val="left" w:pos="567"/>
        </w:tabs>
        <w:ind w:left="567" w:hanging="567"/>
      </w:pPr>
      <w:bookmarkStart w:id="35" w:name="_Toc131775842"/>
      <w:r>
        <w:t>Presentation of the focus cases</w:t>
      </w:r>
      <w:bookmarkEnd w:id="35"/>
    </w:p>
    <w:p w14:paraId="52FE0B42" w14:textId="4FB11D2D" w:rsidR="007E56CE" w:rsidRPr="002F2A7F" w:rsidRDefault="007E56CE" w:rsidP="002F2A7F">
      <w:pPr>
        <w:rPr>
          <w:lang w:val="en-GB"/>
        </w:rPr>
      </w:pPr>
      <w:r w:rsidRPr="007E56CE">
        <w:rPr>
          <w:lang w:val="en-GB"/>
        </w:rPr>
        <w:t xml:space="preserve">As part of the webinar, </w:t>
      </w:r>
      <w:r w:rsidR="002F2A7F" w:rsidRPr="00F72FF0">
        <w:rPr>
          <w:b/>
          <w:lang w:val="en-GB"/>
        </w:rPr>
        <w:t>Finland</w:t>
      </w:r>
      <w:r w:rsidR="002F2A7F" w:rsidRPr="002F2A7F">
        <w:rPr>
          <w:lang w:val="en-GB"/>
        </w:rPr>
        <w:t xml:space="preserve"> and </w:t>
      </w:r>
      <w:r w:rsidR="002F2A7F" w:rsidRPr="00F72FF0">
        <w:rPr>
          <w:b/>
          <w:lang w:val="en-GB"/>
        </w:rPr>
        <w:t>Austria</w:t>
      </w:r>
      <w:r w:rsidR="002F2A7F" w:rsidRPr="002F2A7F">
        <w:rPr>
          <w:lang w:val="en-GB"/>
        </w:rPr>
        <w:t xml:space="preserve"> were invited to </w:t>
      </w:r>
      <w:r w:rsidRPr="007E56CE">
        <w:rPr>
          <w:lang w:val="en-GB"/>
        </w:rPr>
        <w:t xml:space="preserve">share </w:t>
      </w:r>
      <w:r w:rsidR="002F2A7F" w:rsidRPr="002F2A7F">
        <w:rPr>
          <w:lang w:val="en-GB"/>
        </w:rPr>
        <w:t xml:space="preserve">relevant </w:t>
      </w:r>
      <w:r w:rsidR="00780E6E" w:rsidRPr="00780E6E">
        <w:rPr>
          <w:lang w:val="en-GB"/>
        </w:rPr>
        <w:t xml:space="preserve">methodologies </w:t>
      </w:r>
      <w:r w:rsidR="00F72FF0">
        <w:rPr>
          <w:lang w:val="en-GB"/>
        </w:rPr>
        <w:t xml:space="preserve">and alternative approaches </w:t>
      </w:r>
      <w:r w:rsidR="00780E6E" w:rsidRPr="00780E6E">
        <w:rPr>
          <w:lang w:val="en-GB"/>
        </w:rPr>
        <w:t xml:space="preserve">that can assist Czechia </w:t>
      </w:r>
      <w:r w:rsidR="002F2A7F" w:rsidRPr="002F2A7F">
        <w:rPr>
          <w:lang w:val="en-GB"/>
        </w:rPr>
        <w:t xml:space="preserve">and </w:t>
      </w:r>
      <w:r w:rsidR="00780E6E" w:rsidRPr="00780E6E">
        <w:rPr>
          <w:lang w:val="en-GB"/>
        </w:rPr>
        <w:t>other Member States in addressing</w:t>
      </w:r>
      <w:r w:rsidRPr="007E56CE">
        <w:rPr>
          <w:lang w:val="en-GB"/>
        </w:rPr>
        <w:t xml:space="preserve"> the </w:t>
      </w:r>
      <w:r w:rsidR="00780E6E" w:rsidRPr="00780E6E">
        <w:rPr>
          <w:lang w:val="en-GB"/>
        </w:rPr>
        <w:t>challenges discussed.</w:t>
      </w:r>
      <w:r w:rsidRPr="007E56CE">
        <w:rPr>
          <w:lang w:val="en-GB"/>
        </w:rPr>
        <w:t xml:space="preserve"> The </w:t>
      </w:r>
      <w:r w:rsidRPr="00ED7471">
        <w:rPr>
          <w:b/>
          <w:bCs/>
          <w:lang w:val="en-GB"/>
        </w:rPr>
        <w:t>Finnish</w:t>
      </w:r>
      <w:r w:rsidR="005B4536" w:rsidRPr="00ED7471">
        <w:rPr>
          <w:b/>
          <w:bCs/>
          <w:lang w:val="en-GB"/>
        </w:rPr>
        <w:t xml:space="preserve"> Climate Fund</w:t>
      </w:r>
      <w:r w:rsidR="005B4536">
        <w:rPr>
          <w:lang w:val="en-GB"/>
        </w:rPr>
        <w:t xml:space="preserve"> presented their </w:t>
      </w:r>
      <w:r w:rsidR="006C0F29">
        <w:rPr>
          <w:lang w:val="en-GB"/>
        </w:rPr>
        <w:t xml:space="preserve">methodological approach </w:t>
      </w:r>
      <w:r w:rsidR="00E71D0F" w:rsidRPr="00E71D0F">
        <w:rPr>
          <w:lang w:val="en-GB"/>
        </w:rPr>
        <w:t xml:space="preserve">for </w:t>
      </w:r>
      <w:r w:rsidR="00780E6E" w:rsidRPr="00780E6E">
        <w:rPr>
          <w:lang w:val="en-GB"/>
        </w:rPr>
        <w:t xml:space="preserve">assessing DNSH </w:t>
      </w:r>
      <w:r w:rsidRPr="007E56CE">
        <w:rPr>
          <w:lang w:val="en-GB"/>
        </w:rPr>
        <w:t xml:space="preserve">of </w:t>
      </w:r>
      <w:r w:rsidR="00E71D0F" w:rsidRPr="00E71D0F">
        <w:rPr>
          <w:lang w:val="en-GB"/>
        </w:rPr>
        <w:t xml:space="preserve">activities and investment projects </w:t>
      </w:r>
      <w:r w:rsidR="00780E6E" w:rsidRPr="00780E6E">
        <w:rPr>
          <w:lang w:val="en-GB"/>
        </w:rPr>
        <w:t>using</w:t>
      </w:r>
      <w:r w:rsidR="00E71D0F" w:rsidRPr="00E71D0F">
        <w:rPr>
          <w:lang w:val="en-GB"/>
        </w:rPr>
        <w:t xml:space="preserve"> alternative processes</w:t>
      </w:r>
      <w:r w:rsidR="000B4A76">
        <w:rPr>
          <w:lang w:val="en-GB"/>
        </w:rPr>
        <w:t>,</w:t>
      </w:r>
      <w:r w:rsidR="00E71D0F" w:rsidRPr="00E71D0F">
        <w:rPr>
          <w:lang w:val="en-GB"/>
        </w:rPr>
        <w:t xml:space="preserve"> </w:t>
      </w:r>
      <w:r w:rsidR="0032293B">
        <w:rPr>
          <w:lang w:val="en-GB"/>
        </w:rPr>
        <w:t>while</w:t>
      </w:r>
      <w:r w:rsidR="00C40867">
        <w:rPr>
          <w:lang w:val="en-GB"/>
        </w:rPr>
        <w:t xml:space="preserve"> </w:t>
      </w:r>
      <w:r w:rsidR="00C40867" w:rsidRPr="00ED7471">
        <w:rPr>
          <w:b/>
          <w:bCs/>
          <w:lang w:val="en-GB"/>
        </w:rPr>
        <w:t>Austria</w:t>
      </w:r>
      <w:r w:rsidR="00C40867">
        <w:rPr>
          <w:lang w:val="en-GB"/>
        </w:rPr>
        <w:t xml:space="preserve"> </w:t>
      </w:r>
      <w:r w:rsidR="00780E6E" w:rsidRPr="00780E6E">
        <w:rPr>
          <w:lang w:val="en-GB"/>
        </w:rPr>
        <w:t>presented</w:t>
      </w:r>
      <w:r w:rsidRPr="007E56CE">
        <w:rPr>
          <w:lang w:val="en-GB"/>
        </w:rPr>
        <w:t xml:space="preserve"> their </w:t>
      </w:r>
      <w:r w:rsidR="00526494">
        <w:rPr>
          <w:lang w:val="en-GB"/>
        </w:rPr>
        <w:t>early experiences around using</w:t>
      </w:r>
      <w:r w:rsidR="00442E53">
        <w:rPr>
          <w:lang w:val="en-GB"/>
        </w:rPr>
        <w:t xml:space="preserve"> green budgeting to </w:t>
      </w:r>
      <w:r w:rsidR="00D4236E">
        <w:rPr>
          <w:lang w:val="en-GB"/>
        </w:rPr>
        <w:t>facilitate DNSH assessment</w:t>
      </w:r>
      <w:r w:rsidR="00526494">
        <w:rPr>
          <w:lang w:val="en-GB"/>
        </w:rPr>
        <w:t>s</w:t>
      </w:r>
      <w:r w:rsidR="00C97EB0">
        <w:rPr>
          <w:lang w:val="en-GB"/>
        </w:rPr>
        <w:t>.</w:t>
      </w:r>
    </w:p>
    <w:p w14:paraId="23129052" w14:textId="77777777" w:rsidR="00780E6E" w:rsidRPr="002F2A7F" w:rsidRDefault="00780E6E" w:rsidP="002F2A7F">
      <w:pPr>
        <w:rPr>
          <w:lang w:val="en-GB"/>
        </w:rPr>
      </w:pPr>
    </w:p>
    <w:p w14:paraId="09739275" w14:textId="7FC594C9" w:rsidR="005162FF" w:rsidRPr="00C30C6E" w:rsidRDefault="005162FF" w:rsidP="00C30C6E">
      <w:pPr>
        <w:jc w:val="both"/>
        <w:rPr>
          <w:rFonts w:eastAsia="Times New Roman"/>
          <w:b/>
          <w:bCs/>
          <w:iCs/>
          <w:color w:val="F04E30"/>
        </w:rPr>
      </w:pPr>
      <w:r w:rsidRPr="00C30C6E">
        <w:rPr>
          <w:rFonts w:eastAsia="Times New Roman"/>
          <w:b/>
          <w:bCs/>
          <w:iCs/>
          <w:color w:val="F04E30"/>
        </w:rPr>
        <w:t>DNSH assessment approach for green innovative technologies (Finland)</w:t>
      </w:r>
    </w:p>
    <w:p w14:paraId="07846E4E" w14:textId="322A3166" w:rsidR="00617670" w:rsidRDefault="00BF2678" w:rsidP="00C30C6E">
      <w:pPr>
        <w:rPr>
          <w:lang w:val="en-GB"/>
        </w:rPr>
      </w:pPr>
      <w:r w:rsidRPr="005162FF">
        <w:rPr>
          <w:lang w:val="en-GB"/>
        </w:rPr>
        <w:t xml:space="preserve">The Finnish Climate Fund is a state-owned </w:t>
      </w:r>
      <w:r>
        <w:rPr>
          <w:lang w:val="en-GB"/>
        </w:rPr>
        <w:t>company</w:t>
      </w:r>
      <w:r w:rsidRPr="005162FF">
        <w:rPr>
          <w:lang w:val="en-GB"/>
        </w:rPr>
        <w:t xml:space="preserve"> that invests in </w:t>
      </w:r>
      <w:r>
        <w:rPr>
          <w:lang w:val="en-GB"/>
        </w:rPr>
        <w:t>the scaling up of climate solutions with significant emissions reduction potential</w:t>
      </w:r>
      <w:r w:rsidRPr="005162FF">
        <w:rPr>
          <w:lang w:val="en-GB"/>
        </w:rPr>
        <w:t>. Operational since 202</w:t>
      </w:r>
      <w:r>
        <w:rPr>
          <w:lang w:val="en-GB"/>
        </w:rPr>
        <w:t>0</w:t>
      </w:r>
      <w:r w:rsidRPr="005162FF">
        <w:rPr>
          <w:lang w:val="en-GB"/>
        </w:rPr>
        <w:t>, the fund has made 1</w:t>
      </w:r>
      <w:r>
        <w:rPr>
          <w:lang w:val="en-GB"/>
        </w:rPr>
        <w:t>9</w:t>
      </w:r>
      <w:r w:rsidRPr="005162FF">
        <w:rPr>
          <w:lang w:val="en-GB"/>
        </w:rPr>
        <w:t xml:space="preserve"> investment decisions,</w:t>
      </w:r>
      <w:r>
        <w:rPr>
          <w:lang w:val="en-GB"/>
        </w:rPr>
        <w:t xml:space="preserve"> and its typical ticket size</w:t>
      </w:r>
      <w:r w:rsidRPr="005162FF">
        <w:rPr>
          <w:lang w:val="en-GB"/>
        </w:rPr>
        <w:t xml:space="preserve"> rang</w:t>
      </w:r>
      <w:r>
        <w:rPr>
          <w:lang w:val="en-GB"/>
        </w:rPr>
        <w:t>es</w:t>
      </w:r>
      <w:r w:rsidRPr="005162FF">
        <w:rPr>
          <w:lang w:val="en-GB"/>
        </w:rPr>
        <w:t xml:space="preserve"> from 4 to 40 million euros</w:t>
      </w:r>
      <w:r>
        <w:rPr>
          <w:lang w:val="en-GB"/>
        </w:rPr>
        <w:t xml:space="preserve"> </w:t>
      </w:r>
      <w:r w:rsidR="009D089B">
        <w:rPr>
          <w:lang w:val="en-GB"/>
        </w:rPr>
        <w:t>– higher values are also possible</w:t>
      </w:r>
      <w:r w:rsidRPr="005162FF">
        <w:rPr>
          <w:lang w:val="en-GB"/>
        </w:rPr>
        <w:t>.</w:t>
      </w:r>
      <w:r>
        <w:rPr>
          <w:lang w:val="en-GB"/>
        </w:rPr>
        <w:t xml:space="preserve"> </w:t>
      </w:r>
      <w:r w:rsidRPr="005162FF">
        <w:rPr>
          <w:lang w:val="en-GB"/>
        </w:rPr>
        <w:t xml:space="preserve">The fund follows a specific set of </w:t>
      </w:r>
      <w:r>
        <w:rPr>
          <w:lang w:val="en-GB"/>
        </w:rPr>
        <w:t xml:space="preserve">3 </w:t>
      </w:r>
      <w:r w:rsidRPr="005162FF">
        <w:rPr>
          <w:lang w:val="en-GB"/>
        </w:rPr>
        <w:t>preconditions for investment proposals</w:t>
      </w:r>
      <w:r>
        <w:rPr>
          <w:lang w:val="en-GB"/>
        </w:rPr>
        <w:t>, one</w:t>
      </w:r>
      <w:r w:rsidRPr="005162FF">
        <w:rPr>
          <w:lang w:val="en-GB"/>
        </w:rPr>
        <w:t xml:space="preserve"> of </w:t>
      </w:r>
      <w:r>
        <w:rPr>
          <w:lang w:val="en-GB"/>
        </w:rPr>
        <w:t>them</w:t>
      </w:r>
      <w:r w:rsidRPr="005162FF">
        <w:rPr>
          <w:lang w:val="en-GB"/>
        </w:rPr>
        <w:t xml:space="preserve"> being </w:t>
      </w:r>
      <w:r>
        <w:rPr>
          <w:lang w:val="en-GB"/>
        </w:rPr>
        <w:t xml:space="preserve">the </w:t>
      </w:r>
      <w:r w:rsidRPr="005162FF">
        <w:rPr>
          <w:lang w:val="en-GB"/>
        </w:rPr>
        <w:t xml:space="preserve">alignment with </w:t>
      </w:r>
      <w:r>
        <w:rPr>
          <w:lang w:val="en-GB"/>
        </w:rPr>
        <w:t>the</w:t>
      </w:r>
      <w:r w:rsidRPr="005162FF">
        <w:rPr>
          <w:lang w:val="en-GB"/>
        </w:rPr>
        <w:t xml:space="preserve"> DNSH</w:t>
      </w:r>
      <w:r>
        <w:rPr>
          <w:lang w:val="en-GB"/>
        </w:rPr>
        <w:t xml:space="preserve"> principle, using either existing DNSH assessments or the EU taxonomy’s </w:t>
      </w:r>
      <w:r w:rsidR="009D089B">
        <w:rPr>
          <w:lang w:val="en-GB"/>
        </w:rPr>
        <w:t>D</w:t>
      </w:r>
      <w:r>
        <w:rPr>
          <w:lang w:val="en-GB"/>
        </w:rPr>
        <w:t xml:space="preserve">elegated </w:t>
      </w:r>
      <w:r w:rsidR="009D089B">
        <w:rPr>
          <w:lang w:val="en-GB"/>
        </w:rPr>
        <w:t>A</w:t>
      </w:r>
      <w:r>
        <w:rPr>
          <w:lang w:val="en-GB"/>
        </w:rPr>
        <w:t>cts as a starting point for the assessment. After passing the preconditions, the final selection of investment targets is based on impact such as overall emissions reduction potential.</w:t>
      </w:r>
    </w:p>
    <w:p w14:paraId="6D1E4EBB" w14:textId="6BB3592B" w:rsidR="005162FF" w:rsidRDefault="005162FF" w:rsidP="005162FF">
      <w:pPr>
        <w:rPr>
          <w:lang w:val="en-GB"/>
        </w:rPr>
      </w:pPr>
      <w:r w:rsidRPr="005162FF">
        <w:rPr>
          <w:lang w:val="en-GB"/>
        </w:rPr>
        <w:lastRenderedPageBreak/>
        <w:t xml:space="preserve">The process of alignment with DNSH involves an initial analysis by the applicant, supported by the Finnish Climate Fund. This support has proven to be particularly relevant given the novelty of DNSH and the size of the companies (usually </w:t>
      </w:r>
      <w:r w:rsidR="00D7798F">
        <w:rPr>
          <w:lang w:val="en-GB"/>
        </w:rPr>
        <w:t>SME</w:t>
      </w:r>
      <w:r w:rsidR="00DF1159">
        <w:rPr>
          <w:lang w:val="en-GB"/>
        </w:rPr>
        <w:t>s</w:t>
      </w:r>
      <w:r w:rsidR="00D7798F">
        <w:rPr>
          <w:lang w:val="en-GB"/>
        </w:rPr>
        <w:t xml:space="preserve"> or startups</w:t>
      </w:r>
      <w:r w:rsidRPr="005162FF">
        <w:rPr>
          <w:lang w:val="en-GB"/>
        </w:rPr>
        <w:t>). Afterward</w:t>
      </w:r>
      <w:r w:rsidR="00923BAE">
        <w:rPr>
          <w:lang w:val="en-GB"/>
        </w:rPr>
        <w:t>s</w:t>
      </w:r>
      <w:r w:rsidRPr="005162FF">
        <w:rPr>
          <w:lang w:val="en-GB"/>
        </w:rPr>
        <w:t xml:space="preserve">, </w:t>
      </w:r>
      <w:r w:rsidR="009372BC">
        <w:rPr>
          <w:lang w:val="en-GB"/>
        </w:rPr>
        <w:t>the verification process</w:t>
      </w:r>
      <w:r w:rsidRPr="005162FF">
        <w:rPr>
          <w:lang w:val="en-GB"/>
        </w:rPr>
        <w:t xml:space="preserve"> is conducted with the assistance of external technical</w:t>
      </w:r>
      <w:r w:rsidR="00DF074F">
        <w:rPr>
          <w:lang w:val="en-GB"/>
        </w:rPr>
        <w:t xml:space="preserve"> experts</w:t>
      </w:r>
      <w:r w:rsidRPr="005162FF">
        <w:rPr>
          <w:lang w:val="en-GB"/>
        </w:rPr>
        <w:t>. If the appraisal reveals data gaps or contradictions, further steps and reporting requirements are implemented to rectify them. Currently, the fund uses criteria from the EU Taxonomy Delegated Act and DNSH guidelines made by the Finnish Environment Institute</w:t>
      </w:r>
      <w:r w:rsidR="00F507D8">
        <w:rPr>
          <w:lang w:val="en-GB"/>
        </w:rPr>
        <w:t xml:space="preserve"> (SYKE)</w:t>
      </w:r>
      <w:r w:rsidRPr="005162FF">
        <w:rPr>
          <w:lang w:val="en-GB"/>
        </w:rPr>
        <w:t xml:space="preserve"> </w:t>
      </w:r>
      <w:r w:rsidR="0057416A">
        <w:rPr>
          <w:lang w:val="en-GB"/>
        </w:rPr>
        <w:t>for assessing the</w:t>
      </w:r>
      <w:r w:rsidRPr="005162FF">
        <w:rPr>
          <w:lang w:val="en-GB"/>
        </w:rPr>
        <w:t xml:space="preserve"> DNSH principle. </w:t>
      </w:r>
    </w:p>
    <w:p w14:paraId="18F796BA" w14:textId="77777777" w:rsidR="00EB0B95" w:rsidRDefault="00EB0B95" w:rsidP="00EB0B95">
      <w:pPr>
        <w:jc w:val="both"/>
        <w:rPr>
          <w:rFonts w:eastAsia="Times New Roman"/>
          <w:b/>
          <w:bCs/>
          <w:iCs/>
          <w:color w:val="F04E30"/>
        </w:rPr>
      </w:pPr>
    </w:p>
    <w:p w14:paraId="0F05ADA3" w14:textId="2925995B" w:rsidR="00A377DC" w:rsidRPr="00EB0B95" w:rsidRDefault="00EB0B95" w:rsidP="00EB0B95">
      <w:pPr>
        <w:jc w:val="both"/>
        <w:rPr>
          <w:rFonts w:eastAsia="Times New Roman"/>
          <w:b/>
          <w:bCs/>
          <w:iCs/>
          <w:color w:val="F04E30"/>
        </w:rPr>
      </w:pPr>
      <w:r w:rsidRPr="00EB0B95">
        <w:rPr>
          <w:rFonts w:eastAsia="Times New Roman"/>
          <w:b/>
          <w:bCs/>
          <w:iCs/>
          <w:color w:val="F04E30"/>
        </w:rPr>
        <w:t xml:space="preserve">Green budgeting (Austria) </w:t>
      </w:r>
    </w:p>
    <w:p w14:paraId="4C9ED809" w14:textId="0420009F" w:rsidR="00A377DC" w:rsidRPr="00A377DC" w:rsidRDefault="00A377DC" w:rsidP="00A377DC">
      <w:pPr>
        <w:rPr>
          <w:lang w:val="en-GB"/>
        </w:rPr>
      </w:pPr>
      <w:r w:rsidRPr="00A377DC">
        <w:rPr>
          <w:lang w:val="en-GB"/>
        </w:rPr>
        <w:t xml:space="preserve">Austria uses green budgeting as </w:t>
      </w:r>
      <w:r w:rsidR="001618CE" w:rsidRPr="00A377DC">
        <w:rPr>
          <w:lang w:val="en-GB"/>
        </w:rPr>
        <w:t>a</w:t>
      </w:r>
      <w:r w:rsidRPr="00A377DC">
        <w:rPr>
          <w:lang w:val="en-GB"/>
        </w:rPr>
        <w:t xml:space="preserve"> holistic methodology to identify and invest in green activities. The process is led by the Ministry of Finance and involves reviewing all </w:t>
      </w:r>
      <w:r w:rsidR="006C0472" w:rsidRPr="00A377DC">
        <w:rPr>
          <w:lang w:val="en-GB"/>
        </w:rPr>
        <w:t>38,000 budget lines</w:t>
      </w:r>
      <w:r w:rsidRPr="00A377DC">
        <w:rPr>
          <w:lang w:val="en-GB"/>
        </w:rPr>
        <w:t>, integrating environmental considerations into the budget formulation and decision-making process.</w:t>
      </w:r>
    </w:p>
    <w:p w14:paraId="04D2B35B" w14:textId="77777777" w:rsidR="00A377DC" w:rsidRPr="00A377DC" w:rsidRDefault="00A377DC" w:rsidP="00A377DC">
      <w:pPr>
        <w:rPr>
          <w:lang w:val="en-GB"/>
        </w:rPr>
      </w:pPr>
    </w:p>
    <w:p w14:paraId="2237549F" w14:textId="58D71DA4" w:rsidR="00A377DC" w:rsidRPr="00A377DC" w:rsidRDefault="00A377DC" w:rsidP="00A377DC">
      <w:pPr>
        <w:rPr>
          <w:lang w:val="en-GB"/>
        </w:rPr>
      </w:pPr>
      <w:r w:rsidRPr="00A377DC">
        <w:rPr>
          <w:lang w:val="en-GB"/>
        </w:rPr>
        <w:t xml:space="preserve">The Ministry now intends to extend this approach to regional budgeting and to interlink green budgeting with the DNSH principle, </w:t>
      </w:r>
      <w:r w:rsidR="006C0472">
        <w:rPr>
          <w:lang w:val="en-GB"/>
        </w:rPr>
        <w:t>since</w:t>
      </w:r>
      <w:r w:rsidRPr="00A377DC">
        <w:rPr>
          <w:lang w:val="en-GB"/>
        </w:rPr>
        <w:t xml:space="preserve"> conceptually, green budgeting can be used to estimate DNSH compliance. To achieve this, the Ministry's approach involves two steps. First, if a budget line is relevant for climate and environment, it is considered DNSH compliant. Second, if a budget line is not considered relevant, the green budgeting methodology is employed to evaluate compliance with each of the six environmental objectives. A score is assigned to the budget line for each objective. If the scores </w:t>
      </w:r>
      <w:r w:rsidR="005A7566" w:rsidRPr="00A377DC">
        <w:rPr>
          <w:lang w:val="en-GB"/>
        </w:rPr>
        <w:t>indicate</w:t>
      </w:r>
      <w:r w:rsidRPr="00A377DC">
        <w:rPr>
          <w:lang w:val="en-GB"/>
        </w:rPr>
        <w:t xml:space="preserve"> "intended counter-productivity"</w:t>
      </w:r>
      <w:r w:rsidR="00EB0252">
        <w:rPr>
          <w:lang w:val="en-GB"/>
        </w:rPr>
        <w:t>,</w:t>
      </w:r>
      <w:r w:rsidRPr="00A377DC">
        <w:rPr>
          <w:lang w:val="en-GB"/>
        </w:rPr>
        <w:t xml:space="preserve"> "counter-productivity as a side effect"</w:t>
      </w:r>
      <w:r w:rsidR="00EB0252">
        <w:rPr>
          <w:lang w:val="en-GB"/>
        </w:rPr>
        <w:t>,</w:t>
      </w:r>
      <w:r w:rsidRPr="00A377DC">
        <w:rPr>
          <w:lang w:val="en-GB"/>
        </w:rPr>
        <w:t xml:space="preserve"> or "effect unclear," an additional DNSH assessment is necessary. However, if the scores indicate "no effect," "productivity as a side effect," or "intended productivity," the budget line is considered compliant with DNSH principles.</w:t>
      </w:r>
      <w:r w:rsidR="008A3643">
        <w:rPr>
          <w:lang w:val="en-GB"/>
        </w:rPr>
        <w:t xml:space="preserve"> This process is depicted in </w:t>
      </w:r>
      <w:r w:rsidR="00902384" w:rsidRPr="001A6895">
        <w:rPr>
          <w:lang w:val="en-GB"/>
        </w:rPr>
        <w:fldChar w:fldCharType="begin"/>
      </w:r>
      <w:r w:rsidR="00902384" w:rsidRPr="001A6895">
        <w:rPr>
          <w:lang w:val="en-GB"/>
        </w:rPr>
        <w:instrText xml:space="preserve"> REF _Ref128126512 \h  \* MERGEFORMAT </w:instrText>
      </w:r>
      <w:r w:rsidR="00902384" w:rsidRPr="001A6895">
        <w:rPr>
          <w:lang w:val="en-GB"/>
        </w:rPr>
      </w:r>
      <w:r w:rsidR="00902384" w:rsidRPr="001A6895">
        <w:rPr>
          <w:lang w:val="en-GB"/>
        </w:rPr>
        <w:fldChar w:fldCharType="separate"/>
      </w:r>
      <w:r w:rsidR="0031368D">
        <w:t>Figure 1</w:t>
      </w:r>
      <w:r w:rsidR="00902384" w:rsidRPr="001A6895">
        <w:rPr>
          <w:lang w:val="en-GB"/>
        </w:rPr>
        <w:fldChar w:fldCharType="end"/>
      </w:r>
      <w:r w:rsidR="008A3643">
        <w:rPr>
          <w:lang w:val="en-GB"/>
        </w:rPr>
        <w:t>.</w:t>
      </w:r>
    </w:p>
    <w:p w14:paraId="78C5D0D8" w14:textId="77777777" w:rsidR="008A3643" w:rsidRDefault="008A3643" w:rsidP="00A377DC">
      <w:pPr>
        <w:rPr>
          <w:lang w:val="en-GB"/>
        </w:rPr>
      </w:pPr>
    </w:p>
    <w:p w14:paraId="321EDBBD" w14:textId="77777777" w:rsidR="0010463C" w:rsidRDefault="0010463C" w:rsidP="0010463C">
      <w:pPr>
        <w:rPr>
          <w:lang w:val="en-GB"/>
        </w:rPr>
      </w:pPr>
      <w:r w:rsidRPr="00960AAF">
        <w:rPr>
          <w:lang w:val="en-GB"/>
        </w:rPr>
        <w:t xml:space="preserve">Even though the process is still in its early stages, the </w:t>
      </w:r>
      <w:r w:rsidRPr="00A377DC">
        <w:rPr>
          <w:lang w:val="en-GB"/>
        </w:rPr>
        <w:t xml:space="preserve">Ministry </w:t>
      </w:r>
      <w:r w:rsidRPr="00960AAF">
        <w:rPr>
          <w:lang w:val="en-GB"/>
        </w:rPr>
        <w:t>has</w:t>
      </w:r>
      <w:r>
        <w:rPr>
          <w:lang w:val="en-GB"/>
        </w:rPr>
        <w:t xml:space="preserve"> already</w:t>
      </w:r>
      <w:r w:rsidRPr="00960AAF">
        <w:rPr>
          <w:lang w:val="en-GB"/>
        </w:rPr>
        <w:t xml:space="preserve"> identified</w:t>
      </w:r>
      <w:r w:rsidRPr="00A377DC">
        <w:rPr>
          <w:lang w:val="en-GB"/>
        </w:rPr>
        <w:t xml:space="preserve"> institutional and methodological challenges </w:t>
      </w:r>
      <w:r w:rsidRPr="00960AAF">
        <w:rPr>
          <w:lang w:val="en-GB"/>
        </w:rPr>
        <w:t>that such a process will entail.</w:t>
      </w:r>
      <w:r w:rsidRPr="00A377DC">
        <w:rPr>
          <w:lang w:val="en-GB"/>
        </w:rPr>
        <w:t xml:space="preserve"> Institutional challenges involve convincing all </w:t>
      </w:r>
      <w:r>
        <w:rPr>
          <w:lang w:val="en-GB"/>
        </w:rPr>
        <w:t xml:space="preserve">the </w:t>
      </w:r>
      <w:r w:rsidRPr="00A377DC">
        <w:rPr>
          <w:lang w:val="en-GB"/>
        </w:rPr>
        <w:t>line Ministries and departments of the relevance of green budgeting. Methodological challenges include balancing granularity and usability, recognizing modified scores, acknowledging rebound effects, and ensuring the solidity of the scoring through a quality assurance process.</w:t>
      </w:r>
    </w:p>
    <w:p w14:paraId="64E0C1CB" w14:textId="77777777" w:rsidR="0010463C" w:rsidRPr="005162FF" w:rsidRDefault="0010463C" w:rsidP="0010463C">
      <w:pPr>
        <w:rPr>
          <w:lang w:val="en-GB"/>
        </w:rPr>
      </w:pPr>
    </w:p>
    <w:p w14:paraId="1D776450" w14:textId="3E1E186B" w:rsidR="0010463C" w:rsidRDefault="0010463C" w:rsidP="0010463C">
      <w:r>
        <w:t xml:space="preserve">In addition to these focus cases, two relevant practices providing an illustration of example solutions to face challenges for R&amp;D and green innovative projects were identified during the panel discussion of Webinar 3. Their functioning and relevance are presented in </w:t>
      </w:r>
      <w:r>
        <w:fldChar w:fldCharType="begin"/>
      </w:r>
      <w:r>
        <w:instrText xml:space="preserve"> REF _Ref128126105 \h </w:instrText>
      </w:r>
      <w:r>
        <w:fldChar w:fldCharType="separate"/>
      </w:r>
      <w:r w:rsidR="0031368D">
        <w:t xml:space="preserve">Box </w:t>
      </w:r>
      <w:r w:rsidR="0031368D">
        <w:rPr>
          <w:noProof/>
        </w:rPr>
        <w:t>5</w:t>
      </w:r>
      <w:r>
        <w:fldChar w:fldCharType="end"/>
      </w:r>
      <w:r>
        <w:t>.</w:t>
      </w:r>
    </w:p>
    <w:p w14:paraId="328B6712" w14:textId="77777777" w:rsidR="0010463C" w:rsidRDefault="0010463C" w:rsidP="00A377DC">
      <w:pPr>
        <w:rPr>
          <w:lang w:val="en-GB"/>
        </w:rPr>
      </w:pPr>
    </w:p>
    <w:p w14:paraId="3CF28EF9" w14:textId="372915A0" w:rsidR="00902384" w:rsidRDefault="00902384" w:rsidP="00EA2D8D">
      <w:pPr>
        <w:pStyle w:val="Titulek"/>
        <w:keepNext/>
      </w:pPr>
      <w:bookmarkStart w:id="36" w:name="_Ref128126512"/>
      <w:r>
        <w:lastRenderedPageBreak/>
        <w:t xml:space="preserve">Figure </w:t>
      </w:r>
      <w:fldSimple w:instr=" SEQ Figure \* ARABIC ">
        <w:r w:rsidR="0031368D">
          <w:rPr>
            <w:noProof/>
          </w:rPr>
          <w:t>1</w:t>
        </w:r>
      </w:fldSimple>
      <w:bookmarkEnd w:id="36"/>
      <w:r>
        <w:t xml:space="preserve"> </w:t>
      </w:r>
      <w:r w:rsidRPr="00C840AE">
        <w:t>Process for estimating DNSH compliance based on green budgeting</w:t>
      </w:r>
      <w:r>
        <w:t xml:space="preserve"> (source: Austrian Ministry of Finance)</w:t>
      </w:r>
    </w:p>
    <w:p w14:paraId="3FB611D5" w14:textId="1A14D197" w:rsidR="00A377DC" w:rsidRPr="00A377DC" w:rsidRDefault="00902384" w:rsidP="0010463C">
      <w:pPr>
        <w:keepNext/>
        <w:jc w:val="center"/>
        <w:rPr>
          <w:lang w:val="en-GB"/>
        </w:rPr>
      </w:pPr>
      <w:r w:rsidRPr="00902384">
        <w:rPr>
          <w:noProof/>
          <w:lang w:val="cs-CZ" w:eastAsia="cs-CZ"/>
        </w:rPr>
        <w:drawing>
          <wp:inline distT="0" distB="0" distL="0" distR="0" wp14:anchorId="0193A470" wp14:editId="30CCE331">
            <wp:extent cx="4276725" cy="4070610"/>
            <wp:effectExtent l="0" t="0" r="0" b="635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pic:nvPicPr>
                  <pic:blipFill>
                    <a:blip r:embed="rId21"/>
                    <a:stretch>
                      <a:fillRect/>
                    </a:stretch>
                  </pic:blipFill>
                  <pic:spPr>
                    <a:xfrm>
                      <a:off x="0" y="0"/>
                      <a:ext cx="4336339" cy="4127351"/>
                    </a:xfrm>
                    <a:prstGeom prst="rect">
                      <a:avLst/>
                    </a:prstGeom>
                  </pic:spPr>
                </pic:pic>
              </a:graphicData>
            </a:graphic>
          </wp:inline>
        </w:drawing>
      </w:r>
    </w:p>
    <w:p w14:paraId="3C5E1FAF" w14:textId="77777777" w:rsidR="00246CC8" w:rsidRDefault="00246CC8" w:rsidP="00246CC8"/>
    <w:p w14:paraId="01F25C1D" w14:textId="7719425F" w:rsidR="00246CC8" w:rsidRDefault="00246CC8" w:rsidP="00246CC8">
      <w:pPr>
        <w:pStyle w:val="Titulek"/>
        <w:keepNext/>
      </w:pPr>
      <w:bookmarkStart w:id="37" w:name="_Ref128126105"/>
      <w:r>
        <w:t xml:space="preserve">Box </w:t>
      </w:r>
      <w:fldSimple w:instr=" SEQ Box \* ARABIC ">
        <w:r w:rsidR="0031368D">
          <w:rPr>
            <w:noProof/>
          </w:rPr>
          <w:t>5</w:t>
        </w:r>
      </w:fldSimple>
      <w:bookmarkEnd w:id="37"/>
      <w:r>
        <w:t xml:space="preserve"> Illustrative practice</w:t>
      </w:r>
      <w:r w:rsidR="00DC0E10">
        <w:t>s</w:t>
      </w:r>
      <w:r>
        <w:rPr>
          <w:noProof/>
        </w:rPr>
        <w:t xml:space="preserve"> </w:t>
      </w:r>
      <w:r w:rsidR="00CB63D2">
        <w:rPr>
          <w:noProof/>
        </w:rPr>
        <w:t xml:space="preserve">for R&amp;D and green innovative </w:t>
      </w:r>
      <w:r w:rsidR="002610E2">
        <w:rPr>
          <w:noProof/>
        </w:rPr>
        <w:t>investments</w:t>
      </w:r>
    </w:p>
    <w:tbl>
      <w:tblPr>
        <w:tblStyle w:val="Table1"/>
        <w:tblW w:w="5000" w:type="pct"/>
        <w:shd w:val="clear" w:color="auto" w:fill="E0EBEB" w:themeFill="accent3" w:themeFillTint="66"/>
        <w:tblLook w:val="04A0" w:firstRow="1" w:lastRow="0" w:firstColumn="1" w:lastColumn="0" w:noHBand="0" w:noVBand="1"/>
      </w:tblPr>
      <w:tblGrid>
        <w:gridCol w:w="9016"/>
      </w:tblGrid>
      <w:tr w:rsidR="00246CC8" w:rsidRPr="007A5F9A" w14:paraId="0504A67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0EBEB" w:themeFill="accent3" w:themeFillTint="66"/>
          </w:tcPr>
          <w:p w14:paraId="431FB0B2" w14:textId="4BD61890" w:rsidR="00246CC8" w:rsidRPr="00CB63D2" w:rsidRDefault="00246CC8" w:rsidP="00CB63D2">
            <w:pPr>
              <w:ind w:left="0"/>
              <w:rPr>
                <w:rFonts w:eastAsia="Times New Roman"/>
                <w:iCs/>
                <w:color w:val="005962" w:themeColor="accent1"/>
              </w:rPr>
            </w:pPr>
            <w:r w:rsidRPr="00CB63D2">
              <w:rPr>
                <w:rFonts w:eastAsia="Times New Roman"/>
                <w:iCs/>
                <w:color w:val="005962" w:themeColor="accent1"/>
              </w:rPr>
              <w:t>Enhanced coordination between stakeholders (</w:t>
            </w:r>
            <w:r w:rsidR="001A6895">
              <w:rPr>
                <w:rFonts w:eastAsia="Times New Roman"/>
                <w:iCs/>
                <w:color w:val="005962" w:themeColor="accent1"/>
              </w:rPr>
              <w:t>based on the Finnish model</w:t>
            </w:r>
            <w:r w:rsidRPr="00CB63D2">
              <w:rPr>
                <w:rFonts w:eastAsia="Times New Roman"/>
                <w:iCs/>
                <w:color w:val="005962" w:themeColor="accent1"/>
              </w:rPr>
              <w:t>)</w:t>
            </w:r>
          </w:p>
          <w:p w14:paraId="0D132381" w14:textId="7E2A58E0" w:rsidR="00246CC8" w:rsidRPr="00CB63D2" w:rsidRDefault="00246CC8" w:rsidP="00246CC8">
            <w:pPr>
              <w:ind w:left="0"/>
              <w:jc w:val="left"/>
              <w:rPr>
                <w:b w:val="0"/>
                <w:bCs/>
                <w:color w:val="000000" w:themeColor="text1"/>
              </w:rPr>
            </w:pPr>
            <w:r w:rsidRPr="00CB63D2">
              <w:rPr>
                <w:b w:val="0"/>
                <w:bCs/>
                <w:color w:val="000000" w:themeColor="text1"/>
              </w:rPr>
              <w:t>The Finnish Ministry of Economic Affairs emphasize</w:t>
            </w:r>
            <w:r w:rsidR="007034C6" w:rsidRPr="00CB63D2">
              <w:rPr>
                <w:b w:val="0"/>
                <w:bCs/>
                <w:color w:val="000000" w:themeColor="text1"/>
              </w:rPr>
              <w:t>s</w:t>
            </w:r>
            <w:r w:rsidRPr="00CB63D2">
              <w:rPr>
                <w:b w:val="0"/>
                <w:bCs/>
                <w:color w:val="000000" w:themeColor="text1"/>
              </w:rPr>
              <w:t xml:space="preserve"> the importance of cooperation in ensuring the quality assurance of DNSH assessments and projects, particularly with regard to R&amp;D projects. The Ministry funds green energy infrastructure and all 38 projects so far have gone through and validated a DNSH assessment. The Ministry holds regular discussions with local authorities and applicants, using guidelines developed by the Finnish Environment Institute as well as European guidelines. Trainings have also been provided to applicants to ensure their understanding of DNSH. When it comes to sub-components that may require additional DNSH analysis, </w:t>
            </w:r>
            <w:r w:rsidR="007034C6" w:rsidRPr="00CB63D2">
              <w:rPr>
                <w:b w:val="0"/>
                <w:bCs/>
                <w:color w:val="000000" w:themeColor="text1"/>
              </w:rPr>
              <w:t xml:space="preserve">the Ministry </w:t>
            </w:r>
            <w:r w:rsidR="00F703B5" w:rsidRPr="00CB63D2">
              <w:rPr>
                <w:b w:val="0"/>
                <w:bCs/>
                <w:color w:val="000000" w:themeColor="text1"/>
              </w:rPr>
              <w:t xml:space="preserve">conducts </w:t>
            </w:r>
            <w:r w:rsidRPr="00CB63D2">
              <w:rPr>
                <w:b w:val="0"/>
                <w:bCs/>
                <w:color w:val="000000" w:themeColor="text1"/>
              </w:rPr>
              <w:t>analyse</w:t>
            </w:r>
            <w:r w:rsidR="007034C6" w:rsidRPr="00CB63D2">
              <w:rPr>
                <w:b w:val="0"/>
                <w:bCs/>
                <w:color w:val="000000" w:themeColor="text1"/>
              </w:rPr>
              <w:t>s</w:t>
            </w:r>
            <w:r w:rsidRPr="00CB63D2">
              <w:rPr>
                <w:b w:val="0"/>
                <w:bCs/>
                <w:color w:val="000000" w:themeColor="text1"/>
              </w:rPr>
              <w:t xml:space="preserve"> </w:t>
            </w:r>
            <w:r w:rsidR="00BF51ED" w:rsidRPr="00CB63D2">
              <w:rPr>
                <w:b w:val="0"/>
                <w:bCs/>
                <w:color w:val="000000" w:themeColor="text1"/>
              </w:rPr>
              <w:t xml:space="preserve">similar to </w:t>
            </w:r>
            <w:r w:rsidRPr="00CB63D2">
              <w:rPr>
                <w:b w:val="0"/>
                <w:bCs/>
                <w:color w:val="000000" w:themeColor="text1"/>
              </w:rPr>
              <w:t xml:space="preserve">any other project, with riskier aspects being assessed more in-depth. Moreover, </w:t>
            </w:r>
            <w:r w:rsidR="003803BC" w:rsidRPr="00CB63D2">
              <w:rPr>
                <w:b w:val="0"/>
                <w:bCs/>
                <w:color w:val="000000" w:themeColor="text1"/>
              </w:rPr>
              <w:t xml:space="preserve">exchanges with local authorities in charge of </w:t>
            </w:r>
            <w:r w:rsidRPr="00CB63D2">
              <w:rPr>
                <w:b w:val="0"/>
                <w:bCs/>
                <w:color w:val="000000" w:themeColor="text1"/>
              </w:rPr>
              <w:t xml:space="preserve">environmental permitting </w:t>
            </w:r>
            <w:r w:rsidR="00BF51ED" w:rsidRPr="00CB63D2">
              <w:rPr>
                <w:b w:val="0"/>
                <w:bCs/>
                <w:color w:val="000000" w:themeColor="text1"/>
              </w:rPr>
              <w:t xml:space="preserve">is </w:t>
            </w:r>
            <w:r w:rsidRPr="00CB63D2">
              <w:rPr>
                <w:b w:val="0"/>
                <w:bCs/>
                <w:color w:val="000000" w:themeColor="text1"/>
              </w:rPr>
              <w:t>a useful tool when there are uncertainties about potential impacts.</w:t>
            </w:r>
          </w:p>
          <w:p w14:paraId="64F4C119" w14:textId="7ADE21F1" w:rsidR="00F10DFC" w:rsidRDefault="00F10DFC" w:rsidP="00246CC8">
            <w:pPr>
              <w:ind w:left="0"/>
              <w:jc w:val="left"/>
              <w:rPr>
                <w:bCs/>
                <w:color w:val="000000" w:themeColor="text1"/>
              </w:rPr>
            </w:pPr>
            <w:r w:rsidRPr="00CB63D2">
              <w:rPr>
                <w:b w:val="0"/>
                <w:bCs/>
                <w:color w:val="000000" w:themeColor="text1"/>
              </w:rPr>
              <w:t xml:space="preserve">This practice provides an example of </w:t>
            </w:r>
            <w:r w:rsidR="00931006">
              <w:rPr>
                <w:b w:val="0"/>
                <w:color w:val="000000" w:themeColor="text1"/>
              </w:rPr>
              <w:t xml:space="preserve">a </w:t>
            </w:r>
            <w:r w:rsidRPr="00CB63D2">
              <w:rPr>
                <w:b w:val="0"/>
                <w:bCs/>
                <w:color w:val="000000" w:themeColor="text1"/>
              </w:rPr>
              <w:t xml:space="preserve">solution to strike a balance between standardization and the consideration of projects’ specificities. </w:t>
            </w:r>
          </w:p>
          <w:p w14:paraId="5E2E4866" w14:textId="77777777" w:rsidR="00D06ED0" w:rsidRDefault="00D06ED0" w:rsidP="00246CC8">
            <w:pPr>
              <w:ind w:left="0"/>
              <w:jc w:val="left"/>
              <w:rPr>
                <w:bCs/>
                <w:color w:val="000000" w:themeColor="text1"/>
              </w:rPr>
            </w:pPr>
          </w:p>
          <w:p w14:paraId="02424185" w14:textId="33D7E514" w:rsidR="00D06ED0" w:rsidRPr="00CB63D2" w:rsidRDefault="00D06ED0" w:rsidP="00D06ED0">
            <w:pPr>
              <w:ind w:left="0"/>
              <w:rPr>
                <w:rFonts w:eastAsia="Times New Roman"/>
                <w:color w:val="005962" w:themeColor="accent1"/>
              </w:rPr>
            </w:pPr>
            <w:r w:rsidRPr="00CB63D2">
              <w:rPr>
                <w:rFonts w:eastAsia="Times New Roman"/>
                <w:iCs/>
                <w:color w:val="005962" w:themeColor="accent1"/>
              </w:rPr>
              <w:t xml:space="preserve">Use of broader data sources for </w:t>
            </w:r>
            <w:r w:rsidRPr="001A6895">
              <w:rPr>
                <w:rFonts w:eastAsia="Times New Roman"/>
                <w:color w:val="005962" w:themeColor="accent1"/>
                <w:lang w:val="en-GB"/>
              </w:rPr>
              <w:t>categorisation</w:t>
            </w:r>
            <w:r w:rsidRPr="00CB63D2">
              <w:rPr>
                <w:rFonts w:eastAsia="Times New Roman"/>
                <w:iCs/>
                <w:color w:val="005962" w:themeColor="accent1"/>
              </w:rPr>
              <w:t xml:space="preserve"> (</w:t>
            </w:r>
            <w:r w:rsidR="001A6895">
              <w:rPr>
                <w:rFonts w:eastAsia="Times New Roman"/>
                <w:iCs/>
                <w:color w:val="005962" w:themeColor="accent1"/>
              </w:rPr>
              <w:t>based on the Spanish model</w:t>
            </w:r>
            <w:r w:rsidRPr="00CB63D2">
              <w:rPr>
                <w:rFonts w:eastAsia="Times New Roman"/>
                <w:iCs/>
                <w:color w:val="005962" w:themeColor="accent1"/>
              </w:rPr>
              <w:t>)</w:t>
            </w:r>
          </w:p>
          <w:p w14:paraId="42D83773" w14:textId="77777777" w:rsidR="00D06ED0" w:rsidRDefault="00D06ED0" w:rsidP="00D06ED0">
            <w:pPr>
              <w:ind w:left="0"/>
              <w:jc w:val="left"/>
              <w:rPr>
                <w:bCs/>
                <w:color w:val="000000" w:themeColor="text1"/>
              </w:rPr>
            </w:pPr>
            <w:r w:rsidRPr="00576BED">
              <w:rPr>
                <w:b w:val="0"/>
                <w:bCs/>
                <w:color w:val="000000" w:themeColor="text1"/>
              </w:rPr>
              <w:t>The Spanish government has established a dedicated process to address situations where no DNSH technical screening criteria exist. This process involves collaborating with technical experts to identify the primary impact of activities across their entire life cycle, estimate these impacts, and draw conclusions based on them. If deemed significant, the beneficiaries must provide a compliance statement with specific reporting criteria.</w:t>
            </w:r>
          </w:p>
          <w:p w14:paraId="2563E994" w14:textId="7BD41017" w:rsidR="00F10DFC" w:rsidRPr="00CB63D2" w:rsidRDefault="00D06ED0" w:rsidP="00246CC8">
            <w:pPr>
              <w:ind w:left="0"/>
              <w:jc w:val="left"/>
              <w:rPr>
                <w:b w:val="0"/>
                <w:bCs/>
              </w:rPr>
            </w:pPr>
            <w:r>
              <w:rPr>
                <w:b w:val="0"/>
                <w:bCs/>
                <w:color w:val="000000" w:themeColor="text1"/>
                <w:szCs w:val="16"/>
                <w:lang w:val="en-GB"/>
              </w:rPr>
              <w:t>This practice provides qualitative criteria and information, thus facing the challenge of developing alternative criteria and methodologies to classify innovative investments.</w:t>
            </w:r>
          </w:p>
        </w:tc>
      </w:tr>
    </w:tbl>
    <w:p w14:paraId="69134569" w14:textId="0A40A550" w:rsidR="00373CAC" w:rsidRDefault="00373CAC" w:rsidP="002C0E41">
      <w:pPr>
        <w:pStyle w:val="Nadpis3"/>
        <w:ind w:left="567" w:hanging="567"/>
      </w:pPr>
      <w:bookmarkStart w:id="38" w:name="_Toc131775843"/>
      <w:r>
        <w:lastRenderedPageBreak/>
        <w:t>Replicability to the Czech context</w:t>
      </w:r>
      <w:bookmarkEnd w:id="38"/>
    </w:p>
    <w:p w14:paraId="3156E07B" w14:textId="0B041888" w:rsidR="00532CE9" w:rsidRPr="00532CE9" w:rsidRDefault="00532CE9" w:rsidP="00532CE9">
      <w:r>
        <w:t xml:space="preserve">In order to evaluate the replicability of the abovementioned practices to Czechia, </w:t>
      </w:r>
      <w:r w:rsidR="008A6193" w:rsidRPr="001A6895">
        <w:fldChar w:fldCharType="begin"/>
      </w:r>
      <w:r w:rsidR="008A6193" w:rsidRPr="001A6895">
        <w:instrText xml:space="preserve"> REF _Ref128060714 \h  \* MERGEFORMAT </w:instrText>
      </w:r>
      <w:r w:rsidR="008A6193" w:rsidRPr="001A6895">
        <w:fldChar w:fldCharType="separate"/>
      </w:r>
      <w:r w:rsidR="0031368D">
        <w:t>Table 5</w:t>
      </w:r>
      <w:r w:rsidR="008A6193" w:rsidRPr="001A6895">
        <w:fldChar w:fldCharType="end"/>
      </w:r>
      <w:r>
        <w:t xml:space="preserve"> synthesizes the enablers and barriers to the establishment</w:t>
      </w:r>
      <w:r w:rsidR="00C075EB">
        <w:t xml:space="preserve"> and success</w:t>
      </w:r>
      <w:r>
        <w:t xml:space="preserve"> of the practices.</w:t>
      </w:r>
      <w:r w:rsidR="00F90DE6">
        <w:t xml:space="preserve"> Here, enablers are defined as factors that allow the establishment and effectiveness of the practices. </w:t>
      </w:r>
      <w:r w:rsidR="00E80B79">
        <w:t>In</w:t>
      </w:r>
      <w:r w:rsidR="00F90DE6" w:rsidDel="00E80B79">
        <w:t xml:space="preserve"> </w:t>
      </w:r>
      <w:r w:rsidR="00F90DE6">
        <w:t>contrast, barriers are defined as factors that hinder the establishment and effectiveness of the practices.</w:t>
      </w:r>
    </w:p>
    <w:p w14:paraId="61DC8C5A" w14:textId="1A7A1A1E" w:rsidR="00767A7C" w:rsidRDefault="00767A7C" w:rsidP="00373CAC">
      <w:pPr>
        <w:ind w:left="0"/>
        <w:rPr>
          <w:lang w:val="en-GB"/>
        </w:rPr>
      </w:pPr>
    </w:p>
    <w:p w14:paraId="76425A9E" w14:textId="5D156116" w:rsidR="008A6193" w:rsidRDefault="008A6193" w:rsidP="008A6193">
      <w:pPr>
        <w:pStyle w:val="Titulek"/>
        <w:keepNext/>
      </w:pPr>
      <w:bookmarkStart w:id="39" w:name="_Ref128060714"/>
      <w:r>
        <w:t xml:space="preserve">Table </w:t>
      </w:r>
      <w:fldSimple w:instr=" SEQ Table \* ARABIC ">
        <w:r w:rsidR="0031368D">
          <w:rPr>
            <w:noProof/>
          </w:rPr>
          <w:t>5</w:t>
        </w:r>
      </w:fldSimple>
      <w:bookmarkEnd w:id="39"/>
      <w:r>
        <w:t xml:space="preserve"> </w:t>
      </w:r>
      <w:r w:rsidRPr="00B36331">
        <w:t xml:space="preserve">Enablers and barriers to the practices </w:t>
      </w:r>
      <w:r>
        <w:t xml:space="preserve">for R&amp;D and green innovation </w:t>
      </w:r>
      <w:r w:rsidRPr="00B36331">
        <w:t>reviewed</w:t>
      </w:r>
    </w:p>
    <w:tbl>
      <w:tblPr>
        <w:tblStyle w:val="Table1"/>
        <w:tblW w:w="0" w:type="auto"/>
        <w:tblLook w:val="04A0" w:firstRow="1" w:lastRow="0" w:firstColumn="1" w:lastColumn="0" w:noHBand="0" w:noVBand="1"/>
      </w:tblPr>
      <w:tblGrid>
        <w:gridCol w:w="353"/>
        <w:gridCol w:w="2052"/>
        <w:gridCol w:w="1985"/>
        <w:gridCol w:w="1984"/>
        <w:gridCol w:w="2075"/>
      </w:tblGrid>
      <w:tr w:rsidR="00532CE9" w:rsidRPr="001B2DC5" w14:paraId="1B998899" w14:textId="77777777" w:rsidTr="00D67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dxa"/>
            <w:shd w:val="clear" w:color="auto" w:fill="B2CFCD" w:themeFill="accent3"/>
            <w:tcMar>
              <w:left w:w="0" w:type="dxa"/>
              <w:bottom w:w="28" w:type="dxa"/>
              <w:right w:w="28" w:type="dxa"/>
            </w:tcMar>
            <w:vAlign w:val="top"/>
          </w:tcPr>
          <w:p w14:paraId="51449904" w14:textId="77777777" w:rsidR="00532CE9" w:rsidRPr="001B2DC5" w:rsidRDefault="00532CE9" w:rsidP="00D67234">
            <w:pPr>
              <w:spacing w:before="100" w:beforeAutospacing="1"/>
              <w:ind w:left="0"/>
              <w:rPr>
                <w:color w:val="auto"/>
                <w:sz w:val="16"/>
                <w:szCs w:val="16"/>
                <w:lang w:val="en-GB"/>
              </w:rPr>
            </w:pPr>
          </w:p>
        </w:tc>
        <w:tc>
          <w:tcPr>
            <w:tcW w:w="2052" w:type="dxa"/>
            <w:shd w:val="clear" w:color="auto" w:fill="B2CFCD" w:themeFill="accent3"/>
            <w:tcMar>
              <w:left w:w="28" w:type="dxa"/>
              <w:bottom w:w="28" w:type="dxa"/>
              <w:right w:w="28" w:type="dxa"/>
            </w:tcMar>
          </w:tcPr>
          <w:p w14:paraId="4FAF1601" w14:textId="59388EA2" w:rsidR="00532CE9" w:rsidRDefault="001B21D9">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r>
              <w:rPr>
                <w:color w:val="auto"/>
                <w:sz w:val="16"/>
                <w:szCs w:val="16"/>
                <w:lang w:val="en-GB"/>
              </w:rPr>
              <w:t>DNSH process for innovative investments</w:t>
            </w:r>
          </w:p>
          <w:p w14:paraId="0AEBFF41" w14:textId="50C84204" w:rsidR="00532CE9" w:rsidRPr="001B2DC5" w:rsidRDefault="00532CE9">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1B2DC5">
              <w:rPr>
                <w:color w:val="auto"/>
                <w:sz w:val="16"/>
                <w:szCs w:val="16"/>
                <w:lang w:val="en-GB"/>
              </w:rPr>
              <w:t>(</w:t>
            </w:r>
            <w:r w:rsidR="001B21D9">
              <w:rPr>
                <w:color w:val="auto"/>
                <w:sz w:val="16"/>
                <w:szCs w:val="16"/>
                <w:lang w:val="en-GB"/>
              </w:rPr>
              <w:t>FI</w:t>
            </w:r>
            <w:r w:rsidRPr="001B2DC5">
              <w:rPr>
                <w:color w:val="auto"/>
                <w:sz w:val="16"/>
                <w:szCs w:val="16"/>
                <w:lang w:val="en-GB"/>
              </w:rPr>
              <w:t>)</w:t>
            </w:r>
          </w:p>
        </w:tc>
        <w:tc>
          <w:tcPr>
            <w:tcW w:w="1985" w:type="dxa"/>
            <w:shd w:val="clear" w:color="auto" w:fill="B2CFCD" w:themeFill="accent3"/>
            <w:tcMar>
              <w:left w:w="28" w:type="dxa"/>
              <w:bottom w:w="28" w:type="dxa"/>
              <w:right w:w="28" w:type="dxa"/>
            </w:tcMar>
          </w:tcPr>
          <w:p w14:paraId="1AAC20C1" w14:textId="1BDA3174" w:rsidR="00532CE9" w:rsidRDefault="00007780">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r>
              <w:rPr>
                <w:color w:val="auto"/>
                <w:sz w:val="16"/>
                <w:szCs w:val="16"/>
                <w:lang w:val="en-GB"/>
              </w:rPr>
              <w:t>Green budgeting</w:t>
            </w:r>
          </w:p>
          <w:p w14:paraId="37D18DE3" w14:textId="77777777" w:rsidR="00007780" w:rsidRDefault="00007780">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p>
          <w:p w14:paraId="5871522C" w14:textId="4C6058E4" w:rsidR="00532CE9" w:rsidRPr="001B2DC5" w:rsidRDefault="00532CE9">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1B2DC5">
              <w:rPr>
                <w:color w:val="auto"/>
                <w:sz w:val="16"/>
                <w:szCs w:val="16"/>
                <w:lang w:val="en-GB"/>
              </w:rPr>
              <w:t>(</w:t>
            </w:r>
            <w:r w:rsidR="00007780">
              <w:rPr>
                <w:color w:val="auto"/>
                <w:sz w:val="16"/>
                <w:szCs w:val="16"/>
                <w:lang w:val="en-GB"/>
              </w:rPr>
              <w:t>AT</w:t>
            </w:r>
            <w:r w:rsidRPr="001B2DC5">
              <w:rPr>
                <w:color w:val="auto"/>
                <w:sz w:val="16"/>
                <w:szCs w:val="16"/>
                <w:lang w:val="en-GB"/>
              </w:rPr>
              <w:t>)</w:t>
            </w:r>
          </w:p>
        </w:tc>
        <w:tc>
          <w:tcPr>
            <w:tcW w:w="1984" w:type="dxa"/>
            <w:shd w:val="clear" w:color="auto" w:fill="B2CFCD" w:themeFill="accent3"/>
            <w:tcMar>
              <w:left w:w="28" w:type="dxa"/>
              <w:bottom w:w="28" w:type="dxa"/>
              <w:right w:w="28" w:type="dxa"/>
            </w:tcMar>
          </w:tcPr>
          <w:p w14:paraId="0E6A3575" w14:textId="6F59F63F" w:rsidR="00532CE9" w:rsidRDefault="00532CE9">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r>
              <w:rPr>
                <w:color w:val="auto"/>
                <w:sz w:val="16"/>
                <w:szCs w:val="16"/>
                <w:lang w:val="en-GB"/>
              </w:rPr>
              <w:t>Enhanced coordination between stakeholders</w:t>
            </w:r>
          </w:p>
          <w:p w14:paraId="1B918A52" w14:textId="050D5DED" w:rsidR="00532CE9" w:rsidRPr="001B2DC5" w:rsidRDefault="00532CE9">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1B2DC5">
              <w:rPr>
                <w:color w:val="auto"/>
                <w:sz w:val="16"/>
                <w:szCs w:val="16"/>
                <w:lang w:val="en-GB"/>
              </w:rPr>
              <w:t>(</w:t>
            </w:r>
            <w:r>
              <w:rPr>
                <w:color w:val="auto"/>
                <w:sz w:val="16"/>
                <w:szCs w:val="16"/>
                <w:lang w:val="en-GB"/>
              </w:rPr>
              <w:t>FI</w:t>
            </w:r>
            <w:r w:rsidRPr="001B2DC5">
              <w:rPr>
                <w:color w:val="auto"/>
                <w:sz w:val="16"/>
                <w:szCs w:val="16"/>
                <w:lang w:val="en-GB"/>
              </w:rPr>
              <w:t>)</w:t>
            </w:r>
          </w:p>
        </w:tc>
        <w:tc>
          <w:tcPr>
            <w:tcW w:w="2075" w:type="dxa"/>
            <w:shd w:val="clear" w:color="auto" w:fill="B2CFCD" w:themeFill="accent3"/>
            <w:tcMar>
              <w:left w:w="28" w:type="dxa"/>
              <w:bottom w:w="28" w:type="dxa"/>
              <w:right w:w="28" w:type="dxa"/>
            </w:tcMar>
          </w:tcPr>
          <w:p w14:paraId="397423D6" w14:textId="175AF3D3" w:rsidR="00532CE9" w:rsidRDefault="00532CE9">
            <w:pPr>
              <w:ind w:left="0"/>
              <w:cnfStyle w:val="100000000000" w:firstRow="1" w:lastRow="0" w:firstColumn="0" w:lastColumn="0" w:oddVBand="0" w:evenVBand="0" w:oddHBand="0" w:evenHBand="0" w:firstRowFirstColumn="0" w:firstRowLastColumn="0" w:lastRowFirstColumn="0" w:lastRowLastColumn="0"/>
              <w:rPr>
                <w:b w:val="0"/>
                <w:sz w:val="16"/>
                <w:szCs w:val="16"/>
                <w:lang w:val="en-GB"/>
              </w:rPr>
            </w:pPr>
            <w:r>
              <w:rPr>
                <w:color w:val="auto"/>
                <w:sz w:val="16"/>
                <w:szCs w:val="16"/>
                <w:lang w:val="en-GB"/>
              </w:rPr>
              <w:t>Use of broader data sources</w:t>
            </w:r>
            <w:r w:rsidR="006A104B">
              <w:rPr>
                <w:color w:val="auto"/>
                <w:sz w:val="16"/>
                <w:szCs w:val="16"/>
                <w:lang w:val="en-GB"/>
              </w:rPr>
              <w:t xml:space="preserve"> for categorisation</w:t>
            </w:r>
          </w:p>
          <w:p w14:paraId="378F9D7D" w14:textId="4360D366" w:rsidR="00532CE9" w:rsidRPr="001B2DC5" w:rsidRDefault="00532CE9">
            <w:pPr>
              <w:ind w:left="0"/>
              <w:cnfStyle w:val="100000000000" w:firstRow="1" w:lastRow="0" w:firstColumn="0" w:lastColumn="0" w:oddVBand="0" w:evenVBand="0" w:oddHBand="0" w:evenHBand="0" w:firstRowFirstColumn="0" w:firstRowLastColumn="0" w:lastRowFirstColumn="0" w:lastRowLastColumn="0"/>
              <w:rPr>
                <w:color w:val="auto"/>
                <w:sz w:val="16"/>
                <w:szCs w:val="16"/>
                <w:lang w:val="en-GB"/>
              </w:rPr>
            </w:pPr>
            <w:r w:rsidRPr="001B2DC5">
              <w:rPr>
                <w:color w:val="auto"/>
                <w:sz w:val="16"/>
                <w:szCs w:val="16"/>
                <w:lang w:val="en-GB"/>
              </w:rPr>
              <w:t>(E</w:t>
            </w:r>
            <w:r w:rsidR="00007780">
              <w:rPr>
                <w:color w:val="auto"/>
                <w:sz w:val="16"/>
                <w:szCs w:val="16"/>
                <w:lang w:val="en-GB"/>
              </w:rPr>
              <w:t>S</w:t>
            </w:r>
            <w:r w:rsidRPr="001B2DC5">
              <w:rPr>
                <w:color w:val="auto"/>
                <w:sz w:val="16"/>
                <w:szCs w:val="16"/>
                <w:lang w:val="en-GB"/>
              </w:rPr>
              <w:t>)</w:t>
            </w:r>
          </w:p>
        </w:tc>
      </w:tr>
      <w:tr w:rsidR="00532CE9" w:rsidRPr="00601A33" w14:paraId="78B81E16" w14:textId="77777777" w:rsidTr="00D67234">
        <w:trPr>
          <w:cantSplit/>
          <w:trHeight w:val="1134"/>
        </w:trPr>
        <w:tc>
          <w:tcPr>
            <w:cnfStyle w:val="001000000000" w:firstRow="0" w:lastRow="0" w:firstColumn="1" w:lastColumn="0" w:oddVBand="0" w:evenVBand="0" w:oddHBand="0" w:evenHBand="0" w:firstRowFirstColumn="0" w:firstRowLastColumn="0" w:lastRowFirstColumn="0" w:lastRowLastColumn="0"/>
            <w:tcW w:w="353" w:type="dxa"/>
            <w:shd w:val="clear" w:color="auto" w:fill="B2CFCD" w:themeFill="accent3"/>
            <w:tcMar>
              <w:left w:w="0" w:type="dxa"/>
              <w:right w:w="28" w:type="dxa"/>
            </w:tcMar>
            <w:textDirection w:val="btLr"/>
            <w:vAlign w:val="top"/>
          </w:tcPr>
          <w:p w14:paraId="6C1A144B" w14:textId="77777777" w:rsidR="00532CE9" w:rsidRPr="0085113B" w:rsidRDefault="00532CE9" w:rsidP="00D67234">
            <w:pPr>
              <w:spacing w:before="100" w:beforeAutospacing="1"/>
              <w:ind w:left="113" w:right="113"/>
              <w:jc w:val="center"/>
              <w:rPr>
                <w:b/>
                <w:sz w:val="16"/>
                <w:szCs w:val="16"/>
                <w:lang w:val="en-GB"/>
              </w:rPr>
            </w:pPr>
            <w:r w:rsidRPr="0085113B">
              <w:rPr>
                <w:b/>
                <w:sz w:val="16"/>
                <w:szCs w:val="16"/>
                <w:lang w:val="en-GB"/>
              </w:rPr>
              <w:t>Enablers</w:t>
            </w:r>
          </w:p>
        </w:tc>
        <w:tc>
          <w:tcPr>
            <w:tcW w:w="2052" w:type="dxa"/>
            <w:tcMar>
              <w:top w:w="28" w:type="dxa"/>
              <w:left w:w="28" w:type="dxa"/>
              <w:right w:w="28" w:type="dxa"/>
            </w:tcMar>
          </w:tcPr>
          <w:p w14:paraId="3F8982B9" w14:textId="39A7BE68" w:rsidR="00532CE9" w:rsidRPr="00C14DA4" w:rsidRDefault="00532CE9">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 xml:space="preserve">E1 </w:t>
            </w:r>
            <w:r w:rsidR="00A17783">
              <w:rPr>
                <w:sz w:val="15"/>
                <w:szCs w:val="15"/>
                <w:lang w:val="en-GB"/>
              </w:rPr>
              <w:t>National guidelines</w:t>
            </w:r>
          </w:p>
          <w:p w14:paraId="1C878063" w14:textId="7169BF80" w:rsidR="00BF28EE" w:rsidRPr="00C14DA4" w:rsidRDefault="00C9579B">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 xml:space="preserve">E2 </w:t>
            </w:r>
            <w:r w:rsidR="00C043B5">
              <w:rPr>
                <w:sz w:val="15"/>
                <w:szCs w:val="15"/>
                <w:lang w:val="en-GB"/>
              </w:rPr>
              <w:t>Cooperation with experts</w:t>
            </w:r>
          </w:p>
          <w:p w14:paraId="4ED8EE4B" w14:textId="198286FF" w:rsidR="00532CE9" w:rsidRPr="00C14DA4" w:rsidRDefault="00C9579B" w:rsidP="00C9579B">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 xml:space="preserve">E3 </w:t>
            </w:r>
            <w:r w:rsidR="00092D24">
              <w:rPr>
                <w:sz w:val="15"/>
                <w:szCs w:val="15"/>
                <w:lang w:val="en-GB"/>
              </w:rPr>
              <w:t xml:space="preserve">Ex-post </w:t>
            </w:r>
            <w:r>
              <w:rPr>
                <w:sz w:val="15"/>
                <w:szCs w:val="15"/>
                <w:lang w:val="en-GB"/>
              </w:rPr>
              <w:t>assurance</w:t>
            </w:r>
          </w:p>
        </w:tc>
        <w:tc>
          <w:tcPr>
            <w:tcW w:w="1985" w:type="dxa"/>
            <w:tcMar>
              <w:top w:w="28" w:type="dxa"/>
              <w:left w:w="28" w:type="dxa"/>
              <w:right w:w="28" w:type="dxa"/>
            </w:tcMar>
          </w:tcPr>
          <w:p w14:paraId="0B783592" w14:textId="05D489D7" w:rsidR="00532CE9" w:rsidRDefault="00C9579B">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bookmarkStart w:id="40" w:name="_Hlk127799349"/>
            <w:r>
              <w:rPr>
                <w:sz w:val="15"/>
                <w:szCs w:val="15"/>
                <w:lang w:val="en-GB"/>
              </w:rPr>
              <w:t xml:space="preserve">E4 </w:t>
            </w:r>
            <w:r w:rsidR="00FF5297">
              <w:rPr>
                <w:sz w:val="15"/>
                <w:szCs w:val="15"/>
                <w:lang w:val="en-GB"/>
              </w:rPr>
              <w:t>Sufficient resources</w:t>
            </w:r>
          </w:p>
          <w:p w14:paraId="0F409A86" w14:textId="1C5A5548" w:rsidR="00B73965" w:rsidRDefault="008D76E8">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 xml:space="preserve">E5 </w:t>
            </w:r>
            <w:r w:rsidR="00BD2A29">
              <w:rPr>
                <w:sz w:val="15"/>
                <w:szCs w:val="15"/>
                <w:lang w:val="en-GB"/>
              </w:rPr>
              <w:t>Multiple benefits</w:t>
            </w:r>
          </w:p>
          <w:p w14:paraId="1FB7A468" w14:textId="38552AC1" w:rsidR="00532CE9" w:rsidRPr="00C14DA4" w:rsidRDefault="008D76E8">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bookmarkStart w:id="41" w:name="_Hlk127799491"/>
            <w:bookmarkEnd w:id="40"/>
            <w:r>
              <w:rPr>
                <w:sz w:val="15"/>
                <w:szCs w:val="15"/>
                <w:lang w:val="en-GB"/>
              </w:rPr>
              <w:t xml:space="preserve">E6 </w:t>
            </w:r>
            <w:r w:rsidR="00C43351">
              <w:rPr>
                <w:sz w:val="15"/>
                <w:szCs w:val="15"/>
                <w:lang w:val="en-GB"/>
              </w:rPr>
              <w:t>Gradual</w:t>
            </w:r>
            <w:r w:rsidR="00BC1812">
              <w:rPr>
                <w:sz w:val="15"/>
                <w:szCs w:val="15"/>
                <w:lang w:val="en-GB"/>
              </w:rPr>
              <w:t xml:space="preserve"> approach</w:t>
            </w:r>
            <w:bookmarkEnd w:id="41"/>
          </w:p>
        </w:tc>
        <w:tc>
          <w:tcPr>
            <w:tcW w:w="1984" w:type="dxa"/>
            <w:tcMar>
              <w:top w:w="28" w:type="dxa"/>
              <w:left w:w="28" w:type="dxa"/>
              <w:right w:w="28" w:type="dxa"/>
            </w:tcMar>
          </w:tcPr>
          <w:p w14:paraId="34C25EDE" w14:textId="759D1141" w:rsidR="00052929" w:rsidRDefault="00052929" w:rsidP="00052929">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E4 Sufficient resources</w:t>
            </w:r>
          </w:p>
          <w:p w14:paraId="582C2B64" w14:textId="4ACC57C3" w:rsidR="00FD3C70" w:rsidRDefault="00BE23E6">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 xml:space="preserve">E7 </w:t>
            </w:r>
            <w:r w:rsidR="00FD3C70">
              <w:rPr>
                <w:sz w:val="15"/>
                <w:szCs w:val="15"/>
                <w:lang w:val="en-GB"/>
              </w:rPr>
              <w:t>Clear repartition of roles</w:t>
            </w:r>
          </w:p>
          <w:p w14:paraId="243B4C7B" w14:textId="531362E1" w:rsidR="00532CE9" w:rsidRPr="004A6974" w:rsidRDefault="00BE23E6">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E</w:t>
            </w:r>
            <w:r w:rsidR="003F435B">
              <w:rPr>
                <w:sz w:val="15"/>
                <w:szCs w:val="15"/>
                <w:lang w:val="en-GB"/>
              </w:rPr>
              <w:t xml:space="preserve">8 </w:t>
            </w:r>
            <w:r>
              <w:rPr>
                <w:sz w:val="15"/>
                <w:szCs w:val="15"/>
                <w:lang w:val="en-GB"/>
              </w:rPr>
              <w:t>Low volume of projects</w:t>
            </w:r>
          </w:p>
        </w:tc>
        <w:tc>
          <w:tcPr>
            <w:tcW w:w="2075" w:type="dxa"/>
            <w:tcMar>
              <w:top w:w="28" w:type="dxa"/>
              <w:left w:w="28" w:type="dxa"/>
              <w:right w:w="28" w:type="dxa"/>
            </w:tcMar>
          </w:tcPr>
          <w:p w14:paraId="561924D1" w14:textId="13E0E5CE" w:rsidR="00532CE9" w:rsidRDefault="00C001EC">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 xml:space="preserve">E9 </w:t>
            </w:r>
            <w:r w:rsidR="006A104B">
              <w:rPr>
                <w:sz w:val="15"/>
                <w:szCs w:val="15"/>
                <w:lang w:val="en-GB"/>
              </w:rPr>
              <w:t>Existing budget mapping</w:t>
            </w:r>
          </w:p>
          <w:p w14:paraId="37E4652B" w14:textId="2A2D3579" w:rsidR="00FD3C70" w:rsidRPr="00C001EC" w:rsidRDefault="00C001EC">
            <w:pPr>
              <w:spacing w:line="360" w:lineRule="auto"/>
              <w:ind w:left="0"/>
              <w:cnfStyle w:val="000000000000" w:firstRow="0" w:lastRow="0" w:firstColumn="0" w:lastColumn="0" w:oddVBand="0" w:evenVBand="0" w:oddHBand="0" w:evenHBand="0" w:firstRowFirstColumn="0" w:firstRowLastColumn="0" w:lastRowFirstColumn="0" w:lastRowLastColumn="0"/>
              <w:rPr>
                <w:spacing w:val="-4"/>
                <w:sz w:val="15"/>
                <w:szCs w:val="15"/>
                <w:lang w:val="en-GB"/>
              </w:rPr>
            </w:pPr>
            <w:r w:rsidRPr="00C001EC">
              <w:rPr>
                <w:spacing w:val="-4"/>
                <w:sz w:val="15"/>
                <w:szCs w:val="15"/>
                <w:lang w:val="en-GB"/>
              </w:rPr>
              <w:t xml:space="preserve">E10 </w:t>
            </w:r>
            <w:r w:rsidR="00FD3C70" w:rsidRPr="00C001EC">
              <w:rPr>
                <w:spacing w:val="-4"/>
                <w:sz w:val="15"/>
                <w:szCs w:val="15"/>
                <w:lang w:val="en-GB"/>
              </w:rPr>
              <w:t>Existing sectoral strategies</w:t>
            </w:r>
          </w:p>
          <w:p w14:paraId="6406ECD2" w14:textId="4CBE1F2F" w:rsidR="00532CE9" w:rsidRPr="00C14DA4" w:rsidRDefault="008D76E8">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 xml:space="preserve">E6 </w:t>
            </w:r>
            <w:r w:rsidR="00BC1812">
              <w:rPr>
                <w:sz w:val="15"/>
                <w:szCs w:val="15"/>
                <w:lang w:val="en-GB"/>
              </w:rPr>
              <w:t>Step-wise approach</w:t>
            </w:r>
          </w:p>
        </w:tc>
      </w:tr>
      <w:tr w:rsidR="00532CE9" w:rsidRPr="00601A33" w14:paraId="5F1E7149" w14:textId="77777777" w:rsidTr="00D67234">
        <w:trPr>
          <w:cantSplit/>
          <w:trHeight w:val="945"/>
        </w:trPr>
        <w:tc>
          <w:tcPr>
            <w:cnfStyle w:val="001000000000" w:firstRow="0" w:lastRow="0" w:firstColumn="1" w:lastColumn="0" w:oddVBand="0" w:evenVBand="0" w:oddHBand="0" w:evenHBand="0" w:firstRowFirstColumn="0" w:firstRowLastColumn="0" w:lastRowFirstColumn="0" w:lastRowLastColumn="0"/>
            <w:tcW w:w="353" w:type="dxa"/>
            <w:shd w:val="clear" w:color="auto" w:fill="B2CFCD" w:themeFill="accent3"/>
            <w:tcMar>
              <w:left w:w="0" w:type="dxa"/>
              <w:right w:w="28" w:type="dxa"/>
            </w:tcMar>
            <w:textDirection w:val="btLr"/>
            <w:vAlign w:val="top"/>
          </w:tcPr>
          <w:p w14:paraId="4A671E1D" w14:textId="77777777" w:rsidR="00532CE9" w:rsidRPr="0085113B" w:rsidRDefault="00532CE9" w:rsidP="00D67234">
            <w:pPr>
              <w:spacing w:before="100" w:beforeAutospacing="1"/>
              <w:ind w:left="113" w:right="113"/>
              <w:jc w:val="center"/>
              <w:rPr>
                <w:b/>
                <w:sz w:val="16"/>
                <w:szCs w:val="16"/>
                <w:lang w:val="en-GB"/>
              </w:rPr>
            </w:pPr>
            <w:r w:rsidRPr="0085113B">
              <w:rPr>
                <w:b/>
                <w:sz w:val="16"/>
                <w:szCs w:val="16"/>
                <w:lang w:val="en-GB"/>
              </w:rPr>
              <w:t>Barriers</w:t>
            </w:r>
          </w:p>
        </w:tc>
        <w:tc>
          <w:tcPr>
            <w:tcW w:w="2052" w:type="dxa"/>
            <w:tcMar>
              <w:top w:w="28" w:type="dxa"/>
              <w:left w:w="28" w:type="dxa"/>
              <w:right w:w="28" w:type="dxa"/>
            </w:tcMar>
          </w:tcPr>
          <w:p w14:paraId="6BFF18DB" w14:textId="27F655F6" w:rsidR="00532CE9" w:rsidRPr="004805F1" w:rsidRDefault="00C001EC">
            <w:pPr>
              <w:spacing w:line="360" w:lineRule="auto"/>
              <w:ind w:left="0"/>
              <w:cnfStyle w:val="000000000000" w:firstRow="0" w:lastRow="0" w:firstColumn="0" w:lastColumn="0" w:oddVBand="0" w:evenVBand="0" w:oddHBand="0" w:evenHBand="0" w:firstRowFirstColumn="0" w:firstRowLastColumn="0" w:lastRowFirstColumn="0" w:lastRowLastColumn="0"/>
              <w:rPr>
                <w:spacing w:val="-6"/>
                <w:sz w:val="15"/>
                <w:szCs w:val="15"/>
                <w:lang w:val="en-GB"/>
              </w:rPr>
            </w:pPr>
            <w:r w:rsidRPr="004805F1">
              <w:rPr>
                <w:spacing w:val="-6"/>
                <w:sz w:val="15"/>
                <w:szCs w:val="15"/>
                <w:lang w:val="en-GB"/>
              </w:rPr>
              <w:t xml:space="preserve">B1 </w:t>
            </w:r>
            <w:r w:rsidR="008F1F26" w:rsidRPr="004805F1">
              <w:rPr>
                <w:spacing w:val="-6"/>
                <w:sz w:val="15"/>
                <w:szCs w:val="15"/>
                <w:lang w:val="en-GB"/>
              </w:rPr>
              <w:t xml:space="preserve">Official </w:t>
            </w:r>
            <w:r w:rsidR="005414B2" w:rsidRPr="004805F1">
              <w:rPr>
                <w:spacing w:val="-6"/>
                <w:sz w:val="15"/>
                <w:szCs w:val="15"/>
                <w:lang w:val="en-GB"/>
              </w:rPr>
              <w:t>definition of integrity</w:t>
            </w:r>
          </w:p>
          <w:p w14:paraId="70FB1C91" w14:textId="38BA132E" w:rsidR="00532CE9" w:rsidRPr="005414B2" w:rsidRDefault="003B0D09">
            <w:pPr>
              <w:spacing w:line="360" w:lineRule="auto"/>
              <w:ind w:left="0"/>
              <w:cnfStyle w:val="000000000000" w:firstRow="0" w:lastRow="0" w:firstColumn="0" w:lastColumn="0" w:oddVBand="0" w:evenVBand="0" w:oddHBand="0" w:evenHBand="0" w:firstRowFirstColumn="0" w:firstRowLastColumn="0" w:lastRowFirstColumn="0" w:lastRowLastColumn="0"/>
              <w:rPr>
                <w:spacing w:val="-4"/>
                <w:sz w:val="15"/>
                <w:szCs w:val="15"/>
                <w:lang w:val="en-GB"/>
              </w:rPr>
            </w:pPr>
            <w:r>
              <w:rPr>
                <w:spacing w:val="-4"/>
                <w:sz w:val="15"/>
                <w:szCs w:val="15"/>
                <w:lang w:val="en-GB"/>
              </w:rPr>
              <w:t xml:space="preserve">B2 </w:t>
            </w:r>
            <w:r w:rsidR="00C40361">
              <w:rPr>
                <w:spacing w:val="-4"/>
                <w:sz w:val="15"/>
                <w:szCs w:val="15"/>
                <w:lang w:val="en-GB"/>
              </w:rPr>
              <w:t>Lack of comparison points</w:t>
            </w:r>
          </w:p>
        </w:tc>
        <w:tc>
          <w:tcPr>
            <w:tcW w:w="1985" w:type="dxa"/>
            <w:tcMar>
              <w:top w:w="28" w:type="dxa"/>
              <w:left w:w="28" w:type="dxa"/>
              <w:right w:w="28" w:type="dxa"/>
            </w:tcMar>
          </w:tcPr>
          <w:p w14:paraId="09044CBD" w14:textId="6B28B7B7" w:rsidR="00532CE9" w:rsidRDefault="003B0D09">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 xml:space="preserve">B3 </w:t>
            </w:r>
            <w:r w:rsidR="00ED5A3F">
              <w:rPr>
                <w:sz w:val="15"/>
                <w:szCs w:val="15"/>
                <w:lang w:val="en-GB"/>
              </w:rPr>
              <w:t>Lack of quality assurance</w:t>
            </w:r>
          </w:p>
          <w:p w14:paraId="6C83E54D" w14:textId="008921DD" w:rsidR="00532CE9" w:rsidRPr="00C14DA4" w:rsidRDefault="003B0D09">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Pr>
                <w:sz w:val="15"/>
                <w:szCs w:val="15"/>
                <w:lang w:val="en-GB"/>
              </w:rPr>
              <w:t xml:space="preserve">B4 </w:t>
            </w:r>
            <w:r w:rsidR="00BB5966">
              <w:rPr>
                <w:sz w:val="15"/>
                <w:szCs w:val="15"/>
                <w:lang w:val="en-GB"/>
              </w:rPr>
              <w:t xml:space="preserve">Limited </w:t>
            </w:r>
            <w:r w:rsidR="00981319">
              <w:rPr>
                <w:sz w:val="15"/>
                <w:szCs w:val="15"/>
                <w:lang w:val="en-GB"/>
              </w:rPr>
              <w:t>political push</w:t>
            </w:r>
          </w:p>
        </w:tc>
        <w:tc>
          <w:tcPr>
            <w:tcW w:w="1984" w:type="dxa"/>
            <w:tcMar>
              <w:top w:w="28" w:type="dxa"/>
              <w:left w:w="28" w:type="dxa"/>
              <w:right w:w="28" w:type="dxa"/>
            </w:tcMar>
          </w:tcPr>
          <w:p w14:paraId="6FE0A563" w14:textId="368A93B9" w:rsidR="00532CE9" w:rsidRPr="004805F1" w:rsidRDefault="003B0D09">
            <w:pPr>
              <w:spacing w:line="360" w:lineRule="auto"/>
              <w:ind w:left="0"/>
              <w:cnfStyle w:val="000000000000" w:firstRow="0" w:lastRow="0" w:firstColumn="0" w:lastColumn="0" w:oddVBand="0" w:evenVBand="0" w:oddHBand="0" w:evenHBand="0" w:firstRowFirstColumn="0" w:firstRowLastColumn="0" w:lastRowFirstColumn="0" w:lastRowLastColumn="0"/>
              <w:rPr>
                <w:spacing w:val="-4"/>
                <w:sz w:val="15"/>
                <w:szCs w:val="15"/>
                <w:lang w:val="en-GB"/>
              </w:rPr>
            </w:pPr>
            <w:r w:rsidRPr="004805F1">
              <w:rPr>
                <w:spacing w:val="-4"/>
                <w:sz w:val="15"/>
                <w:szCs w:val="15"/>
                <w:lang w:val="en-GB"/>
              </w:rPr>
              <w:t xml:space="preserve">B5 </w:t>
            </w:r>
            <w:r w:rsidR="00336A8E" w:rsidRPr="004805F1">
              <w:rPr>
                <w:spacing w:val="-4"/>
                <w:sz w:val="15"/>
                <w:szCs w:val="15"/>
                <w:lang w:val="en-GB"/>
              </w:rPr>
              <w:t>Limited institutionalisation</w:t>
            </w:r>
          </w:p>
        </w:tc>
        <w:tc>
          <w:tcPr>
            <w:tcW w:w="2075" w:type="dxa"/>
            <w:tcMar>
              <w:top w:w="28" w:type="dxa"/>
              <w:left w:w="28" w:type="dxa"/>
              <w:right w:w="28" w:type="dxa"/>
            </w:tcMar>
          </w:tcPr>
          <w:p w14:paraId="1835B2F0" w14:textId="1EAA9EE6" w:rsidR="00532CE9" w:rsidRPr="00C14DA4" w:rsidRDefault="003B0D09">
            <w:pPr>
              <w:spacing w:line="360" w:lineRule="auto"/>
              <w:ind w:left="0"/>
              <w:cnfStyle w:val="000000000000" w:firstRow="0" w:lastRow="0" w:firstColumn="0" w:lastColumn="0" w:oddVBand="0" w:evenVBand="0" w:oddHBand="0" w:evenHBand="0" w:firstRowFirstColumn="0" w:firstRowLastColumn="0" w:lastRowFirstColumn="0" w:lastRowLastColumn="0"/>
              <w:rPr>
                <w:sz w:val="15"/>
                <w:szCs w:val="15"/>
                <w:lang w:val="en-GB"/>
              </w:rPr>
            </w:pPr>
            <w:r w:rsidRPr="004805F1">
              <w:rPr>
                <w:spacing w:val="-4"/>
                <w:sz w:val="15"/>
                <w:szCs w:val="15"/>
                <w:lang w:val="en-GB"/>
              </w:rPr>
              <w:t xml:space="preserve">B5 </w:t>
            </w:r>
            <w:r w:rsidR="00B36295" w:rsidRPr="004805F1">
              <w:rPr>
                <w:spacing w:val="-4"/>
                <w:sz w:val="15"/>
                <w:szCs w:val="15"/>
                <w:lang w:val="en-GB"/>
              </w:rPr>
              <w:t>Limited institutionalisation</w:t>
            </w:r>
          </w:p>
        </w:tc>
      </w:tr>
    </w:tbl>
    <w:p w14:paraId="58DD9EB3" w14:textId="77777777" w:rsidR="00373CAC" w:rsidRPr="00532CE9" w:rsidRDefault="00373CAC" w:rsidP="00373CAC">
      <w:pPr>
        <w:ind w:left="0"/>
      </w:pPr>
    </w:p>
    <w:p w14:paraId="731F9A66" w14:textId="24FECBAB" w:rsidR="00D55D88" w:rsidRPr="00D55D88" w:rsidRDefault="00981319" w:rsidP="00E77B62">
      <w:pPr>
        <w:pStyle w:val="Nadpis4"/>
      </w:pPr>
      <w:r>
        <w:t xml:space="preserve">Replicability </w:t>
      </w:r>
      <w:r w:rsidR="00E77B62">
        <w:t>of a dedicated process for innovative investments (</w:t>
      </w:r>
      <w:r w:rsidR="00E80B79">
        <w:t xml:space="preserve">based </w:t>
      </w:r>
      <w:r w:rsidR="00E77B62">
        <w:t>on the Finnish model)</w:t>
      </w:r>
    </w:p>
    <w:p w14:paraId="0151B585" w14:textId="01296A59" w:rsidR="00301D97" w:rsidRDefault="002518FA" w:rsidP="00E77B62">
      <w:r>
        <w:t xml:space="preserve">The construction of a dedicated </w:t>
      </w:r>
      <w:r w:rsidR="00607B47">
        <w:t xml:space="preserve">DNSH </w:t>
      </w:r>
      <w:r w:rsidR="0034615F">
        <w:t xml:space="preserve">process </w:t>
      </w:r>
      <w:r w:rsidR="00607B47">
        <w:t xml:space="preserve">that </w:t>
      </w:r>
      <w:r w:rsidR="0034615F">
        <w:t>takes into account</w:t>
      </w:r>
      <w:r w:rsidR="00607B47">
        <w:t xml:space="preserve"> the specificities </w:t>
      </w:r>
      <w:r w:rsidR="0034615F">
        <w:t xml:space="preserve">of </w:t>
      </w:r>
      <w:r>
        <w:t>innovative investments appears replicable</w:t>
      </w:r>
      <w:r w:rsidR="007F178D">
        <w:t>, on its principle</w:t>
      </w:r>
      <w:r>
        <w:t>.</w:t>
      </w:r>
      <w:r w:rsidR="00262082">
        <w:t xml:space="preserve"> </w:t>
      </w:r>
      <w:r w:rsidR="00786CCE">
        <w:t xml:space="preserve">The Finnish focus case suggests that </w:t>
      </w:r>
      <w:r w:rsidR="003463B0">
        <w:t xml:space="preserve">three elements are needed </w:t>
      </w:r>
      <w:r w:rsidR="00836911">
        <w:t>for replication</w:t>
      </w:r>
      <w:r w:rsidR="003463B0">
        <w:t>: the existence of national guidelines</w:t>
      </w:r>
      <w:r w:rsidR="00EC65C7">
        <w:t xml:space="preserve">, </w:t>
      </w:r>
      <w:r w:rsidR="00D418AE">
        <w:t xml:space="preserve">the strong cooperation with experts, and the existence of ex-post processes for quality assurance. </w:t>
      </w:r>
      <w:r w:rsidR="00D9137C">
        <w:t xml:space="preserve">In Czechia, national guidelines have been developed in the course of the fall </w:t>
      </w:r>
      <w:r w:rsidR="00D9137C" w:rsidDel="00E80B79">
        <w:t>2022</w:t>
      </w:r>
      <w:r w:rsidR="00E80B79">
        <w:t xml:space="preserve"> and</w:t>
      </w:r>
      <w:r w:rsidR="00D9137C">
        <w:t xml:space="preserve"> will be complemented by overarching guidelines in the context of this TSI project </w:t>
      </w:r>
      <w:r w:rsidR="000C78FE">
        <w:t>[</w:t>
      </w:r>
      <w:r w:rsidR="00D9137C">
        <w:t>E1</w:t>
      </w:r>
      <w:r w:rsidR="000C78FE">
        <w:t>]</w:t>
      </w:r>
      <w:r w:rsidR="00D9137C">
        <w:t xml:space="preserve">. </w:t>
      </w:r>
      <w:r w:rsidR="00297249">
        <w:t xml:space="preserve">The cooperation with experts </w:t>
      </w:r>
      <w:r w:rsidR="007D30A9">
        <w:t>also appears</w:t>
      </w:r>
      <w:r w:rsidR="00CD3947">
        <w:t xml:space="preserve"> to be of relevance</w:t>
      </w:r>
      <w:r w:rsidR="007D30A9">
        <w:t xml:space="preserve"> in the Czech context</w:t>
      </w:r>
      <w:r w:rsidR="00545BBC">
        <w:t xml:space="preserve"> as</w:t>
      </w:r>
      <w:r w:rsidR="007D30A9">
        <w:t xml:space="preserve"> </w:t>
      </w:r>
      <w:r w:rsidR="00DC6269">
        <w:t>the application of the DNSH principle is ensure</w:t>
      </w:r>
      <w:r w:rsidR="003F2DD7">
        <w:t>d</w:t>
      </w:r>
      <w:r w:rsidR="00DC6269">
        <w:t xml:space="preserve"> by managing authorities that hold topical and sectoral expertise</w:t>
      </w:r>
      <w:r w:rsidR="00281624">
        <w:t xml:space="preserve">, such as Operational Programmes </w:t>
      </w:r>
      <w:r w:rsidR="000C78FE">
        <w:t>[</w:t>
      </w:r>
      <w:r w:rsidR="00281624">
        <w:t>E2</w:t>
      </w:r>
      <w:r w:rsidR="000C78FE">
        <w:t>]</w:t>
      </w:r>
      <w:r w:rsidR="00281624">
        <w:t>.</w:t>
      </w:r>
      <w:r w:rsidR="00863332">
        <w:t xml:space="preserve"> In addition, the fact that barriers [B1] and [B2] are observed in both Finland and Czechia suggests that they do not prevent the establishment of the DNSH process for innovative investments, but that they would rather hinder its success.</w:t>
      </w:r>
    </w:p>
    <w:p w14:paraId="73CB96EB" w14:textId="77777777" w:rsidR="00962A51" w:rsidRDefault="00962A51" w:rsidP="00E77B62"/>
    <w:p w14:paraId="09C75BAB" w14:textId="2EFE4D5A" w:rsidR="007F178D" w:rsidRDefault="00301D97" w:rsidP="00E77B62">
      <w:r>
        <w:t xml:space="preserve">In practice, a series of changes </w:t>
      </w:r>
      <w:r w:rsidR="00E80B79">
        <w:t>are</w:t>
      </w:r>
      <w:r w:rsidR="00C554A4">
        <w:t xml:space="preserve"> </w:t>
      </w:r>
      <w:r w:rsidR="00A849D0">
        <w:t>need</w:t>
      </w:r>
      <w:r w:rsidR="00C554A4">
        <w:t>ed</w:t>
      </w:r>
      <w:r w:rsidR="00A849D0">
        <w:t xml:space="preserve"> to allow for the replication of the practice.</w:t>
      </w:r>
      <w:r w:rsidR="00EB55B5">
        <w:t xml:space="preserve"> </w:t>
      </w:r>
      <w:r w:rsidR="003504F5">
        <w:t xml:space="preserve">Compared to the approach of the Finnish Climate Fund, </w:t>
      </w:r>
      <w:r w:rsidR="003F2DD7">
        <w:t xml:space="preserve">the involvement of </w:t>
      </w:r>
      <w:r w:rsidR="00EF68E1">
        <w:t>Czech</w:t>
      </w:r>
      <w:r w:rsidR="00962A51">
        <w:t xml:space="preserve"> topical and sectoral</w:t>
      </w:r>
      <w:r w:rsidR="003F2DD7">
        <w:t xml:space="preserve"> experts is not institutionalized; there appears to be a division of roles </w:t>
      </w:r>
      <w:r w:rsidR="00665563">
        <w:t>“in silos”</w:t>
      </w:r>
      <w:r w:rsidR="003F2DD7">
        <w:t xml:space="preserve"> across managing authorities</w:t>
      </w:r>
      <w:r w:rsidR="00AE6DBC">
        <w:t xml:space="preserve">. </w:t>
      </w:r>
      <w:r w:rsidR="00FB64B1">
        <w:t>T</w:t>
      </w:r>
      <w:r w:rsidR="00CE356B">
        <w:t xml:space="preserve">he possibility to rely on </w:t>
      </w:r>
      <w:r w:rsidR="001C1232">
        <w:t xml:space="preserve">experts is thus conditioned </w:t>
      </w:r>
      <w:r w:rsidR="00E80B79">
        <w:t>on</w:t>
      </w:r>
      <w:r w:rsidR="001C1232">
        <w:t xml:space="preserve"> a clearer institutionalization</w:t>
      </w:r>
      <w:r w:rsidR="00FD4DFF">
        <w:t xml:space="preserve"> to incentivize coordination between authorities</w:t>
      </w:r>
      <w:r w:rsidR="001C1232">
        <w:t>.</w:t>
      </w:r>
      <w:r w:rsidR="00912DAF">
        <w:t xml:space="preserve"> In addition, </w:t>
      </w:r>
      <w:r w:rsidR="00C94B86">
        <w:t>a</w:t>
      </w:r>
      <w:r w:rsidR="00CE0B96">
        <w:t xml:space="preserve">n ex-post assessment </w:t>
      </w:r>
      <w:r w:rsidR="00A26034">
        <w:t>of projects</w:t>
      </w:r>
      <w:r w:rsidR="00CE0B96">
        <w:t xml:space="preserve"> </w:t>
      </w:r>
      <w:r w:rsidR="00FF17A9">
        <w:t xml:space="preserve">would need to be set up </w:t>
      </w:r>
      <w:r w:rsidR="00CE0B96">
        <w:t>to confirm</w:t>
      </w:r>
      <w:r w:rsidR="00DE1A65">
        <w:t xml:space="preserve"> </w:t>
      </w:r>
      <w:r w:rsidR="00CE0B96">
        <w:t>(i)</w:t>
      </w:r>
      <w:r w:rsidR="009433B4">
        <w:t xml:space="preserve"> </w:t>
      </w:r>
      <w:r w:rsidR="00DE1A65">
        <w:t xml:space="preserve">the relevance of the criteria and thresholds chosen and (ii) </w:t>
      </w:r>
      <w:r w:rsidR="00634FFA">
        <w:t xml:space="preserve">that the </w:t>
      </w:r>
      <w:r w:rsidR="003A7AE9">
        <w:t>project</w:t>
      </w:r>
      <w:r w:rsidR="00634FFA">
        <w:t xml:space="preserve"> meets the criteria and thresholds</w:t>
      </w:r>
      <w:r w:rsidR="00DC4E07">
        <w:t>.</w:t>
      </w:r>
      <w:r w:rsidR="00FF17A9">
        <w:t xml:space="preserve"> </w:t>
      </w:r>
      <w:r w:rsidR="004D79B6">
        <w:t xml:space="preserve">Setting-up this system </w:t>
      </w:r>
      <w:r w:rsidR="000A0C5E">
        <w:t xml:space="preserve">is not expected to raise technical issues, </w:t>
      </w:r>
      <w:r w:rsidR="00D5714F">
        <w:t xml:space="preserve">but to </w:t>
      </w:r>
      <w:r w:rsidR="003A7AE9">
        <w:t>be hindered</w:t>
      </w:r>
      <w:r w:rsidR="00D5714F">
        <w:t xml:space="preserve"> </w:t>
      </w:r>
      <w:r w:rsidR="00C823B9">
        <w:t>by</w:t>
      </w:r>
      <w:r w:rsidR="00D5714F">
        <w:t xml:space="preserve"> </w:t>
      </w:r>
      <w:r w:rsidR="00C823B9">
        <w:t>the</w:t>
      </w:r>
      <w:r w:rsidR="00D5714F">
        <w:t xml:space="preserve"> lack of resources.</w:t>
      </w:r>
    </w:p>
    <w:p w14:paraId="3589FA55" w14:textId="77777777" w:rsidR="000925A0" w:rsidRDefault="000925A0" w:rsidP="00E77B62"/>
    <w:p w14:paraId="2AB68281" w14:textId="5A54B763" w:rsidR="000925A0" w:rsidRDefault="000925A0" w:rsidP="000925A0">
      <w:pPr>
        <w:pStyle w:val="Nadpis4"/>
      </w:pPr>
      <w:r>
        <w:t xml:space="preserve">Replicability of </w:t>
      </w:r>
      <w:r w:rsidR="00DC0CA3">
        <w:t>green budgeting (</w:t>
      </w:r>
      <w:r w:rsidR="00E80B79">
        <w:t xml:space="preserve">based </w:t>
      </w:r>
      <w:r w:rsidR="00DC0CA3">
        <w:t>on the Austrian model)</w:t>
      </w:r>
    </w:p>
    <w:p w14:paraId="1B24F23D" w14:textId="2863CB2A" w:rsidR="00BC0811" w:rsidRDefault="00EB55B5" w:rsidP="00E93CFB">
      <w:r>
        <w:t>In the short term, the replicabi</w:t>
      </w:r>
      <w:r w:rsidR="00091C60">
        <w:t xml:space="preserve">lity of green budgeting to Czechia is </w:t>
      </w:r>
      <w:r w:rsidR="00C823B9">
        <w:t>deemed</w:t>
      </w:r>
      <w:r w:rsidR="00091C60">
        <w:t xml:space="preserve"> low.</w:t>
      </w:r>
      <w:r w:rsidR="00FD3751">
        <w:t xml:space="preserve"> </w:t>
      </w:r>
      <w:r w:rsidR="00E80B79">
        <w:t>W</w:t>
      </w:r>
      <w:r w:rsidR="00FD3751">
        <w:t xml:space="preserve">hile two of the enablers identified </w:t>
      </w:r>
      <w:r w:rsidR="00A60230">
        <w:t>([E4] Sufficient resources and [E5] Multiple benefits)</w:t>
      </w:r>
      <w:r w:rsidR="009359B0">
        <w:t xml:space="preserve"> are absent in the Czech context, </w:t>
      </w:r>
      <w:r w:rsidR="00DA3D3E">
        <w:t xml:space="preserve">the remaining barriers to the </w:t>
      </w:r>
      <w:r w:rsidR="00530E03">
        <w:t xml:space="preserve">Austrian green budgeting are both observed in Czechia </w:t>
      </w:r>
      <w:r w:rsidR="00E93CFB">
        <w:t>(</w:t>
      </w:r>
      <w:r w:rsidR="00A5192C">
        <w:t>[</w:t>
      </w:r>
      <w:r w:rsidR="00E93CFB">
        <w:t>B3</w:t>
      </w:r>
      <w:r w:rsidR="00A5192C">
        <w:t>]</w:t>
      </w:r>
      <w:r w:rsidR="00E93CFB">
        <w:t xml:space="preserve"> Lack of quality assurance and [B4] Limited political push)</w:t>
      </w:r>
      <w:r w:rsidR="00A5192C">
        <w:t>.</w:t>
      </w:r>
      <w:r w:rsidR="00C17BAD">
        <w:t xml:space="preserve"> </w:t>
      </w:r>
    </w:p>
    <w:p w14:paraId="27E565BB" w14:textId="77777777" w:rsidR="000F5D48" w:rsidRDefault="000F5D48" w:rsidP="00E93CFB"/>
    <w:p w14:paraId="69D73A81" w14:textId="4B7718B6" w:rsidR="003C65C0" w:rsidRDefault="00A655C1" w:rsidP="00E93CFB">
      <w:r>
        <w:lastRenderedPageBreak/>
        <w:t>T</w:t>
      </w:r>
      <w:r w:rsidR="003B5663">
        <w:t xml:space="preserve">he replication of green budgeting </w:t>
      </w:r>
      <w:r>
        <w:t xml:space="preserve">could however be considered </w:t>
      </w:r>
      <w:r w:rsidR="003B5663">
        <w:t>in the medium term (i.e.</w:t>
      </w:r>
      <w:r w:rsidR="00E80B79">
        <w:t>,</w:t>
      </w:r>
      <w:r w:rsidR="003B5663">
        <w:t xml:space="preserve"> after the </w:t>
      </w:r>
      <w:r w:rsidR="007C4C75">
        <w:t xml:space="preserve">full institutionalization of DNSH </w:t>
      </w:r>
      <w:r w:rsidR="008E1D4E">
        <w:t xml:space="preserve">practices and processes </w:t>
      </w:r>
      <w:r>
        <w:t xml:space="preserve">across </w:t>
      </w:r>
      <w:r w:rsidR="007C4C75">
        <w:t>all Czech Ministries and managing authorities)</w:t>
      </w:r>
      <w:r w:rsidR="00A336AA">
        <w:t xml:space="preserve">. </w:t>
      </w:r>
      <w:r w:rsidR="00D9718C">
        <w:t xml:space="preserve">In the medium term, the </w:t>
      </w:r>
      <w:r w:rsidR="00B8385C">
        <w:t xml:space="preserve">appearance of </w:t>
      </w:r>
      <w:r w:rsidR="00A336AA">
        <w:t>the following enablers</w:t>
      </w:r>
      <w:r w:rsidR="00B8385C">
        <w:t xml:space="preserve"> can be expected</w:t>
      </w:r>
      <w:r w:rsidR="00A336AA">
        <w:t>:</w:t>
      </w:r>
    </w:p>
    <w:p w14:paraId="1A38707C" w14:textId="4105EA38" w:rsidR="005B1A5B" w:rsidRDefault="005B1A5B" w:rsidP="000F5D48">
      <w:pPr>
        <w:pStyle w:val="Bulletpoint"/>
        <w:ind w:left="851" w:hanging="284"/>
      </w:pPr>
      <w:r w:rsidRPr="000F5D48">
        <w:rPr>
          <w:b/>
        </w:rPr>
        <w:t>Sufficient resources</w:t>
      </w:r>
      <w:r>
        <w:t xml:space="preserve"> [E4]:</w:t>
      </w:r>
      <w:r w:rsidR="0023690D">
        <w:t xml:space="preserve"> </w:t>
      </w:r>
      <w:r w:rsidR="00882846">
        <w:t xml:space="preserve">The institutionalisation </w:t>
      </w:r>
      <w:r w:rsidR="00D921D8">
        <w:t xml:space="preserve">of </w:t>
      </w:r>
      <w:r w:rsidR="004E6779">
        <w:t xml:space="preserve">DNSH practices and processes is expected to </w:t>
      </w:r>
      <w:r w:rsidR="00FD1CE6">
        <w:t>support the</w:t>
      </w:r>
      <w:r w:rsidR="00275E3F">
        <w:t>ir</w:t>
      </w:r>
      <w:r w:rsidR="00FD1CE6">
        <w:t xml:space="preserve"> standardisation</w:t>
      </w:r>
      <w:r w:rsidR="00D12A3C">
        <w:t xml:space="preserve"> and thus their </w:t>
      </w:r>
      <w:r w:rsidR="004E6779">
        <w:t>efficiency</w:t>
      </w:r>
      <w:r w:rsidR="00D12A3C">
        <w:t xml:space="preserve">. </w:t>
      </w:r>
      <w:r w:rsidR="00FD3B18">
        <w:t xml:space="preserve">Although this may not be sufficient to </w:t>
      </w:r>
      <w:r w:rsidR="00743B21">
        <w:t xml:space="preserve">discharge </w:t>
      </w:r>
      <w:r w:rsidR="00830F30">
        <w:t xml:space="preserve">teams from DNSH-focused work, this is expected to </w:t>
      </w:r>
      <w:r w:rsidR="00A44005">
        <w:t>release additional resources;</w:t>
      </w:r>
    </w:p>
    <w:p w14:paraId="77276F68" w14:textId="163786D8" w:rsidR="00DC0CA3" w:rsidRPr="00DC0CA3" w:rsidRDefault="00D87FDB" w:rsidP="000F5D48">
      <w:pPr>
        <w:pStyle w:val="Bulletpoint"/>
        <w:ind w:left="851" w:hanging="284"/>
      </w:pPr>
      <w:r>
        <w:rPr>
          <w:b/>
        </w:rPr>
        <w:t xml:space="preserve">Gradual </w:t>
      </w:r>
      <w:r w:rsidR="00CD260D" w:rsidRPr="000F5D48">
        <w:rPr>
          <w:b/>
        </w:rPr>
        <w:t>approach</w:t>
      </w:r>
      <w:r w:rsidR="00AA42AE">
        <w:t xml:space="preserve"> [E6]</w:t>
      </w:r>
      <w:r w:rsidR="00CD260D">
        <w:t xml:space="preserve">: </w:t>
      </w:r>
      <w:r w:rsidR="00575943">
        <w:t>B</w:t>
      </w:r>
      <w:r w:rsidR="002C6352">
        <w:t xml:space="preserve">y focusing resources and conceptual work on </w:t>
      </w:r>
      <w:r w:rsidR="0046041F">
        <w:t xml:space="preserve">the application of the DNSH </w:t>
      </w:r>
      <w:r w:rsidR="00493C06">
        <w:t>principle</w:t>
      </w:r>
      <w:r w:rsidR="0046041F">
        <w:t xml:space="preserve"> in the short term, Czech authorities will be able to rely on a strong system in the future to develop green budgeting (for instance by using the results of DNSH assessments to classify budget lines)</w:t>
      </w:r>
      <w:r w:rsidR="005B1A5B">
        <w:t>;</w:t>
      </w:r>
    </w:p>
    <w:p w14:paraId="4CB4D55D" w14:textId="3C59BA53" w:rsidR="005B1A5B" w:rsidRPr="005B1A5B" w:rsidRDefault="00EA0907" w:rsidP="000F5D48">
      <w:pPr>
        <w:pStyle w:val="Odstavecseseznamem"/>
        <w:ind w:left="851" w:hanging="284"/>
      </w:pPr>
      <w:r w:rsidRPr="000F5D48">
        <w:rPr>
          <w:b/>
        </w:rPr>
        <w:t>Multiple benefits</w:t>
      </w:r>
      <w:r>
        <w:t xml:space="preserve"> </w:t>
      </w:r>
      <w:r w:rsidR="00716940">
        <w:t xml:space="preserve">[E5]: </w:t>
      </w:r>
      <w:r w:rsidR="00C5141E">
        <w:t xml:space="preserve">The publication of the </w:t>
      </w:r>
      <w:r w:rsidR="00EB2D78">
        <w:t xml:space="preserve">European Green Bond Standard </w:t>
      </w:r>
      <w:r w:rsidR="00E7393C">
        <w:t>(which</w:t>
      </w:r>
      <w:r w:rsidR="00CD70F5">
        <w:t>, in the current proposition</w:t>
      </w:r>
      <w:r w:rsidR="007077FB">
        <w:t>,</w:t>
      </w:r>
      <w:r w:rsidR="00CD70F5">
        <w:t xml:space="preserve"> </w:t>
      </w:r>
      <w:r w:rsidR="00CD596A">
        <w:t>builds on the DNSH principle)</w:t>
      </w:r>
      <w:r w:rsidR="00B86053">
        <w:t xml:space="preserve"> </w:t>
      </w:r>
      <w:r w:rsidR="00EB2D78">
        <w:t xml:space="preserve">and the </w:t>
      </w:r>
      <w:r w:rsidR="00233DE5">
        <w:t>spreading</w:t>
      </w:r>
      <w:r w:rsidR="00192399">
        <w:t xml:space="preserve"> of </w:t>
      </w:r>
      <w:r w:rsidR="00B34B10">
        <w:t>climate-relevant</w:t>
      </w:r>
      <w:r w:rsidR="00192399">
        <w:t xml:space="preserve"> pr</w:t>
      </w:r>
      <w:r w:rsidR="00627872">
        <w:t xml:space="preserve">udential exercises </w:t>
      </w:r>
      <w:r w:rsidR="00EE4FC0">
        <w:t>will</w:t>
      </w:r>
      <w:r w:rsidR="00B33902">
        <w:t xml:space="preserve"> </w:t>
      </w:r>
      <w:r w:rsidR="00532592">
        <w:t xml:space="preserve">multiply the justifications for </w:t>
      </w:r>
      <w:r w:rsidR="005A165D">
        <w:t>set</w:t>
      </w:r>
      <w:r w:rsidR="00532592">
        <w:t>ting</w:t>
      </w:r>
      <w:r w:rsidR="005A165D">
        <w:t xml:space="preserve"> up a gree</w:t>
      </w:r>
      <w:r w:rsidR="00E81BD2">
        <w:t>n budgeting method</w:t>
      </w:r>
      <w:r w:rsidR="008C578B">
        <w:t>.</w:t>
      </w:r>
    </w:p>
    <w:p w14:paraId="195F8392" w14:textId="77777777" w:rsidR="008C578B" w:rsidRDefault="008C578B" w:rsidP="008C578B"/>
    <w:p w14:paraId="356152FA" w14:textId="04612276" w:rsidR="000C5096" w:rsidRDefault="000C5096" w:rsidP="000C5096">
      <w:pPr>
        <w:rPr>
          <w:lang w:val="en-GB"/>
        </w:rPr>
      </w:pPr>
      <w:r>
        <w:rPr>
          <w:lang w:val="en-GB"/>
        </w:rPr>
        <w:t xml:space="preserve">The replicability of the illustrative example is provided in </w:t>
      </w:r>
      <w:r>
        <w:rPr>
          <w:lang w:val="en-GB"/>
        </w:rPr>
        <w:fldChar w:fldCharType="begin"/>
      </w:r>
      <w:r>
        <w:rPr>
          <w:lang w:val="en-GB"/>
        </w:rPr>
        <w:instrText xml:space="preserve"> REF _Ref128125652 \h  \* MERGEFORMAT </w:instrText>
      </w:r>
      <w:r>
        <w:rPr>
          <w:lang w:val="en-GB"/>
        </w:rPr>
      </w:r>
      <w:r>
        <w:rPr>
          <w:lang w:val="en-GB"/>
        </w:rPr>
        <w:fldChar w:fldCharType="separate"/>
      </w:r>
      <w:r w:rsidR="0031368D" w:rsidRPr="0031368D">
        <w:rPr>
          <w:highlight w:val="yellow"/>
        </w:rPr>
        <w:t>Box</w:t>
      </w:r>
      <w:r w:rsidR="0031368D" w:rsidRPr="0031368D">
        <w:rPr>
          <w:lang w:val="en-GB"/>
        </w:rPr>
        <w:t xml:space="preserve"> 4</w:t>
      </w:r>
      <w:r>
        <w:rPr>
          <w:lang w:val="en-GB"/>
        </w:rPr>
        <w:fldChar w:fldCharType="end"/>
      </w:r>
      <w:r>
        <w:rPr>
          <w:lang w:val="en-GB"/>
        </w:rPr>
        <w:t>.</w:t>
      </w:r>
    </w:p>
    <w:p w14:paraId="71B9133D" w14:textId="77777777" w:rsidR="000C5096" w:rsidRDefault="000C5096" w:rsidP="000C5096">
      <w:pPr>
        <w:rPr>
          <w:lang w:val="en-GB"/>
        </w:rPr>
      </w:pPr>
    </w:p>
    <w:p w14:paraId="642403DE" w14:textId="3B2CD2BE" w:rsidR="000C5096" w:rsidRDefault="000C5096" w:rsidP="000C5096">
      <w:pPr>
        <w:pStyle w:val="Titulek"/>
        <w:keepNext/>
      </w:pPr>
      <w:bookmarkStart w:id="42" w:name="_Ref128133800"/>
      <w:r>
        <w:t xml:space="preserve">Box </w:t>
      </w:r>
      <w:fldSimple w:instr=" SEQ Box \* ARABIC ">
        <w:r w:rsidR="0031368D">
          <w:rPr>
            <w:noProof/>
          </w:rPr>
          <w:t>6</w:t>
        </w:r>
      </w:fldSimple>
      <w:bookmarkEnd w:id="42"/>
      <w:r>
        <w:t xml:space="preserve"> Replicability of the illustrative practice</w:t>
      </w:r>
      <w:r w:rsidR="002610E2">
        <w:t>s for R&amp;D and innovative green investments</w:t>
      </w:r>
    </w:p>
    <w:tbl>
      <w:tblPr>
        <w:tblStyle w:val="Table1"/>
        <w:tblW w:w="5000" w:type="pct"/>
        <w:tblInd w:w="596" w:type="dxa"/>
        <w:shd w:val="clear" w:color="auto" w:fill="E0EBEB" w:themeFill="accent3" w:themeFillTint="66"/>
        <w:tblLook w:val="04A0" w:firstRow="1" w:lastRow="0" w:firstColumn="1" w:lastColumn="0" w:noHBand="0" w:noVBand="1"/>
      </w:tblPr>
      <w:tblGrid>
        <w:gridCol w:w="9016"/>
      </w:tblGrid>
      <w:tr w:rsidR="000C5096" w:rsidRPr="007A5F9A" w14:paraId="51E03208" w14:textId="77777777" w:rsidTr="00EA2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0EBEB" w:themeFill="accent3" w:themeFillTint="66"/>
          </w:tcPr>
          <w:p w14:paraId="2B501FB8" w14:textId="0480DE81" w:rsidR="009937DB" w:rsidRPr="00F63475" w:rsidRDefault="009937DB" w:rsidP="00EA2D8D">
            <w:pPr>
              <w:pStyle w:val="Nadpis4"/>
              <w:ind w:firstLine="0"/>
              <w:outlineLvl w:val="3"/>
              <w:rPr>
                <w:b/>
                <w:bCs w:val="0"/>
                <w:color w:val="005962" w:themeColor="accent1"/>
              </w:rPr>
            </w:pPr>
            <w:r w:rsidRPr="00F63475">
              <w:rPr>
                <w:b/>
                <w:bCs w:val="0"/>
                <w:color w:val="005962" w:themeColor="accent1"/>
              </w:rPr>
              <w:t>Replicability of an enhanced coordination between stakeholders (</w:t>
            </w:r>
            <w:r w:rsidR="00E80B79">
              <w:rPr>
                <w:b/>
                <w:bCs w:val="0"/>
                <w:color w:val="005962" w:themeColor="accent1"/>
              </w:rPr>
              <w:t xml:space="preserve">based </w:t>
            </w:r>
            <w:r w:rsidRPr="00F63475">
              <w:rPr>
                <w:b/>
                <w:bCs w:val="0"/>
                <w:color w:val="005962" w:themeColor="accent1"/>
              </w:rPr>
              <w:t>on the Finnish model)</w:t>
            </w:r>
          </w:p>
          <w:p w14:paraId="3BDD9B14" w14:textId="00F274B3" w:rsidR="009937DB" w:rsidRPr="00F63475" w:rsidRDefault="009937DB" w:rsidP="00EA2D8D">
            <w:pPr>
              <w:ind w:left="0"/>
              <w:jc w:val="left"/>
              <w:rPr>
                <w:b w:val="0"/>
                <w:bCs/>
                <w:color w:val="000000" w:themeColor="text1"/>
              </w:rPr>
            </w:pPr>
            <w:r w:rsidRPr="00F63475">
              <w:rPr>
                <w:b w:val="0"/>
                <w:bCs/>
                <w:color w:val="000000" w:themeColor="text1"/>
              </w:rPr>
              <w:t xml:space="preserve">This practice is considered replicable in the Czech context, provided that it is limited to the most complex investment cases. Unlike Finland, Czech authorities lack resources [E4] and face an important volume of projects [E8]. However, the clear repartition of roles appears to be as critical as the volume of resources, insofar as it allows officials to identify which teams and colleagues may cooperate on the DNSH assessments. The repartition of roles requires institutionalized practices that are complex to put in place, while the increase of resources is practically easy once the political push is </w:t>
            </w:r>
            <w:r w:rsidRPr="00F63475" w:rsidDel="00E80B79">
              <w:rPr>
                <w:b w:val="0"/>
                <w:bCs/>
                <w:color w:val="000000" w:themeColor="text1"/>
              </w:rPr>
              <w:t>provided</w:t>
            </w:r>
            <w:r w:rsidR="00E80B79" w:rsidRPr="00F63475">
              <w:rPr>
                <w:b w:val="0"/>
                <w:bCs/>
                <w:color w:val="000000" w:themeColor="text1"/>
              </w:rPr>
              <w:t xml:space="preserve"> and</w:t>
            </w:r>
            <w:r w:rsidRPr="00F63475">
              <w:rPr>
                <w:b w:val="0"/>
                <w:bCs/>
                <w:color w:val="000000" w:themeColor="text1"/>
              </w:rPr>
              <w:t xml:space="preserve"> can be compensated by the focus on the most complex investment cases. Therefore, the presence of clear roles in Czechia [E7] sets the scene for stronger coordination between Ministries, managing authorities, and the local authorities that deliver permits. Finally, the institutionalization of coordination can be easily implemented (e.g., by describing it in the national guidelines) to remove barrier [B5].</w:t>
            </w:r>
          </w:p>
          <w:p w14:paraId="3F9321D0" w14:textId="77777777" w:rsidR="009937DB" w:rsidRPr="00EA2D8D" w:rsidRDefault="009937DB" w:rsidP="00EA2D8D">
            <w:pPr>
              <w:jc w:val="left"/>
              <w:rPr>
                <w:b w:val="0"/>
                <w:bCs/>
              </w:rPr>
            </w:pPr>
          </w:p>
          <w:p w14:paraId="0A84F059" w14:textId="6EBAF630" w:rsidR="009937DB" w:rsidRPr="00F63475" w:rsidRDefault="002610E2" w:rsidP="00EA2D8D">
            <w:pPr>
              <w:pStyle w:val="Nadpis4"/>
              <w:ind w:firstLine="0"/>
              <w:outlineLvl w:val="3"/>
              <w:rPr>
                <w:b/>
                <w:bCs w:val="0"/>
                <w:lang w:val="en-GB"/>
              </w:rPr>
            </w:pPr>
            <w:r w:rsidRPr="00F63475">
              <w:rPr>
                <w:b/>
                <w:bCs w:val="0"/>
                <w:color w:val="005962" w:themeColor="accent1"/>
                <w:lang w:val="en-GB"/>
              </w:rPr>
              <w:t>Replicability of the u</w:t>
            </w:r>
            <w:r w:rsidR="009937DB" w:rsidRPr="00F63475">
              <w:rPr>
                <w:b/>
                <w:bCs w:val="0"/>
                <w:color w:val="005962" w:themeColor="accent1"/>
                <w:lang w:val="en-GB"/>
              </w:rPr>
              <w:t>se of broader data sources for categorisation (</w:t>
            </w:r>
            <w:r w:rsidR="00E80B79">
              <w:rPr>
                <w:b/>
                <w:bCs w:val="0"/>
                <w:color w:val="005962" w:themeColor="accent1"/>
                <w:lang w:val="en-GB"/>
              </w:rPr>
              <w:t xml:space="preserve">based </w:t>
            </w:r>
            <w:r w:rsidR="009937DB" w:rsidRPr="00F63475">
              <w:rPr>
                <w:b/>
                <w:bCs w:val="0"/>
                <w:color w:val="005962" w:themeColor="accent1"/>
                <w:lang w:val="en-GB"/>
              </w:rPr>
              <w:t>on the Spanish model)</w:t>
            </w:r>
          </w:p>
          <w:p w14:paraId="29053A42" w14:textId="7C749AFB" w:rsidR="009937DB" w:rsidRPr="00F63475" w:rsidRDefault="009937DB" w:rsidP="00EA2D8D">
            <w:pPr>
              <w:ind w:left="0"/>
              <w:jc w:val="left"/>
              <w:rPr>
                <w:b w:val="0"/>
                <w:bCs/>
                <w:color w:val="000000" w:themeColor="text1"/>
                <w:lang w:val="en-GB"/>
              </w:rPr>
            </w:pPr>
            <w:r w:rsidRPr="00F63475">
              <w:rPr>
                <w:b w:val="0"/>
                <w:bCs/>
                <w:color w:val="000000" w:themeColor="text1"/>
                <w:lang w:val="en-GB"/>
              </w:rPr>
              <w:t>The use of broader documents (e.g., simplified life-cycle assessments, evaluation of the implementation of SDGs, sectoral roadmaps) to categorise innovative projects appears to be replicable to the Czech context in the medium term. The Spanish example suggests that this practice requires granular data and a strong institutional anchorage. While Czechia can rely on sectoral roadmaps [E10] and on the SGD-based analysis of its budget</w:t>
            </w:r>
            <w:r w:rsidRPr="00F63475">
              <w:rPr>
                <w:rStyle w:val="Znakapoznpodarou"/>
                <w:b w:val="0"/>
                <w:bCs/>
                <w:color w:val="000000" w:themeColor="text1"/>
                <w:lang w:val="en-GB"/>
              </w:rPr>
              <w:footnoteReference w:id="6"/>
            </w:r>
            <w:r w:rsidRPr="00F63475">
              <w:rPr>
                <w:b w:val="0"/>
                <w:bCs/>
                <w:color w:val="000000" w:themeColor="text1"/>
                <w:lang w:val="en-GB"/>
              </w:rPr>
              <w:t xml:space="preserve"> [E9], it does not have a sufficient institutional push to systematically analyse innovative projects with a broader set of data sources [B5]. The lack of resources described by Czech authorities indicates that the current DNSH assessments methods should not be </w:t>
            </w:r>
            <w:r w:rsidR="005248C5" w:rsidRPr="00F63475">
              <w:rPr>
                <w:b w:val="0"/>
                <w:bCs/>
                <w:color w:val="000000" w:themeColor="text1"/>
                <w:lang w:val="en-GB"/>
              </w:rPr>
              <w:t xml:space="preserve">made more </w:t>
            </w:r>
            <w:r w:rsidRPr="00F63475">
              <w:rPr>
                <w:b w:val="0"/>
                <w:bCs/>
                <w:color w:val="000000" w:themeColor="text1"/>
                <w:lang w:val="en-GB"/>
              </w:rPr>
              <w:t>complex</w:t>
            </w:r>
            <w:r w:rsidR="00E80B79">
              <w:rPr>
                <w:b w:val="0"/>
                <w:bCs/>
                <w:color w:val="000000" w:themeColor="text1"/>
                <w:lang w:val="en-GB"/>
              </w:rPr>
              <w:t xml:space="preserve"> or costly</w:t>
            </w:r>
            <w:r w:rsidRPr="00F63475">
              <w:rPr>
                <w:b w:val="0"/>
                <w:bCs/>
                <w:color w:val="000000" w:themeColor="text1"/>
                <w:lang w:val="en-GB"/>
              </w:rPr>
              <w:t>. However, these constraints may evolve over time [E6]. The increased efficiency of DNSH assessments (through the institutionalisation of the DNSH principle and the creation of national guidelines) and the increased experience with innovative projects (with examples of simplified life-cycle assessments and of pilot cases based on SDGs and sectoral roadmaps) will largely support the replication of the practice in the medium-term.</w:t>
            </w:r>
          </w:p>
          <w:p w14:paraId="4A69A4B3" w14:textId="1DC06317" w:rsidR="000C5096" w:rsidRPr="007676CE" w:rsidRDefault="000C5096">
            <w:pPr>
              <w:ind w:left="0"/>
              <w:jc w:val="left"/>
              <w:rPr>
                <w:b w:val="0"/>
                <w:bCs/>
                <w:color w:val="000000" w:themeColor="text1"/>
                <w:sz w:val="16"/>
                <w:szCs w:val="16"/>
                <w:lang w:val="en-GB"/>
              </w:rPr>
            </w:pPr>
          </w:p>
        </w:tc>
      </w:tr>
    </w:tbl>
    <w:p w14:paraId="3E0D2516" w14:textId="649A816B" w:rsidR="00363FF4" w:rsidRPr="00363FF4" w:rsidRDefault="001D4CF2" w:rsidP="003F2A11">
      <w:pPr>
        <w:ind w:left="0"/>
        <w:rPr>
          <w:lang w:val="en-GB"/>
        </w:rPr>
      </w:pPr>
      <w:r>
        <w:rPr>
          <w:lang w:val="en-GB"/>
        </w:rPr>
        <w:br w:type="page"/>
      </w:r>
    </w:p>
    <w:p w14:paraId="7BC86EBF" w14:textId="64F7660E" w:rsidR="00F634BC" w:rsidRDefault="00A93CE0" w:rsidP="001D4CF2">
      <w:pPr>
        <w:pStyle w:val="Nadpis1"/>
        <w:tabs>
          <w:tab w:val="clear" w:pos="851"/>
          <w:tab w:val="left" w:pos="567"/>
        </w:tabs>
        <w:ind w:left="567" w:hanging="567"/>
      </w:pPr>
      <w:bookmarkStart w:id="43" w:name="_Toc131775844"/>
      <w:r>
        <w:lastRenderedPageBreak/>
        <w:t>Peer-learning exchange webinars</w:t>
      </w:r>
      <w:bookmarkEnd w:id="43"/>
      <w:r w:rsidR="00296BE7">
        <w:t xml:space="preserve"> </w:t>
      </w:r>
    </w:p>
    <w:p w14:paraId="15CD1643" w14:textId="0AACD925" w:rsidR="004E262B" w:rsidRPr="004E262B" w:rsidRDefault="004E262B" w:rsidP="004E262B">
      <w:r w:rsidRPr="004E262B">
        <w:t>This chapter</w:t>
      </w:r>
      <w:r w:rsidR="001932D3">
        <w:t xml:space="preserve"> goes beyond the analysis of specific focus cases</w:t>
      </w:r>
      <w:r w:rsidRPr="004E262B">
        <w:t xml:space="preserve"> </w:t>
      </w:r>
      <w:r w:rsidR="001932D3">
        <w:t xml:space="preserve">proposed in Chapter </w:t>
      </w:r>
      <w:r w:rsidR="001E6E56">
        <w:fldChar w:fldCharType="begin"/>
      </w:r>
      <w:r w:rsidR="001E6E56">
        <w:instrText xml:space="preserve"> REF _Ref131521548 \r \h </w:instrText>
      </w:r>
      <w:r w:rsidR="001E6E56">
        <w:fldChar w:fldCharType="separate"/>
      </w:r>
      <w:r w:rsidR="0031368D">
        <w:t>3</w:t>
      </w:r>
      <w:r w:rsidR="001E6E56">
        <w:fldChar w:fldCharType="end"/>
      </w:r>
      <w:r w:rsidR="001E6E56">
        <w:t>, and</w:t>
      </w:r>
      <w:r w:rsidR="001932D3">
        <w:t xml:space="preserve"> </w:t>
      </w:r>
      <w:r w:rsidRPr="004E262B">
        <w:t>provides an overview of the</w:t>
      </w:r>
      <w:r w:rsidR="00F02842">
        <w:t xml:space="preserve"> </w:t>
      </w:r>
      <w:r w:rsidR="00B52F94">
        <w:t xml:space="preserve">content of the </w:t>
      </w:r>
      <w:r w:rsidR="00F02842">
        <w:t>discussions conducted during the webinars</w:t>
      </w:r>
      <w:r w:rsidR="001F1472">
        <w:t>.</w:t>
      </w:r>
      <w:r w:rsidRPr="004E262B">
        <w:t xml:space="preserve"> For each </w:t>
      </w:r>
      <w:r w:rsidR="006622B0">
        <w:t>webinar</w:t>
      </w:r>
      <w:r w:rsidRPr="004E262B">
        <w:t xml:space="preserve">, </w:t>
      </w:r>
      <w:r w:rsidR="006622B0">
        <w:t>the discussions held are summarized along (i) main points of discussion and take</w:t>
      </w:r>
      <w:r w:rsidR="002E22E5">
        <w:t>a</w:t>
      </w:r>
      <w:r w:rsidR="006622B0">
        <w:t>ways</w:t>
      </w:r>
      <w:r w:rsidR="002E22E5">
        <w:t xml:space="preserve"> and (ii) key lessons learnt.</w:t>
      </w:r>
      <w:r w:rsidR="002E22E5" w:rsidRPr="004E262B" w:rsidDel="002E22E5">
        <w:t xml:space="preserve"> </w:t>
      </w:r>
    </w:p>
    <w:p w14:paraId="007EA6AE" w14:textId="77777777" w:rsidR="004E262B" w:rsidRPr="004E262B" w:rsidRDefault="004E262B" w:rsidP="004E262B">
      <w:pPr>
        <w:rPr>
          <w:lang w:val="en-GB"/>
        </w:rPr>
      </w:pPr>
    </w:p>
    <w:p w14:paraId="4D8C2300" w14:textId="05E1D3BB" w:rsidR="005A6379" w:rsidRPr="003270D2" w:rsidRDefault="001D41FF" w:rsidP="003270D2">
      <w:pPr>
        <w:pStyle w:val="Nadpis2"/>
        <w:rPr>
          <w:rStyle w:val="normaltextrun"/>
        </w:rPr>
      </w:pPr>
      <w:bookmarkStart w:id="44" w:name="_Toc131775845"/>
      <w:r>
        <w:t xml:space="preserve">Webinar 1: </w:t>
      </w:r>
      <w:r w:rsidRPr="001D41FF">
        <w:t>Governance processes for applying the DNSH principle</w:t>
      </w:r>
      <w:bookmarkEnd w:id="44"/>
    </w:p>
    <w:p w14:paraId="4D0A9B0C" w14:textId="33C8D62D" w:rsidR="00B746DE" w:rsidRPr="000942CB" w:rsidRDefault="005A6379" w:rsidP="00367EBA">
      <w:pPr>
        <w:pStyle w:val="Nadpis3"/>
        <w:tabs>
          <w:tab w:val="clear" w:pos="851"/>
          <w:tab w:val="left" w:pos="567"/>
        </w:tabs>
        <w:ind w:left="567" w:hanging="567"/>
        <w:rPr>
          <w:rStyle w:val="normaltextrun"/>
          <w:color w:val="F04E30" w:themeColor="accent2"/>
          <w:szCs w:val="18"/>
          <w:bdr w:val="none" w:sz="0" w:space="0" w:color="auto" w:frame="1"/>
        </w:rPr>
      </w:pPr>
      <w:bookmarkStart w:id="45" w:name="_Toc131775846"/>
      <w:r w:rsidRPr="000942CB">
        <w:rPr>
          <w:rStyle w:val="normaltextrun"/>
          <w:color w:val="F04E30" w:themeColor="accent2"/>
          <w:szCs w:val="18"/>
          <w:bdr w:val="none" w:sz="0" w:space="0" w:color="auto" w:frame="1"/>
        </w:rPr>
        <w:t xml:space="preserve">Main points of discussion and </w:t>
      </w:r>
      <w:r w:rsidR="00940E5E">
        <w:rPr>
          <w:rStyle w:val="normaltextrun"/>
          <w:color w:val="F04E30" w:themeColor="accent2"/>
          <w:szCs w:val="18"/>
          <w:bdr w:val="none" w:sz="0" w:space="0" w:color="auto" w:frame="1"/>
        </w:rPr>
        <w:t>takeaways from the webinar</w:t>
      </w:r>
      <w:bookmarkEnd w:id="45"/>
    </w:p>
    <w:p w14:paraId="5EF357C8" w14:textId="0D9464B8" w:rsidR="00241FB5" w:rsidRDefault="0090206F" w:rsidP="006415AD">
      <w:pPr>
        <w:rPr>
          <w:rStyle w:val="normaltextrun"/>
          <w:color w:val="000000"/>
          <w:szCs w:val="18"/>
          <w:bdr w:val="none" w:sz="0" w:space="0" w:color="auto" w:frame="1"/>
        </w:rPr>
      </w:pPr>
      <w:r>
        <w:rPr>
          <w:rStyle w:val="normaltextrun"/>
          <w:color w:val="000000"/>
          <w:szCs w:val="18"/>
          <w:bdr w:val="none" w:sz="0" w:space="0" w:color="auto" w:frame="1"/>
        </w:rPr>
        <w:t xml:space="preserve">Challenges related to the </w:t>
      </w:r>
      <w:r w:rsidRPr="00052370">
        <w:rPr>
          <w:rStyle w:val="normaltextrun"/>
          <w:b/>
          <w:bCs/>
          <w:color w:val="000000"/>
          <w:szCs w:val="18"/>
          <w:bdr w:val="none" w:sz="0" w:space="0" w:color="auto" w:frame="1"/>
        </w:rPr>
        <w:t>r</w:t>
      </w:r>
      <w:r w:rsidR="00B746DE" w:rsidRPr="00052370">
        <w:rPr>
          <w:rStyle w:val="normaltextrun"/>
          <w:b/>
          <w:bCs/>
          <w:color w:val="000000"/>
          <w:szCs w:val="18"/>
          <w:bdr w:val="none" w:sz="0" w:space="0" w:color="auto" w:frame="1"/>
        </w:rPr>
        <w:t>ecen</w:t>
      </w:r>
      <w:r w:rsidRPr="00052370">
        <w:rPr>
          <w:rStyle w:val="normaltextrun"/>
          <w:b/>
          <w:bCs/>
          <w:color w:val="000000"/>
          <w:szCs w:val="18"/>
          <w:bdr w:val="none" w:sz="0" w:space="0" w:color="auto" w:frame="1"/>
        </w:rPr>
        <w:t>t</w:t>
      </w:r>
      <w:r>
        <w:rPr>
          <w:rStyle w:val="normaltextrun"/>
          <w:color w:val="000000"/>
          <w:szCs w:val="18"/>
          <w:bdr w:val="none" w:sz="0" w:space="0" w:color="auto" w:frame="1"/>
        </w:rPr>
        <w:t xml:space="preserve"> development of the DNSH principle</w:t>
      </w:r>
      <w:r w:rsidR="004B2273">
        <w:rPr>
          <w:rStyle w:val="normaltextrun"/>
          <w:color w:val="000000"/>
          <w:szCs w:val="18"/>
          <w:bdr w:val="none" w:sz="0" w:space="0" w:color="auto" w:frame="1"/>
        </w:rPr>
        <w:t xml:space="preserve">, </w:t>
      </w:r>
      <w:r>
        <w:rPr>
          <w:rStyle w:val="normaltextrun"/>
          <w:color w:val="000000"/>
          <w:szCs w:val="18"/>
          <w:bdr w:val="none" w:sz="0" w:space="0" w:color="auto" w:frame="1"/>
        </w:rPr>
        <w:t xml:space="preserve">the </w:t>
      </w:r>
      <w:r w:rsidR="004B2273" w:rsidRPr="00052370">
        <w:rPr>
          <w:rStyle w:val="normaltextrun"/>
          <w:b/>
          <w:bCs/>
          <w:color w:val="000000"/>
          <w:szCs w:val="18"/>
          <w:bdr w:val="none" w:sz="0" w:space="0" w:color="auto" w:frame="1"/>
        </w:rPr>
        <w:t xml:space="preserve">lack of consolidated </w:t>
      </w:r>
      <w:r w:rsidR="00222591" w:rsidRPr="00052370">
        <w:rPr>
          <w:rStyle w:val="normaltextrun"/>
          <w:b/>
          <w:bCs/>
          <w:color w:val="000000"/>
          <w:szCs w:val="18"/>
          <w:bdr w:val="none" w:sz="0" w:space="0" w:color="auto" w:frame="1"/>
        </w:rPr>
        <w:t>framework</w:t>
      </w:r>
      <w:r w:rsidRPr="00052370">
        <w:rPr>
          <w:rStyle w:val="normaltextrun"/>
          <w:b/>
          <w:bCs/>
          <w:color w:val="000000"/>
          <w:szCs w:val="18"/>
          <w:bdr w:val="none" w:sz="0" w:space="0" w:color="auto" w:frame="1"/>
        </w:rPr>
        <w:t>s</w:t>
      </w:r>
      <w:r w:rsidR="004B2273">
        <w:rPr>
          <w:rStyle w:val="normaltextrun"/>
          <w:color w:val="000000"/>
          <w:szCs w:val="18"/>
          <w:bdr w:val="none" w:sz="0" w:space="0" w:color="auto" w:frame="1"/>
        </w:rPr>
        <w:t xml:space="preserve"> </w:t>
      </w:r>
      <w:r>
        <w:rPr>
          <w:rStyle w:val="normaltextrun"/>
          <w:color w:val="000000"/>
          <w:szCs w:val="18"/>
          <w:bdr w:val="none" w:sz="0" w:space="0" w:color="auto" w:frame="1"/>
        </w:rPr>
        <w:t>(i.e., there is a number of diverse models, templates and approaches)</w:t>
      </w:r>
      <w:r w:rsidR="00464CA3">
        <w:rPr>
          <w:rStyle w:val="normaltextrun"/>
          <w:color w:val="000000"/>
          <w:szCs w:val="18"/>
          <w:bdr w:val="none" w:sz="0" w:space="0" w:color="auto" w:frame="1"/>
        </w:rPr>
        <w:t>,</w:t>
      </w:r>
      <w:r>
        <w:rPr>
          <w:rStyle w:val="normaltextrun"/>
          <w:color w:val="000000"/>
          <w:szCs w:val="18"/>
          <w:bdr w:val="none" w:sz="0" w:space="0" w:color="auto" w:frame="1"/>
        </w:rPr>
        <w:t xml:space="preserve"> the </w:t>
      </w:r>
      <w:r w:rsidRPr="00052370">
        <w:rPr>
          <w:rStyle w:val="normaltextrun"/>
          <w:b/>
          <w:bCs/>
          <w:color w:val="000000"/>
          <w:szCs w:val="18"/>
          <w:bdr w:val="none" w:sz="0" w:space="0" w:color="auto" w:frame="1"/>
        </w:rPr>
        <w:t>lack of expertise</w:t>
      </w:r>
      <w:r w:rsidR="007F677E">
        <w:rPr>
          <w:rStyle w:val="normaltextrun"/>
          <w:color w:val="000000"/>
          <w:szCs w:val="18"/>
          <w:bdr w:val="none" w:sz="0" w:space="0" w:color="auto" w:frame="1"/>
        </w:rPr>
        <w:t xml:space="preserve"> throughout the DNSH application</w:t>
      </w:r>
      <w:r w:rsidR="004B2273">
        <w:rPr>
          <w:rStyle w:val="normaltextrun"/>
          <w:color w:val="000000"/>
          <w:szCs w:val="18"/>
          <w:bdr w:val="none" w:sz="0" w:space="0" w:color="auto" w:frame="1"/>
        </w:rPr>
        <w:t xml:space="preserve">, </w:t>
      </w:r>
      <w:r w:rsidR="00464CA3">
        <w:rPr>
          <w:rStyle w:val="normaltextrun"/>
          <w:color w:val="000000"/>
          <w:szCs w:val="18"/>
          <w:bdr w:val="none" w:sz="0" w:space="0" w:color="auto" w:frame="1"/>
        </w:rPr>
        <w:t>and the</w:t>
      </w:r>
      <w:r w:rsidR="00F17B5A">
        <w:rPr>
          <w:rStyle w:val="normaltextrun"/>
          <w:color w:val="000000"/>
          <w:szCs w:val="18"/>
          <w:bdr w:val="none" w:sz="0" w:space="0" w:color="auto" w:frame="1"/>
        </w:rPr>
        <w:t xml:space="preserve"> </w:t>
      </w:r>
      <w:r w:rsidR="00F17B5A" w:rsidRPr="00052370">
        <w:rPr>
          <w:rStyle w:val="normaltextrun"/>
          <w:b/>
          <w:bCs/>
          <w:color w:val="000000"/>
          <w:szCs w:val="18"/>
          <w:bdr w:val="none" w:sz="0" w:space="0" w:color="auto" w:frame="1"/>
        </w:rPr>
        <w:t>need for dedicated resources</w:t>
      </w:r>
      <w:r w:rsidR="00464CA3">
        <w:rPr>
          <w:rStyle w:val="normaltextrun"/>
          <w:color w:val="000000"/>
          <w:szCs w:val="18"/>
          <w:bdr w:val="none" w:sz="0" w:space="0" w:color="auto" w:frame="1"/>
        </w:rPr>
        <w:t xml:space="preserve"> emerge as </w:t>
      </w:r>
      <w:r w:rsidR="0017050E">
        <w:rPr>
          <w:rStyle w:val="normaltextrun"/>
          <w:color w:val="000000"/>
          <w:szCs w:val="18"/>
          <w:bdr w:val="none" w:sz="0" w:space="0" w:color="auto" w:frame="1"/>
        </w:rPr>
        <w:t>key characteristics in all the peer M</w:t>
      </w:r>
      <w:r w:rsidR="007206B6">
        <w:rPr>
          <w:rStyle w:val="normaltextrun"/>
          <w:color w:val="000000"/>
          <w:szCs w:val="18"/>
          <w:bdr w:val="none" w:sz="0" w:space="0" w:color="auto" w:frame="1"/>
        </w:rPr>
        <w:t xml:space="preserve">ember </w:t>
      </w:r>
      <w:r w:rsidR="0017050E">
        <w:rPr>
          <w:rStyle w:val="normaltextrun"/>
          <w:color w:val="000000"/>
          <w:szCs w:val="18"/>
          <w:bdr w:val="none" w:sz="0" w:space="0" w:color="auto" w:frame="1"/>
        </w:rPr>
        <w:t>S</w:t>
      </w:r>
      <w:r w:rsidR="007206B6">
        <w:rPr>
          <w:rStyle w:val="normaltextrun"/>
          <w:color w:val="000000"/>
          <w:szCs w:val="18"/>
          <w:bdr w:val="none" w:sz="0" w:space="0" w:color="auto" w:frame="1"/>
        </w:rPr>
        <w:t>tate</w:t>
      </w:r>
      <w:r w:rsidR="0017050E">
        <w:rPr>
          <w:rStyle w:val="normaltextrun"/>
          <w:color w:val="000000"/>
          <w:szCs w:val="18"/>
          <w:bdr w:val="none" w:sz="0" w:space="0" w:color="auto" w:frame="1"/>
        </w:rPr>
        <w:t>s present</w:t>
      </w:r>
      <w:r w:rsidR="00BC60B7">
        <w:rPr>
          <w:rStyle w:val="normaltextrun"/>
          <w:color w:val="000000"/>
          <w:szCs w:val="18"/>
          <w:bdr w:val="none" w:sz="0" w:space="0" w:color="auto" w:frame="1"/>
        </w:rPr>
        <w:t xml:space="preserve"> during the webinar</w:t>
      </w:r>
      <w:r w:rsidR="0017050E">
        <w:rPr>
          <w:rStyle w:val="normaltextrun"/>
          <w:color w:val="000000"/>
          <w:szCs w:val="18"/>
          <w:bdr w:val="none" w:sz="0" w:space="0" w:color="auto" w:frame="1"/>
        </w:rPr>
        <w:t xml:space="preserve">. </w:t>
      </w:r>
      <w:r w:rsidR="009958F2">
        <w:rPr>
          <w:rStyle w:val="normaltextrun"/>
          <w:color w:val="000000"/>
          <w:szCs w:val="18"/>
          <w:bdr w:val="none" w:sz="0" w:space="0" w:color="auto" w:frame="1"/>
        </w:rPr>
        <w:t xml:space="preserve">These characteristics </w:t>
      </w:r>
      <w:r w:rsidR="008E337E">
        <w:rPr>
          <w:rStyle w:val="normaltextrun"/>
          <w:color w:val="000000"/>
          <w:szCs w:val="18"/>
          <w:bdr w:val="none" w:sz="0" w:space="0" w:color="auto" w:frame="1"/>
        </w:rPr>
        <w:t xml:space="preserve">relate to each other and tend to aggravate one another (e.g., the limited size of teams dedicated </w:t>
      </w:r>
      <w:r w:rsidR="007C78E0">
        <w:rPr>
          <w:rStyle w:val="normaltextrun"/>
          <w:color w:val="000000"/>
          <w:szCs w:val="18"/>
          <w:bdr w:val="none" w:sz="0" w:space="0" w:color="auto" w:frame="1"/>
        </w:rPr>
        <w:t>to the DNSH principle is highlighted as a difficulty to develop consolidated frameworks and to build expertise among all relevant staff).</w:t>
      </w:r>
      <w:r w:rsidR="00367EBA">
        <w:rPr>
          <w:rStyle w:val="normaltextrun"/>
          <w:color w:val="000000"/>
          <w:szCs w:val="18"/>
          <w:bdr w:val="none" w:sz="0" w:space="0" w:color="auto" w:frame="1"/>
        </w:rPr>
        <w:t xml:space="preserve"> </w:t>
      </w:r>
      <w:r w:rsidR="007C78E0">
        <w:rPr>
          <w:rStyle w:val="normaltextrun"/>
          <w:color w:val="000000"/>
          <w:szCs w:val="18"/>
          <w:bdr w:val="none" w:sz="0" w:space="0" w:color="auto" w:frame="1"/>
        </w:rPr>
        <w:t xml:space="preserve">In addition, </w:t>
      </w:r>
      <w:r w:rsidR="0041037E">
        <w:rPr>
          <w:rStyle w:val="normaltextrun"/>
          <w:color w:val="000000"/>
          <w:szCs w:val="18"/>
          <w:bdr w:val="none" w:sz="0" w:space="0" w:color="auto" w:frame="1"/>
        </w:rPr>
        <w:t xml:space="preserve">3 </w:t>
      </w:r>
      <w:r w:rsidR="00624D5A">
        <w:rPr>
          <w:rStyle w:val="normaltextrun"/>
          <w:color w:val="000000"/>
          <w:szCs w:val="18"/>
          <w:bdr w:val="none" w:sz="0" w:space="0" w:color="auto" w:frame="1"/>
        </w:rPr>
        <w:t xml:space="preserve">key </w:t>
      </w:r>
      <w:r w:rsidR="00241FB5">
        <w:rPr>
          <w:rStyle w:val="normaltextrun"/>
          <w:color w:val="000000"/>
          <w:szCs w:val="18"/>
          <w:bdr w:val="none" w:sz="0" w:space="0" w:color="auto" w:frame="1"/>
        </w:rPr>
        <w:t>points echoing across the peer M</w:t>
      </w:r>
      <w:r w:rsidR="007206B6">
        <w:rPr>
          <w:rStyle w:val="normaltextrun"/>
          <w:color w:val="000000"/>
          <w:szCs w:val="18"/>
          <w:bdr w:val="none" w:sz="0" w:space="0" w:color="auto" w:frame="1"/>
        </w:rPr>
        <w:t xml:space="preserve">ember </w:t>
      </w:r>
      <w:r w:rsidR="00241FB5">
        <w:rPr>
          <w:rStyle w:val="normaltextrun"/>
          <w:color w:val="000000"/>
          <w:szCs w:val="18"/>
          <w:bdr w:val="none" w:sz="0" w:space="0" w:color="auto" w:frame="1"/>
        </w:rPr>
        <w:t>S</w:t>
      </w:r>
      <w:r w:rsidR="007206B6">
        <w:rPr>
          <w:rStyle w:val="normaltextrun"/>
          <w:color w:val="000000"/>
          <w:szCs w:val="18"/>
          <w:bdr w:val="none" w:sz="0" w:space="0" w:color="auto" w:frame="1"/>
        </w:rPr>
        <w:t>tate</w:t>
      </w:r>
      <w:r w:rsidR="00241FB5">
        <w:rPr>
          <w:rStyle w:val="normaltextrun"/>
          <w:color w:val="000000"/>
          <w:szCs w:val="18"/>
          <w:bdr w:val="none" w:sz="0" w:space="0" w:color="auto" w:frame="1"/>
        </w:rPr>
        <w:t xml:space="preserve">s </w:t>
      </w:r>
      <w:r w:rsidR="000942CB">
        <w:rPr>
          <w:rStyle w:val="normaltextrun"/>
          <w:color w:val="000000"/>
          <w:szCs w:val="18"/>
          <w:bdr w:val="none" w:sz="0" w:space="0" w:color="auto" w:frame="1"/>
        </w:rPr>
        <w:t>we</w:t>
      </w:r>
      <w:r w:rsidR="00241FB5">
        <w:rPr>
          <w:rStyle w:val="normaltextrun"/>
          <w:color w:val="000000"/>
          <w:szCs w:val="18"/>
          <w:bdr w:val="none" w:sz="0" w:space="0" w:color="auto" w:frame="1"/>
        </w:rPr>
        <w:t>re discussed</w:t>
      </w:r>
      <w:r w:rsidR="00892FC7">
        <w:rPr>
          <w:rStyle w:val="normaltextrun"/>
          <w:color w:val="000000"/>
          <w:szCs w:val="18"/>
          <w:bdr w:val="none" w:sz="0" w:space="0" w:color="auto" w:frame="1"/>
        </w:rPr>
        <w:t xml:space="preserve"> around the governance structure and procedures for</w:t>
      </w:r>
      <w:r w:rsidR="005516A0">
        <w:rPr>
          <w:rStyle w:val="normaltextrun"/>
          <w:color w:val="000000"/>
          <w:szCs w:val="18"/>
          <w:bdr w:val="none" w:sz="0" w:space="0" w:color="auto" w:frame="1"/>
        </w:rPr>
        <w:t xml:space="preserve"> applying the DNSH principle</w:t>
      </w:r>
      <w:r w:rsidR="00241FB5">
        <w:rPr>
          <w:rStyle w:val="normaltextrun"/>
          <w:color w:val="000000"/>
          <w:szCs w:val="18"/>
          <w:bdr w:val="none" w:sz="0" w:space="0" w:color="auto" w:frame="1"/>
        </w:rPr>
        <w:t>:</w:t>
      </w:r>
    </w:p>
    <w:p w14:paraId="293F20DB" w14:textId="77777777" w:rsidR="00695009" w:rsidRDefault="00237527" w:rsidP="00367EBA">
      <w:pPr>
        <w:pStyle w:val="Bulletpoint"/>
        <w:ind w:left="851" w:hanging="284"/>
        <w:rPr>
          <w:rStyle w:val="normaltextrun"/>
          <w:color w:val="000000"/>
          <w:szCs w:val="18"/>
          <w:bdr w:val="none" w:sz="0" w:space="0" w:color="auto" w:frame="1"/>
        </w:rPr>
      </w:pPr>
      <w:r w:rsidRPr="000756E0">
        <w:rPr>
          <w:rStyle w:val="normaltextrun"/>
          <w:b/>
          <w:bCs/>
          <w:color w:val="000000"/>
          <w:szCs w:val="18"/>
          <w:bdr w:val="none" w:sz="0" w:space="0" w:color="auto" w:frame="1"/>
        </w:rPr>
        <w:t>The difficulty to find a balance between centralisation and d</w:t>
      </w:r>
      <w:r w:rsidR="00B746DE" w:rsidRPr="000756E0">
        <w:rPr>
          <w:rStyle w:val="normaltextrun"/>
          <w:b/>
          <w:bCs/>
          <w:color w:val="000000"/>
          <w:szCs w:val="18"/>
          <w:bdr w:val="none" w:sz="0" w:space="0" w:color="auto" w:frame="1"/>
        </w:rPr>
        <w:t>ecentralisation</w:t>
      </w:r>
      <w:r>
        <w:rPr>
          <w:rStyle w:val="normaltextrun"/>
          <w:color w:val="000000"/>
          <w:szCs w:val="18"/>
          <w:bdr w:val="none" w:sz="0" w:space="0" w:color="auto" w:frame="1"/>
        </w:rPr>
        <w:t xml:space="preserve">. The </w:t>
      </w:r>
      <w:r w:rsidR="00445599">
        <w:rPr>
          <w:rStyle w:val="normaltextrun"/>
          <w:color w:val="000000"/>
          <w:szCs w:val="18"/>
          <w:bdr w:val="none" w:sz="0" w:space="0" w:color="auto" w:frame="1"/>
        </w:rPr>
        <w:t>former</w:t>
      </w:r>
      <w:r>
        <w:rPr>
          <w:rStyle w:val="normaltextrun"/>
          <w:color w:val="000000"/>
          <w:szCs w:val="18"/>
          <w:bdr w:val="none" w:sz="0" w:space="0" w:color="auto" w:frame="1"/>
        </w:rPr>
        <w:t xml:space="preserve"> allows for the development of consolidated frameworks </w:t>
      </w:r>
      <w:r w:rsidR="00FD0A6C">
        <w:rPr>
          <w:rStyle w:val="normaltextrun"/>
          <w:color w:val="000000"/>
          <w:szCs w:val="18"/>
          <w:bdr w:val="none" w:sz="0" w:space="0" w:color="auto" w:frame="1"/>
        </w:rPr>
        <w:t xml:space="preserve">and facilitates synergies, while the </w:t>
      </w:r>
      <w:r w:rsidR="00445599">
        <w:rPr>
          <w:rStyle w:val="normaltextrun"/>
          <w:color w:val="000000"/>
          <w:szCs w:val="18"/>
          <w:bdr w:val="none" w:sz="0" w:space="0" w:color="auto" w:frame="1"/>
        </w:rPr>
        <w:t xml:space="preserve">latter ensures </w:t>
      </w:r>
      <w:r w:rsidR="00F856D1">
        <w:rPr>
          <w:rStyle w:val="normaltextrun"/>
          <w:color w:val="000000"/>
          <w:szCs w:val="18"/>
          <w:bdr w:val="none" w:sz="0" w:space="0" w:color="auto" w:frame="1"/>
        </w:rPr>
        <w:t xml:space="preserve">that the application of the DNSH principle is </w:t>
      </w:r>
      <w:r w:rsidR="00C952EB">
        <w:rPr>
          <w:rStyle w:val="normaltextrun"/>
          <w:color w:val="000000"/>
          <w:szCs w:val="18"/>
          <w:bdr w:val="none" w:sz="0" w:space="0" w:color="auto" w:frame="1"/>
        </w:rPr>
        <w:t xml:space="preserve">tailored </w:t>
      </w:r>
      <w:r w:rsidR="00F856D1">
        <w:rPr>
          <w:rStyle w:val="normaltextrun"/>
          <w:color w:val="000000"/>
          <w:szCs w:val="18"/>
          <w:bdr w:val="none" w:sz="0" w:space="0" w:color="auto" w:frame="1"/>
        </w:rPr>
        <w:t>to local or sectoral contexts</w:t>
      </w:r>
      <w:r w:rsidR="00C952EB">
        <w:rPr>
          <w:rStyle w:val="normaltextrun"/>
          <w:color w:val="000000"/>
          <w:szCs w:val="18"/>
          <w:bdr w:val="none" w:sz="0" w:space="0" w:color="auto" w:frame="1"/>
        </w:rPr>
        <w:t xml:space="preserve"> (especially where there are no or </w:t>
      </w:r>
      <w:r w:rsidR="00847D53">
        <w:rPr>
          <w:rStyle w:val="normaltextrun"/>
          <w:color w:val="000000"/>
          <w:szCs w:val="18"/>
          <w:bdr w:val="none" w:sz="0" w:space="0" w:color="auto" w:frame="1"/>
        </w:rPr>
        <w:t>small teams dedicated to the DNSH principle, because the application can only rely on line Ministries or managing authorities);</w:t>
      </w:r>
    </w:p>
    <w:p w14:paraId="131C0B7D" w14:textId="1AC79C86" w:rsidR="00116369" w:rsidRDefault="00695009" w:rsidP="00367EBA">
      <w:pPr>
        <w:pStyle w:val="Bulletpoint"/>
        <w:ind w:left="851" w:hanging="284"/>
        <w:rPr>
          <w:rStyle w:val="normaltextrun"/>
          <w:color w:val="000000"/>
          <w:szCs w:val="18"/>
          <w:bdr w:val="none" w:sz="0" w:space="0" w:color="auto" w:frame="1"/>
        </w:rPr>
      </w:pPr>
      <w:r w:rsidRPr="000756E0">
        <w:rPr>
          <w:rStyle w:val="normaltextrun"/>
          <w:b/>
          <w:bCs/>
          <w:color w:val="000000"/>
          <w:szCs w:val="18"/>
          <w:bdr w:val="none" w:sz="0" w:space="0" w:color="auto" w:frame="1"/>
        </w:rPr>
        <w:t>The v</w:t>
      </w:r>
      <w:r w:rsidR="00224DA8" w:rsidRPr="000756E0">
        <w:rPr>
          <w:rStyle w:val="normaltextrun"/>
          <w:b/>
          <w:bCs/>
          <w:color w:val="000000"/>
          <w:szCs w:val="18"/>
          <w:bdr w:val="none" w:sz="0" w:space="0" w:color="auto" w:frame="1"/>
        </w:rPr>
        <w:t>ariety and number of authorities involved</w:t>
      </w:r>
      <w:r w:rsidR="00D54B44">
        <w:rPr>
          <w:rStyle w:val="normaltextrun"/>
          <w:color w:val="000000"/>
          <w:szCs w:val="18"/>
          <w:bdr w:val="none" w:sz="0" w:space="0" w:color="auto" w:frame="1"/>
        </w:rPr>
        <w:t>.</w:t>
      </w:r>
      <w:r w:rsidR="00815B1C" w:rsidRPr="00695009">
        <w:rPr>
          <w:rStyle w:val="normaltextrun"/>
          <w:color w:val="000000"/>
          <w:szCs w:val="18"/>
          <w:bdr w:val="none" w:sz="0" w:space="0" w:color="auto" w:frame="1"/>
        </w:rPr>
        <w:t xml:space="preserve"> </w:t>
      </w:r>
      <w:r w:rsidR="00D54B44">
        <w:rPr>
          <w:rStyle w:val="normaltextrun"/>
          <w:color w:val="000000"/>
          <w:szCs w:val="18"/>
          <w:bdr w:val="none" w:sz="0" w:space="0" w:color="auto" w:frame="1"/>
        </w:rPr>
        <w:t xml:space="preserve">Governance processes must allow for the capacity building and effectiveness of </w:t>
      </w:r>
      <w:r w:rsidR="00633EBB">
        <w:rPr>
          <w:rStyle w:val="normaltextrun"/>
          <w:color w:val="000000"/>
          <w:szCs w:val="18"/>
          <w:bdr w:val="none" w:sz="0" w:space="0" w:color="auto" w:frame="1"/>
        </w:rPr>
        <w:t>all managing authorities, which poses issues since they largely differ in terms of sectors and scale</w:t>
      </w:r>
      <w:r w:rsidR="00116369">
        <w:rPr>
          <w:rStyle w:val="normaltextrun"/>
          <w:color w:val="000000"/>
          <w:szCs w:val="18"/>
          <w:bdr w:val="none" w:sz="0" w:space="0" w:color="auto" w:frame="1"/>
        </w:rPr>
        <w:t>;</w:t>
      </w:r>
    </w:p>
    <w:p w14:paraId="1CD853BA" w14:textId="2A553FD5" w:rsidR="003C38B1" w:rsidRPr="004E35B2" w:rsidRDefault="007F677E" w:rsidP="00367EBA">
      <w:pPr>
        <w:pStyle w:val="Bulletpoint"/>
        <w:ind w:left="851" w:hanging="284"/>
        <w:rPr>
          <w:rStyle w:val="normaltextrun"/>
          <w:color w:val="000000"/>
          <w:szCs w:val="18"/>
          <w:bdr w:val="none" w:sz="0" w:space="0" w:color="auto" w:frame="1"/>
        </w:rPr>
      </w:pPr>
      <w:r w:rsidRPr="008124A0">
        <w:rPr>
          <w:rStyle w:val="normaltextrun"/>
          <w:b/>
          <w:bCs/>
          <w:color w:val="000000"/>
          <w:szCs w:val="18"/>
          <w:bdr w:val="none" w:sz="0" w:space="0" w:color="auto" w:frame="1"/>
        </w:rPr>
        <w:t xml:space="preserve">The difficulty to apply </w:t>
      </w:r>
      <w:r w:rsidR="005328F7" w:rsidRPr="008124A0">
        <w:rPr>
          <w:rStyle w:val="normaltextrun"/>
          <w:b/>
          <w:bCs/>
          <w:color w:val="000000"/>
          <w:szCs w:val="18"/>
          <w:bdr w:val="none" w:sz="0" w:space="0" w:color="auto" w:frame="1"/>
        </w:rPr>
        <w:t xml:space="preserve">in an equally effective manner the DNSH principle across </w:t>
      </w:r>
      <w:r w:rsidR="008124A0">
        <w:rPr>
          <w:rStyle w:val="normaltextrun"/>
          <w:b/>
          <w:bCs/>
          <w:color w:val="000000"/>
          <w:szCs w:val="18"/>
          <w:bdr w:val="none" w:sz="0" w:space="0" w:color="auto" w:frame="1"/>
        </w:rPr>
        <w:t xml:space="preserve">all </w:t>
      </w:r>
      <w:r w:rsidR="005328F7" w:rsidRPr="008124A0">
        <w:rPr>
          <w:rStyle w:val="normaltextrun"/>
          <w:b/>
          <w:bCs/>
          <w:color w:val="000000"/>
          <w:szCs w:val="18"/>
          <w:bdr w:val="none" w:sz="0" w:space="0" w:color="auto" w:frame="1"/>
        </w:rPr>
        <w:t>funds</w:t>
      </w:r>
      <w:r w:rsidR="005328F7">
        <w:rPr>
          <w:rStyle w:val="normaltextrun"/>
          <w:color w:val="000000"/>
          <w:szCs w:val="18"/>
          <w:bdr w:val="none" w:sz="0" w:space="0" w:color="auto" w:frame="1"/>
        </w:rPr>
        <w:t xml:space="preserve">. </w:t>
      </w:r>
      <w:r w:rsidR="00116EEF">
        <w:rPr>
          <w:rStyle w:val="normaltextrun"/>
          <w:color w:val="000000"/>
          <w:szCs w:val="18"/>
          <w:bdr w:val="none" w:sz="0" w:space="0" w:color="auto" w:frame="1"/>
        </w:rPr>
        <w:t>Typically</w:t>
      </w:r>
      <w:r w:rsidR="005328F7">
        <w:rPr>
          <w:rStyle w:val="normaltextrun"/>
          <w:color w:val="000000"/>
          <w:szCs w:val="18"/>
          <w:bdr w:val="none" w:sz="0" w:space="0" w:color="auto" w:frame="1"/>
        </w:rPr>
        <w:t xml:space="preserve">, the </w:t>
      </w:r>
      <w:r w:rsidR="009A3CE7">
        <w:rPr>
          <w:rStyle w:val="normaltextrun"/>
          <w:color w:val="000000"/>
          <w:szCs w:val="18"/>
          <w:bdr w:val="none" w:sz="0" w:space="0" w:color="auto" w:frame="1"/>
        </w:rPr>
        <w:t xml:space="preserve">implementation of </w:t>
      </w:r>
      <w:r w:rsidR="008124A0">
        <w:rPr>
          <w:rStyle w:val="normaltextrun"/>
          <w:color w:val="000000"/>
          <w:szCs w:val="18"/>
          <w:bdr w:val="none" w:sz="0" w:space="0" w:color="auto" w:frame="1"/>
        </w:rPr>
        <w:t xml:space="preserve">the </w:t>
      </w:r>
      <w:r w:rsidR="009A3CE7">
        <w:rPr>
          <w:rStyle w:val="normaltextrun"/>
          <w:color w:val="000000"/>
          <w:szCs w:val="18"/>
          <w:bdr w:val="none" w:sz="0" w:space="0" w:color="auto" w:frame="1"/>
        </w:rPr>
        <w:t>RR</w:t>
      </w:r>
      <w:r w:rsidR="008124A0">
        <w:rPr>
          <w:rStyle w:val="normaltextrun"/>
          <w:color w:val="000000"/>
          <w:szCs w:val="18"/>
          <w:bdr w:val="none" w:sz="0" w:space="0" w:color="auto" w:frame="1"/>
        </w:rPr>
        <w:t>F</w:t>
      </w:r>
      <w:r w:rsidR="009A3CE7">
        <w:rPr>
          <w:rStyle w:val="normaltextrun"/>
          <w:color w:val="000000"/>
          <w:szCs w:val="18"/>
          <w:bdr w:val="none" w:sz="0" w:space="0" w:color="auto" w:frame="1"/>
        </w:rPr>
        <w:t xml:space="preserve"> call</w:t>
      </w:r>
      <w:r w:rsidR="004E35B2">
        <w:rPr>
          <w:rStyle w:val="normaltextrun"/>
          <w:color w:val="000000"/>
          <w:szCs w:val="18"/>
          <w:bdr w:val="none" w:sz="0" w:space="0" w:color="auto" w:frame="1"/>
        </w:rPr>
        <w:t>s</w:t>
      </w:r>
      <w:r w:rsidR="009A3CE7">
        <w:rPr>
          <w:rStyle w:val="normaltextrun"/>
          <w:color w:val="000000"/>
          <w:szCs w:val="18"/>
          <w:bdr w:val="none" w:sz="0" w:space="0" w:color="auto" w:frame="1"/>
        </w:rPr>
        <w:t xml:space="preserve"> for a legal exercise, while the implementation of Cohesion Policy funds </w:t>
      </w:r>
      <w:r w:rsidR="004E35B2">
        <w:rPr>
          <w:rStyle w:val="normaltextrun"/>
          <w:color w:val="000000"/>
          <w:szCs w:val="18"/>
          <w:bdr w:val="none" w:sz="0" w:space="0" w:color="auto" w:frame="1"/>
        </w:rPr>
        <w:t>calls for a technical knowledge of relevant DN</w:t>
      </w:r>
      <w:r w:rsidR="00966E9D">
        <w:rPr>
          <w:rStyle w:val="normaltextrun"/>
          <w:color w:val="000000"/>
          <w:szCs w:val="18"/>
          <w:bdr w:val="none" w:sz="0" w:space="0" w:color="auto" w:frame="1"/>
        </w:rPr>
        <w:t>SH</w:t>
      </w:r>
      <w:r w:rsidR="004E35B2">
        <w:rPr>
          <w:rStyle w:val="normaltextrun"/>
          <w:color w:val="000000"/>
          <w:szCs w:val="18"/>
          <w:bdr w:val="none" w:sz="0" w:space="0" w:color="auto" w:frame="1"/>
        </w:rPr>
        <w:t xml:space="preserve"> criteria</w:t>
      </w:r>
      <w:r w:rsidR="00966E9D">
        <w:rPr>
          <w:rStyle w:val="normaltextrun"/>
          <w:color w:val="000000"/>
          <w:szCs w:val="18"/>
          <w:bdr w:val="none" w:sz="0" w:space="0" w:color="auto" w:frame="1"/>
        </w:rPr>
        <w:t xml:space="preserve">. This </w:t>
      </w:r>
      <w:r w:rsidR="00591BE8">
        <w:rPr>
          <w:rStyle w:val="normaltextrun"/>
          <w:color w:val="000000"/>
          <w:szCs w:val="18"/>
          <w:bdr w:val="none" w:sz="0" w:space="0" w:color="auto" w:frame="1"/>
        </w:rPr>
        <w:t>requires</w:t>
      </w:r>
      <w:r w:rsidR="00966E9D">
        <w:rPr>
          <w:rStyle w:val="normaltextrun"/>
          <w:color w:val="000000"/>
          <w:szCs w:val="18"/>
          <w:bdr w:val="none" w:sz="0" w:space="0" w:color="auto" w:frame="1"/>
        </w:rPr>
        <w:t xml:space="preserve"> different </w:t>
      </w:r>
      <w:r w:rsidR="00591BE8">
        <w:rPr>
          <w:rStyle w:val="normaltextrun"/>
          <w:color w:val="000000"/>
          <w:szCs w:val="18"/>
          <w:bdr w:val="none" w:sz="0" w:space="0" w:color="auto" w:frame="1"/>
        </w:rPr>
        <w:t xml:space="preserve">and potentially </w:t>
      </w:r>
      <w:r w:rsidR="00116EEF">
        <w:rPr>
          <w:rStyle w:val="normaltextrun"/>
          <w:color w:val="000000"/>
          <w:szCs w:val="18"/>
          <w:bdr w:val="none" w:sz="0" w:space="0" w:color="auto" w:frame="1"/>
        </w:rPr>
        <w:t xml:space="preserve">diverging </w:t>
      </w:r>
      <w:r w:rsidR="003270D2">
        <w:rPr>
          <w:rStyle w:val="normaltextrun"/>
          <w:color w:val="000000"/>
          <w:szCs w:val="18"/>
          <w:bdr w:val="none" w:sz="0" w:space="0" w:color="auto" w:frame="1"/>
        </w:rPr>
        <w:t>attributes</w:t>
      </w:r>
      <w:r w:rsidR="00591BE8">
        <w:rPr>
          <w:rStyle w:val="normaltextrun"/>
          <w:color w:val="000000"/>
          <w:szCs w:val="18"/>
          <w:bdr w:val="none" w:sz="0" w:space="0" w:color="auto" w:frame="1"/>
        </w:rPr>
        <w:t xml:space="preserve"> in </w:t>
      </w:r>
      <w:r w:rsidR="006B7B7A">
        <w:rPr>
          <w:rStyle w:val="normaltextrun"/>
          <w:color w:val="000000"/>
          <w:szCs w:val="18"/>
          <w:bdr w:val="none" w:sz="0" w:space="0" w:color="auto" w:frame="1"/>
        </w:rPr>
        <w:t>governance systems</w:t>
      </w:r>
      <w:r w:rsidR="00591BE8">
        <w:rPr>
          <w:rStyle w:val="normaltextrun"/>
          <w:color w:val="000000"/>
          <w:szCs w:val="18"/>
          <w:bdr w:val="none" w:sz="0" w:space="0" w:color="auto" w:frame="1"/>
        </w:rPr>
        <w:t>.</w:t>
      </w:r>
    </w:p>
    <w:p w14:paraId="6439633F" w14:textId="14279FE7" w:rsidR="00B746DE" w:rsidRDefault="00B746DE" w:rsidP="006415AD">
      <w:pPr>
        <w:rPr>
          <w:rStyle w:val="normaltextrun"/>
          <w:color w:val="000000"/>
          <w:szCs w:val="18"/>
          <w:bdr w:val="none" w:sz="0" w:space="0" w:color="auto" w:frame="1"/>
        </w:rPr>
      </w:pPr>
    </w:p>
    <w:p w14:paraId="4F2E1FC8" w14:textId="6F19AB98" w:rsidR="005A6379" w:rsidRPr="000942CB" w:rsidRDefault="0090206F" w:rsidP="00367EBA">
      <w:pPr>
        <w:pStyle w:val="Nadpis3"/>
        <w:ind w:left="567" w:hanging="567"/>
        <w:rPr>
          <w:rStyle w:val="normaltextrun"/>
          <w:color w:val="F04E30" w:themeColor="accent2"/>
          <w:szCs w:val="18"/>
          <w:bdr w:val="none" w:sz="0" w:space="0" w:color="auto" w:frame="1"/>
        </w:rPr>
      </w:pPr>
      <w:bookmarkStart w:id="46" w:name="_Toc131775847"/>
      <w:r w:rsidRPr="000942CB">
        <w:rPr>
          <w:rStyle w:val="normaltextrun"/>
          <w:color w:val="F04E30" w:themeColor="accent2"/>
          <w:szCs w:val="18"/>
          <w:bdr w:val="none" w:sz="0" w:space="0" w:color="auto" w:frame="1"/>
        </w:rPr>
        <w:t>Key lessons learnt</w:t>
      </w:r>
      <w:bookmarkEnd w:id="46"/>
    </w:p>
    <w:p w14:paraId="46D8DB2F" w14:textId="2F1E1C1C" w:rsidR="003270D2" w:rsidRDefault="00BB3A45" w:rsidP="003270D2">
      <w:pPr>
        <w:rPr>
          <w:lang w:val="en-GB"/>
        </w:rPr>
      </w:pPr>
      <w:r>
        <w:rPr>
          <w:lang w:val="en-GB"/>
        </w:rPr>
        <w:t>A number of lessons learnt were discussed</w:t>
      </w:r>
      <w:r w:rsidR="00A41FB0">
        <w:rPr>
          <w:lang w:val="en-GB"/>
        </w:rPr>
        <w:t xml:space="preserve"> and reflected upon as part of the panel discussion</w:t>
      </w:r>
      <w:r>
        <w:rPr>
          <w:lang w:val="en-GB"/>
        </w:rPr>
        <w:t xml:space="preserve">. While they do not systematically address </w:t>
      </w:r>
      <w:r w:rsidR="00BD1D89">
        <w:rPr>
          <w:lang w:val="en-GB"/>
        </w:rPr>
        <w:t xml:space="preserve">all </w:t>
      </w:r>
      <w:r>
        <w:rPr>
          <w:lang w:val="en-GB"/>
        </w:rPr>
        <w:t>the challenge</w:t>
      </w:r>
      <w:r w:rsidR="00BD1D89">
        <w:rPr>
          <w:lang w:val="en-GB"/>
        </w:rPr>
        <w:t xml:space="preserve">s </w:t>
      </w:r>
      <w:r w:rsidR="004274FC">
        <w:rPr>
          <w:lang w:val="en-GB"/>
        </w:rPr>
        <w:t xml:space="preserve">around DNSH governance as </w:t>
      </w:r>
      <w:r w:rsidR="00BD1D89">
        <w:rPr>
          <w:lang w:val="en-GB"/>
        </w:rPr>
        <w:t>mentioned</w:t>
      </w:r>
      <w:r w:rsidR="004274FC">
        <w:rPr>
          <w:lang w:val="en-GB"/>
        </w:rPr>
        <w:t xml:space="preserve"> above</w:t>
      </w:r>
      <w:r>
        <w:rPr>
          <w:lang w:val="en-GB"/>
        </w:rPr>
        <w:t xml:space="preserve">, they </w:t>
      </w:r>
      <w:r w:rsidR="007B661D">
        <w:rPr>
          <w:lang w:val="en-GB"/>
        </w:rPr>
        <w:t xml:space="preserve">have the advantage of </w:t>
      </w:r>
      <w:r>
        <w:rPr>
          <w:lang w:val="en-GB"/>
        </w:rPr>
        <w:t>apply</w:t>
      </w:r>
      <w:r w:rsidR="007B661D">
        <w:rPr>
          <w:lang w:val="en-GB"/>
        </w:rPr>
        <w:t>ing</w:t>
      </w:r>
      <w:r>
        <w:rPr>
          <w:lang w:val="en-GB"/>
        </w:rPr>
        <w:t xml:space="preserve"> to diverse contexts:</w:t>
      </w:r>
    </w:p>
    <w:p w14:paraId="31E7FC2F" w14:textId="77FD4801" w:rsidR="00BB3A45" w:rsidRDefault="00BB3A45" w:rsidP="00367EBA">
      <w:pPr>
        <w:pStyle w:val="Bulletpoint"/>
        <w:ind w:left="851" w:hanging="284"/>
      </w:pPr>
      <w:r w:rsidRPr="000756E0">
        <w:rPr>
          <w:b/>
          <w:bCs/>
        </w:rPr>
        <w:t>Flexibility is essential</w:t>
      </w:r>
      <w:r>
        <w:t>. Objectives and environmental risks may change over time</w:t>
      </w:r>
      <w:r w:rsidR="006E3333">
        <w:t>. Specific recommendations in trainings and in governance systems should thus be avoided</w:t>
      </w:r>
      <w:r w:rsidR="007B661D">
        <w:t>. Practical support for decision making (e.g., in the shape of decision trees) should rather be provided</w:t>
      </w:r>
      <w:r w:rsidR="006E3333">
        <w:t>;</w:t>
      </w:r>
    </w:p>
    <w:p w14:paraId="0289C7C6" w14:textId="27D80E35" w:rsidR="006E3333" w:rsidRDefault="002E4A9C" w:rsidP="00367EBA">
      <w:pPr>
        <w:pStyle w:val="Odstavecseseznamem"/>
        <w:ind w:left="851" w:hanging="284"/>
      </w:pPr>
      <w:r w:rsidRPr="000756E0">
        <w:rPr>
          <w:b/>
          <w:bCs/>
        </w:rPr>
        <w:t>Aggregated data and IT tools should be developed</w:t>
      </w:r>
      <w:r>
        <w:t xml:space="preserve">. They should offer up-to-date and scientific information (e.g., </w:t>
      </w:r>
      <w:r w:rsidR="00B5017B">
        <w:t xml:space="preserve">from </w:t>
      </w:r>
      <w:r>
        <w:t>research institutes)</w:t>
      </w:r>
      <w:r w:rsidR="00B5017B">
        <w:t>, and data should be machine readable;</w:t>
      </w:r>
    </w:p>
    <w:p w14:paraId="3D88F839" w14:textId="5CDF5FA2" w:rsidR="00E6200F" w:rsidRDefault="008511AC" w:rsidP="00367EBA">
      <w:pPr>
        <w:pStyle w:val="Odstavecseseznamem"/>
        <w:ind w:left="851" w:hanging="284"/>
      </w:pPr>
      <w:r w:rsidRPr="000756E0">
        <w:rPr>
          <w:b/>
          <w:bCs/>
        </w:rPr>
        <w:t>Regular communication is needed</w:t>
      </w:r>
      <w:r>
        <w:t xml:space="preserve"> between teams dedicated to DNSH</w:t>
      </w:r>
      <w:r w:rsidR="000756E0">
        <w:t xml:space="preserve"> and authorities applying the DNSH principle</w:t>
      </w:r>
      <w:r w:rsidR="00DF0F26">
        <w:t xml:space="preserve">. While intense communication is </w:t>
      </w:r>
      <w:r w:rsidR="00600351">
        <w:t xml:space="preserve">particularly beneficial </w:t>
      </w:r>
      <w:r w:rsidR="00DF0F26">
        <w:t xml:space="preserve">during the appraisal stage to build solid criteria and processes </w:t>
      </w:r>
      <w:r w:rsidR="00600351">
        <w:t>that avoid crisis situations</w:t>
      </w:r>
      <w:r w:rsidR="00DF0F26">
        <w:t xml:space="preserve">, </w:t>
      </w:r>
      <w:r w:rsidR="00600351">
        <w:t>communication</w:t>
      </w:r>
      <w:r w:rsidR="00DF0F26">
        <w:t xml:space="preserve"> should be maintained throughout the steps of DNSH application</w:t>
      </w:r>
      <w:r w:rsidR="00AA45F3">
        <w:t>. Teams dedicated to DNSH should proactively reach out to line Ministries and offer help</w:t>
      </w:r>
      <w:r w:rsidR="00600351">
        <w:t xml:space="preserve"> and basic training</w:t>
      </w:r>
      <w:r w:rsidR="00DF0F26">
        <w:t>;</w:t>
      </w:r>
    </w:p>
    <w:p w14:paraId="7A985958" w14:textId="2ECB4AAB" w:rsidR="00AB0C70" w:rsidRPr="003B2432" w:rsidRDefault="00AB0C70" w:rsidP="00367EBA">
      <w:pPr>
        <w:pStyle w:val="Odstavecseseznamem"/>
        <w:ind w:left="851" w:hanging="284"/>
        <w:rPr>
          <w:rStyle w:val="eop"/>
        </w:rPr>
      </w:pPr>
      <w:r w:rsidRPr="00E6200F">
        <w:rPr>
          <w:rStyle w:val="normaltextrun"/>
          <w:rFonts w:cs="Segoe UI"/>
          <w:b/>
          <w:bCs/>
          <w:szCs w:val="18"/>
        </w:rPr>
        <w:lastRenderedPageBreak/>
        <w:t>Disseminate information</w:t>
      </w:r>
      <w:r w:rsidRPr="00E6200F">
        <w:rPr>
          <w:rStyle w:val="normaltextrun"/>
          <w:rFonts w:cs="Segoe UI"/>
          <w:szCs w:val="18"/>
        </w:rPr>
        <w:t xml:space="preserve"> </w:t>
      </w:r>
      <w:r w:rsidR="00E6200F" w:rsidRPr="000756E0">
        <w:rPr>
          <w:rStyle w:val="normaltextrun"/>
          <w:rFonts w:cs="Segoe UI"/>
          <w:b/>
          <w:bCs/>
          <w:szCs w:val="18"/>
        </w:rPr>
        <w:t>through</w:t>
      </w:r>
      <w:r w:rsidR="00E6200F">
        <w:rPr>
          <w:rStyle w:val="normaltextrun"/>
          <w:rFonts w:cs="Segoe UI"/>
          <w:szCs w:val="18"/>
        </w:rPr>
        <w:t xml:space="preserve"> (i)</w:t>
      </w:r>
      <w:r w:rsidRPr="00E6200F">
        <w:rPr>
          <w:rStyle w:val="normaltextrun"/>
          <w:rFonts w:cs="Segoe UI"/>
          <w:szCs w:val="18"/>
        </w:rPr>
        <w:t xml:space="preserve"> </w:t>
      </w:r>
      <w:r w:rsidR="00E6200F" w:rsidRPr="000756E0">
        <w:rPr>
          <w:rStyle w:val="normaltextrun"/>
          <w:rFonts w:cs="Segoe UI"/>
          <w:b/>
          <w:bCs/>
          <w:szCs w:val="18"/>
        </w:rPr>
        <w:t xml:space="preserve">diverse </w:t>
      </w:r>
      <w:r w:rsidRPr="000756E0">
        <w:rPr>
          <w:rStyle w:val="normaltextrun"/>
          <w:rFonts w:cs="Segoe UI"/>
          <w:b/>
          <w:bCs/>
          <w:szCs w:val="18"/>
        </w:rPr>
        <w:t>formats</w:t>
      </w:r>
      <w:r w:rsidRPr="00E6200F">
        <w:rPr>
          <w:rStyle w:val="normaltextrun"/>
          <w:rFonts w:cs="Segoe UI"/>
          <w:szCs w:val="18"/>
        </w:rPr>
        <w:t xml:space="preserve"> so that more information is available (e.g., videos)</w:t>
      </w:r>
      <w:r w:rsidR="00E6200F">
        <w:rPr>
          <w:rStyle w:val="normaltextrun"/>
          <w:rFonts w:cs="Segoe UI"/>
          <w:szCs w:val="18"/>
        </w:rPr>
        <w:t xml:space="preserve">, (ii) </w:t>
      </w:r>
      <w:r w:rsidR="006156EF" w:rsidRPr="000756E0">
        <w:rPr>
          <w:rStyle w:val="normaltextrun"/>
          <w:rFonts w:cs="Segoe UI"/>
          <w:b/>
          <w:bCs/>
          <w:szCs w:val="18"/>
        </w:rPr>
        <w:t xml:space="preserve">beyond the </w:t>
      </w:r>
      <w:r w:rsidRPr="000756E0">
        <w:rPr>
          <w:rStyle w:val="normaltextrun"/>
          <w:rFonts w:cs="Segoe UI"/>
          <w:b/>
          <w:bCs/>
          <w:szCs w:val="18"/>
        </w:rPr>
        <w:t>RRP and beyond climate</w:t>
      </w:r>
      <w:r w:rsidRPr="00E6200F">
        <w:rPr>
          <w:rStyle w:val="normaltextrun"/>
          <w:rFonts w:cs="Segoe UI"/>
          <w:szCs w:val="18"/>
        </w:rPr>
        <w:t xml:space="preserve"> </w:t>
      </w:r>
      <w:r w:rsidR="00471BDE">
        <w:rPr>
          <w:rStyle w:val="normaltextrun"/>
          <w:rFonts w:cs="Segoe UI"/>
          <w:szCs w:val="18"/>
        </w:rPr>
        <w:t>(</w:t>
      </w:r>
      <w:r w:rsidRPr="00E6200F">
        <w:rPr>
          <w:rStyle w:val="normaltextrun"/>
          <w:rFonts w:cs="Segoe UI"/>
          <w:szCs w:val="18"/>
        </w:rPr>
        <w:t xml:space="preserve">there should </w:t>
      </w:r>
      <w:r w:rsidR="00471BDE">
        <w:rPr>
          <w:rStyle w:val="normaltextrun"/>
          <w:rFonts w:cs="Segoe UI"/>
          <w:szCs w:val="18"/>
        </w:rPr>
        <w:t xml:space="preserve">not </w:t>
      </w:r>
      <w:r w:rsidRPr="00E6200F">
        <w:rPr>
          <w:rStyle w:val="normaltextrun"/>
          <w:rFonts w:cs="Segoe UI"/>
          <w:szCs w:val="18"/>
        </w:rPr>
        <w:t>be cherry picking</w:t>
      </w:r>
      <w:r w:rsidR="00471BDE">
        <w:rPr>
          <w:rStyle w:val="normaltextrun"/>
          <w:rFonts w:cs="Segoe UI"/>
          <w:szCs w:val="18"/>
        </w:rPr>
        <w:t xml:space="preserve"> among environmental objectives</w:t>
      </w:r>
      <w:r w:rsidRPr="00E6200F">
        <w:rPr>
          <w:rStyle w:val="normaltextrun"/>
          <w:rFonts w:cs="Segoe UI"/>
          <w:szCs w:val="18"/>
        </w:rPr>
        <w:t>)</w:t>
      </w:r>
      <w:r w:rsidR="006156EF">
        <w:rPr>
          <w:rStyle w:val="normaltextrun"/>
          <w:rFonts w:cs="Segoe UI"/>
          <w:szCs w:val="18"/>
        </w:rPr>
        <w:t xml:space="preserve"> and (iii) </w:t>
      </w:r>
      <w:r w:rsidR="006156EF" w:rsidRPr="000756E0">
        <w:rPr>
          <w:rStyle w:val="normaltextrun"/>
          <w:rFonts w:cs="Segoe UI"/>
          <w:b/>
          <w:bCs/>
          <w:szCs w:val="18"/>
        </w:rPr>
        <w:t>throughout the DNSH application chain</w:t>
      </w:r>
      <w:r w:rsidR="006156EF">
        <w:rPr>
          <w:rStyle w:val="normaltextrun"/>
          <w:rFonts w:cs="Segoe UI"/>
          <w:szCs w:val="18"/>
        </w:rPr>
        <w:t xml:space="preserve"> </w:t>
      </w:r>
      <w:r w:rsidR="006156EF" w:rsidRPr="000756E0">
        <w:rPr>
          <w:rStyle w:val="normaltextrun"/>
          <w:rFonts w:cs="Segoe UI"/>
          <w:szCs w:val="18"/>
        </w:rPr>
        <w:t>(t</w:t>
      </w:r>
      <w:r w:rsidRPr="000756E0">
        <w:rPr>
          <w:rStyle w:val="normaltextrun"/>
          <w:rFonts w:cs="Segoe UI"/>
          <w:szCs w:val="18"/>
        </w:rPr>
        <w:t>rain auditing teams</w:t>
      </w:r>
      <w:r w:rsidRPr="006156EF">
        <w:rPr>
          <w:rStyle w:val="normaltextrun"/>
          <w:rFonts w:cs="Segoe UI"/>
          <w:szCs w:val="18"/>
        </w:rPr>
        <w:t xml:space="preserve"> of the RRP and Financial Inspectors</w:t>
      </w:r>
      <w:r w:rsidR="003D580F">
        <w:rPr>
          <w:rStyle w:val="normaltextrun"/>
          <w:rFonts w:cs="Segoe UI"/>
          <w:szCs w:val="18"/>
        </w:rPr>
        <w:t xml:space="preserve">, </w:t>
      </w:r>
      <w:r w:rsidR="00471BDE">
        <w:rPr>
          <w:rStyle w:val="normaltextrun"/>
          <w:rFonts w:cs="Segoe UI"/>
          <w:szCs w:val="18"/>
        </w:rPr>
        <w:t xml:space="preserve">train </w:t>
      </w:r>
      <w:r w:rsidR="003D580F">
        <w:rPr>
          <w:rStyle w:val="normaltextrun"/>
          <w:rFonts w:cs="Segoe UI"/>
          <w:szCs w:val="18"/>
        </w:rPr>
        <w:t xml:space="preserve">teams involved in </w:t>
      </w:r>
      <w:r w:rsidR="00471BDE">
        <w:rPr>
          <w:rStyle w:val="normaltextrun"/>
          <w:rFonts w:cs="Segoe UI"/>
          <w:szCs w:val="18"/>
        </w:rPr>
        <w:t xml:space="preserve">the development of </w:t>
      </w:r>
      <w:r w:rsidR="003D580F">
        <w:rPr>
          <w:rStyle w:val="normaltextrun"/>
          <w:rFonts w:cs="Segoe UI"/>
          <w:szCs w:val="18"/>
        </w:rPr>
        <w:t>ESG</w:t>
      </w:r>
      <w:r w:rsidR="006156EF">
        <w:rPr>
          <w:rStyle w:val="normaltextrun"/>
          <w:rFonts w:cs="Segoe UI"/>
          <w:szCs w:val="18"/>
        </w:rPr>
        <w:t>)</w:t>
      </w:r>
      <w:r w:rsidRPr="006156EF">
        <w:rPr>
          <w:rStyle w:val="normaltextrun"/>
          <w:rFonts w:cs="Segoe UI"/>
          <w:szCs w:val="18"/>
        </w:rPr>
        <w:t>;</w:t>
      </w:r>
    </w:p>
    <w:p w14:paraId="705CDE54" w14:textId="5903A42B" w:rsidR="00FF2CD7" w:rsidRDefault="003B2432" w:rsidP="00367EBA">
      <w:pPr>
        <w:pStyle w:val="Odstavecseseznamem"/>
        <w:ind w:left="851" w:hanging="284"/>
        <w:rPr>
          <w:rFonts w:ascii="Segoe UI" w:hAnsi="Segoe UI" w:cs="Segoe UI"/>
          <w:szCs w:val="18"/>
        </w:rPr>
      </w:pPr>
      <w:r>
        <w:rPr>
          <w:rStyle w:val="normaltextrun"/>
          <w:rFonts w:cs="Segoe UI"/>
          <w:b/>
          <w:bCs/>
          <w:szCs w:val="18"/>
        </w:rPr>
        <w:t xml:space="preserve">Ensure that sufficient </w:t>
      </w:r>
      <w:r w:rsidR="00C62982">
        <w:rPr>
          <w:rStyle w:val="normaltextrun"/>
          <w:rFonts w:cs="Segoe UI"/>
          <w:b/>
          <w:bCs/>
          <w:szCs w:val="18"/>
        </w:rPr>
        <w:t>resources exist</w:t>
      </w:r>
      <w:r w:rsidR="00BD1D89">
        <w:rPr>
          <w:rStyle w:val="normaltextrun"/>
          <w:rFonts w:cs="Segoe UI"/>
          <w:b/>
          <w:bCs/>
          <w:szCs w:val="18"/>
        </w:rPr>
        <w:t xml:space="preserve"> and that the DNSH principle is on </w:t>
      </w:r>
      <w:r w:rsidR="000756E0">
        <w:rPr>
          <w:rStyle w:val="normaltextrun"/>
          <w:rFonts w:cs="Segoe UI"/>
          <w:b/>
          <w:bCs/>
          <w:szCs w:val="18"/>
        </w:rPr>
        <w:t xml:space="preserve">the radar of </w:t>
      </w:r>
      <w:r w:rsidR="00BD1D89">
        <w:rPr>
          <w:rStyle w:val="normaltextrun"/>
          <w:rFonts w:cs="Segoe UI"/>
          <w:b/>
          <w:bCs/>
          <w:szCs w:val="18"/>
        </w:rPr>
        <w:t>all relevant Ministries and institution</w:t>
      </w:r>
      <w:r w:rsidR="000756E0">
        <w:rPr>
          <w:rStyle w:val="normaltextrun"/>
          <w:rFonts w:cs="Segoe UI"/>
          <w:b/>
          <w:bCs/>
          <w:szCs w:val="18"/>
        </w:rPr>
        <w:t>s</w:t>
      </w:r>
      <w:r w:rsidR="000756E0" w:rsidRPr="000756E0">
        <w:rPr>
          <w:rStyle w:val="normaltextrun"/>
          <w:rFonts w:cs="Segoe UI"/>
          <w:szCs w:val="18"/>
        </w:rPr>
        <w:t xml:space="preserve">, for instance by relying on </w:t>
      </w:r>
      <w:r w:rsidR="00C62982" w:rsidRPr="000756E0">
        <w:rPr>
          <w:rStyle w:val="normaltextrun"/>
          <w:rFonts w:cs="Segoe UI"/>
          <w:szCs w:val="18"/>
        </w:rPr>
        <w:t>National Secretaries and the Government</w:t>
      </w:r>
      <w:r w:rsidR="00BD1D89" w:rsidRPr="000756E0">
        <w:rPr>
          <w:rStyle w:val="normaltextrun"/>
          <w:rFonts w:cs="Segoe UI"/>
          <w:szCs w:val="18"/>
        </w:rPr>
        <w:t>.</w:t>
      </w:r>
    </w:p>
    <w:p w14:paraId="375B316A" w14:textId="6A03EC4F" w:rsidR="00B746DE" w:rsidRPr="00B746DE" w:rsidRDefault="00B746DE" w:rsidP="006415AD"/>
    <w:p w14:paraId="0FA97CD3" w14:textId="27A9C1F0" w:rsidR="00987B32" w:rsidRDefault="00594F3C" w:rsidP="00272BAC">
      <w:pPr>
        <w:pStyle w:val="Nadpis2"/>
      </w:pPr>
      <w:bookmarkStart w:id="47" w:name="_Toc131775848"/>
      <w:r>
        <w:t xml:space="preserve">Webinar 2: </w:t>
      </w:r>
      <w:r w:rsidR="004C1904">
        <w:t>Implementation of simplified and detailed DNSH assessments</w:t>
      </w:r>
      <w:bookmarkEnd w:id="47"/>
    </w:p>
    <w:p w14:paraId="3681D274" w14:textId="1A414C72" w:rsidR="007B0C11" w:rsidRDefault="000B6F21" w:rsidP="00367EBA">
      <w:pPr>
        <w:pStyle w:val="Nadpis3"/>
        <w:tabs>
          <w:tab w:val="clear" w:pos="851"/>
          <w:tab w:val="left" w:pos="567"/>
        </w:tabs>
        <w:ind w:left="567" w:hanging="567"/>
      </w:pPr>
      <w:bookmarkStart w:id="48" w:name="_Toc131775849"/>
      <w:r>
        <w:t xml:space="preserve">Main points of discussion and </w:t>
      </w:r>
      <w:r w:rsidR="00940E5E">
        <w:t>takeaways from the webinar</w:t>
      </w:r>
      <w:bookmarkEnd w:id="48"/>
    </w:p>
    <w:p w14:paraId="774AE958" w14:textId="2247E92F" w:rsidR="00A02597" w:rsidRPr="00A02597" w:rsidRDefault="004C5B46" w:rsidP="00A02597">
      <w:pPr>
        <w:rPr>
          <w:lang w:val="en-GB"/>
        </w:rPr>
      </w:pPr>
      <w:r>
        <w:rPr>
          <w:lang w:val="en-GB"/>
        </w:rPr>
        <w:t xml:space="preserve">Similar to the main </w:t>
      </w:r>
      <w:r w:rsidR="00AE0C53">
        <w:rPr>
          <w:lang w:val="en-GB"/>
        </w:rPr>
        <w:t>takeaways</w:t>
      </w:r>
      <w:r>
        <w:rPr>
          <w:lang w:val="en-GB"/>
        </w:rPr>
        <w:t xml:space="preserve"> </w:t>
      </w:r>
      <w:r w:rsidR="007E02D9">
        <w:rPr>
          <w:lang w:val="en-GB"/>
        </w:rPr>
        <w:t>and points</w:t>
      </w:r>
      <w:r>
        <w:rPr>
          <w:lang w:val="en-GB"/>
        </w:rPr>
        <w:t xml:space="preserve"> discussed during Webinar 1, participants raised </w:t>
      </w:r>
      <w:r w:rsidR="00945D30">
        <w:rPr>
          <w:lang w:val="en-GB"/>
        </w:rPr>
        <w:t xml:space="preserve">points that are particularly related to the </w:t>
      </w:r>
      <w:r w:rsidR="0096662F">
        <w:rPr>
          <w:lang w:val="en-GB"/>
        </w:rPr>
        <w:t>learning process</w:t>
      </w:r>
      <w:r w:rsidR="00D63EE9">
        <w:rPr>
          <w:lang w:val="en-GB"/>
        </w:rPr>
        <w:t xml:space="preserve"> within the public authorities</w:t>
      </w:r>
      <w:r w:rsidR="0096662F">
        <w:rPr>
          <w:lang w:val="en-GB"/>
        </w:rPr>
        <w:t xml:space="preserve"> around the implementation</w:t>
      </w:r>
      <w:r w:rsidR="00945D30">
        <w:rPr>
          <w:lang w:val="en-GB"/>
        </w:rPr>
        <w:t xml:space="preserve"> of the DNSH principle. They highlight </w:t>
      </w:r>
      <w:r w:rsidR="005E781A">
        <w:rPr>
          <w:lang w:val="en-GB"/>
        </w:rPr>
        <w:t>challenges</w:t>
      </w:r>
      <w:r w:rsidR="00945D30">
        <w:rPr>
          <w:lang w:val="en-GB"/>
        </w:rPr>
        <w:t xml:space="preserve"> and that reflect </w:t>
      </w:r>
      <w:r w:rsidR="00635EB4">
        <w:rPr>
          <w:lang w:val="en-GB"/>
        </w:rPr>
        <w:t xml:space="preserve">concrete difficulties to implement a recent concept, and </w:t>
      </w:r>
      <w:r w:rsidR="00705438">
        <w:rPr>
          <w:lang w:val="en-GB"/>
        </w:rPr>
        <w:t xml:space="preserve">they describe </w:t>
      </w:r>
      <w:r w:rsidR="005E781A">
        <w:rPr>
          <w:lang w:val="en-GB"/>
        </w:rPr>
        <w:t xml:space="preserve">the ambition to </w:t>
      </w:r>
      <w:r w:rsidR="00635EB4">
        <w:rPr>
          <w:lang w:val="en-GB"/>
        </w:rPr>
        <w:t xml:space="preserve">gradually integrate </w:t>
      </w:r>
      <w:r w:rsidR="005E781A">
        <w:rPr>
          <w:lang w:val="en-GB"/>
        </w:rPr>
        <w:t xml:space="preserve">the DNSH principle </w:t>
      </w:r>
      <w:r w:rsidR="00635EB4">
        <w:rPr>
          <w:lang w:val="en-GB"/>
        </w:rPr>
        <w:t>in environmental methodologies</w:t>
      </w:r>
      <w:r w:rsidR="005E781A">
        <w:rPr>
          <w:lang w:val="en-GB"/>
        </w:rPr>
        <w:t>:</w:t>
      </w:r>
    </w:p>
    <w:p w14:paraId="18EE71B7" w14:textId="1D59D43F" w:rsidR="003A7DD0" w:rsidRDefault="00635EB4" w:rsidP="00367EBA">
      <w:pPr>
        <w:pStyle w:val="Bulletpoint"/>
        <w:ind w:left="851" w:hanging="284"/>
      </w:pPr>
      <w:r w:rsidRPr="00601396">
        <w:rPr>
          <w:b/>
          <w:bCs/>
        </w:rPr>
        <w:t xml:space="preserve">There is a need to </w:t>
      </w:r>
      <w:r w:rsidR="00601396" w:rsidRPr="00601396">
        <w:rPr>
          <w:b/>
          <w:bCs/>
        </w:rPr>
        <w:t xml:space="preserve">strike </w:t>
      </w:r>
      <w:r w:rsidRPr="00601396">
        <w:rPr>
          <w:b/>
          <w:bCs/>
        </w:rPr>
        <w:t xml:space="preserve">a balance between </w:t>
      </w:r>
      <w:r w:rsidR="00881F73" w:rsidRPr="00601396">
        <w:rPr>
          <w:b/>
          <w:bCs/>
        </w:rPr>
        <w:t>a limited a</w:t>
      </w:r>
      <w:r w:rsidR="00940B56" w:rsidRPr="00601396">
        <w:rPr>
          <w:b/>
          <w:bCs/>
        </w:rPr>
        <w:t>dministrative burden</w:t>
      </w:r>
      <w:r w:rsidR="00940B56">
        <w:t xml:space="preserve"> </w:t>
      </w:r>
      <w:r w:rsidR="00881F73">
        <w:t xml:space="preserve">(for </w:t>
      </w:r>
      <w:r w:rsidR="00940B56">
        <w:t xml:space="preserve">both managing authorities and </w:t>
      </w:r>
      <w:r w:rsidR="00881F73">
        <w:t xml:space="preserve">project </w:t>
      </w:r>
      <w:r w:rsidR="00940B56">
        <w:t>proponents</w:t>
      </w:r>
      <w:r w:rsidR="00881F73">
        <w:t xml:space="preserve">), </w:t>
      </w:r>
      <w:r w:rsidR="00881F73" w:rsidRPr="00601396">
        <w:rPr>
          <w:b/>
          <w:bCs/>
        </w:rPr>
        <w:t xml:space="preserve">and </w:t>
      </w:r>
      <w:r w:rsidR="009C01D3" w:rsidRPr="00601396">
        <w:rPr>
          <w:b/>
          <w:bCs/>
        </w:rPr>
        <w:t>oversimplif</w:t>
      </w:r>
      <w:r w:rsidR="00601396" w:rsidRPr="00601396">
        <w:rPr>
          <w:b/>
          <w:bCs/>
        </w:rPr>
        <w:t>ied</w:t>
      </w:r>
      <w:r w:rsidR="00881F73" w:rsidRPr="00601396">
        <w:rPr>
          <w:b/>
          <w:bCs/>
        </w:rPr>
        <w:t xml:space="preserve"> DNSH assessments</w:t>
      </w:r>
      <w:r w:rsidR="00881F73">
        <w:t xml:space="preserve">. </w:t>
      </w:r>
      <w:r w:rsidR="00470701">
        <w:t>In particular, simplified assessments and assessment</w:t>
      </w:r>
      <w:r w:rsidR="00601396">
        <w:t>s</w:t>
      </w:r>
      <w:r w:rsidR="00470701">
        <w:t xml:space="preserve"> conducted by small proponents </w:t>
      </w:r>
      <w:r w:rsidR="003A536B">
        <w:t>should</w:t>
      </w:r>
      <w:r w:rsidR="00470701">
        <w:t xml:space="preserve"> ensure environmental integrity </w:t>
      </w:r>
      <w:r w:rsidR="003A536B">
        <w:t>despite their lower level of detail;</w:t>
      </w:r>
    </w:p>
    <w:p w14:paraId="4AF1D365" w14:textId="36E4FE66" w:rsidR="007B164C" w:rsidRDefault="007B164C" w:rsidP="00367EBA">
      <w:pPr>
        <w:pStyle w:val="Odstavecseseznamem"/>
        <w:ind w:left="851" w:hanging="284"/>
      </w:pPr>
      <w:r w:rsidRPr="00601396">
        <w:rPr>
          <w:b/>
          <w:bCs/>
        </w:rPr>
        <w:t>The content and process of DN</w:t>
      </w:r>
      <w:r w:rsidR="00C25987">
        <w:rPr>
          <w:b/>
          <w:bCs/>
        </w:rPr>
        <w:t>SH</w:t>
      </w:r>
      <w:r w:rsidRPr="00601396">
        <w:rPr>
          <w:b/>
          <w:bCs/>
        </w:rPr>
        <w:t xml:space="preserve"> assessments should accommodate for flexibility over time</w:t>
      </w:r>
      <w:r>
        <w:t xml:space="preserve">, in order to reflect the lessons learnt </w:t>
      </w:r>
      <w:r w:rsidR="003703FB">
        <w:t xml:space="preserve">through the years. Similarly, they should allow for a margin of interpretation (e.g., acknowledging that alternative projects may take </w:t>
      </w:r>
      <w:r w:rsidR="007F7A1B">
        <w:t xml:space="preserve">place </w:t>
      </w:r>
      <w:r w:rsidR="003703FB">
        <w:t xml:space="preserve">outside the EU </w:t>
      </w:r>
      <w:r w:rsidR="002255C2">
        <w:t>without environmental safeguards);</w:t>
      </w:r>
    </w:p>
    <w:p w14:paraId="13778EBD" w14:textId="2E7D08B6" w:rsidR="00767A7C" w:rsidRDefault="00293FC7" w:rsidP="00367EBA">
      <w:pPr>
        <w:pStyle w:val="Odstavecseseznamem"/>
        <w:ind w:left="851" w:hanging="284"/>
      </w:pPr>
      <w:r w:rsidRPr="007F7A1B">
        <w:rPr>
          <w:b/>
          <w:bCs/>
        </w:rPr>
        <w:t>The r</w:t>
      </w:r>
      <w:r w:rsidR="003A7DD0" w:rsidRPr="007F7A1B">
        <w:rPr>
          <w:b/>
          <w:bCs/>
        </w:rPr>
        <w:t>elevance and feasibility of additional criteria</w:t>
      </w:r>
      <w:r w:rsidR="003A7DD0">
        <w:t xml:space="preserve"> </w:t>
      </w:r>
      <w:r>
        <w:t xml:space="preserve">is considered by certain MSs to </w:t>
      </w:r>
      <w:r w:rsidRPr="007F7A1B">
        <w:rPr>
          <w:b/>
          <w:bCs/>
        </w:rPr>
        <w:t>counterbalance the absence of specific DNSH criteria and to recognise local specificities</w:t>
      </w:r>
      <w:r>
        <w:t xml:space="preserve"> </w:t>
      </w:r>
      <w:r w:rsidR="003856BB">
        <w:t>(e.g., BAT</w:t>
      </w:r>
      <w:r>
        <w:t>-</w:t>
      </w:r>
      <w:r w:rsidR="003856BB">
        <w:t xml:space="preserve">related </w:t>
      </w:r>
      <w:r>
        <w:t>criteria, alignment with national strategic documents);</w:t>
      </w:r>
    </w:p>
    <w:p w14:paraId="026A47B3" w14:textId="0B070F85" w:rsidR="001218A6" w:rsidRPr="00EA59D5" w:rsidRDefault="00A17E90" w:rsidP="00367EBA">
      <w:pPr>
        <w:pStyle w:val="Odstavecseseznamem"/>
        <w:ind w:left="851" w:hanging="284"/>
      </w:pPr>
      <w:r w:rsidRPr="00492D85">
        <w:rPr>
          <w:b/>
          <w:bCs/>
        </w:rPr>
        <w:t>The g</w:t>
      </w:r>
      <w:r w:rsidR="00EC79A3" w:rsidRPr="00492D85">
        <w:rPr>
          <w:b/>
          <w:bCs/>
        </w:rPr>
        <w:t xml:space="preserve">radual integration </w:t>
      </w:r>
      <w:r w:rsidRPr="00492D85">
        <w:rPr>
          <w:b/>
          <w:bCs/>
        </w:rPr>
        <w:t xml:space="preserve">of the DNSH principle in </w:t>
      </w:r>
      <w:r w:rsidR="00EC79A3" w:rsidRPr="00492D85">
        <w:rPr>
          <w:b/>
          <w:bCs/>
        </w:rPr>
        <w:t xml:space="preserve">national </w:t>
      </w:r>
      <w:r w:rsidRPr="00492D85">
        <w:rPr>
          <w:b/>
          <w:bCs/>
        </w:rPr>
        <w:t xml:space="preserve">legislation and </w:t>
      </w:r>
      <w:r w:rsidR="009A11A7" w:rsidRPr="00492D85">
        <w:rPr>
          <w:b/>
          <w:bCs/>
        </w:rPr>
        <w:t xml:space="preserve">environmental methodologies </w:t>
      </w:r>
      <w:r w:rsidRPr="00492D85">
        <w:rPr>
          <w:b/>
          <w:bCs/>
        </w:rPr>
        <w:t xml:space="preserve">is </w:t>
      </w:r>
      <w:r w:rsidR="00EA59D5" w:rsidRPr="00492D85">
        <w:rPr>
          <w:b/>
          <w:bCs/>
        </w:rPr>
        <w:t>considered</w:t>
      </w:r>
      <w:r w:rsidR="00EA59D5">
        <w:t xml:space="preserve"> by</w:t>
      </w:r>
      <w:r>
        <w:t xml:space="preserve"> certain</w:t>
      </w:r>
      <w:r w:rsidR="00C25987">
        <w:t xml:space="preserve"> peer</w:t>
      </w:r>
      <w:r>
        <w:t xml:space="preserve"> M</w:t>
      </w:r>
      <w:r w:rsidR="00E829BA">
        <w:t xml:space="preserve">ember </w:t>
      </w:r>
      <w:r>
        <w:t>S</w:t>
      </w:r>
      <w:r w:rsidR="00E829BA">
        <w:t>tate</w:t>
      </w:r>
      <w:r>
        <w:t>s</w:t>
      </w:r>
      <w:r w:rsidR="00C44CA7">
        <w:t xml:space="preserve">. Legislative amendments beyond </w:t>
      </w:r>
      <w:r w:rsidR="00C76C16">
        <w:t xml:space="preserve">the sheer </w:t>
      </w:r>
      <w:r w:rsidR="00C44CA7">
        <w:t xml:space="preserve">translation </w:t>
      </w:r>
      <w:r w:rsidR="00C76C16">
        <w:t xml:space="preserve">of European requirements </w:t>
      </w:r>
      <w:r w:rsidR="00C44CA7">
        <w:t xml:space="preserve">is considered as an option </w:t>
      </w:r>
      <w:r w:rsidR="00C76C16">
        <w:t>to anchor the DNSH princip</w:t>
      </w:r>
      <w:r w:rsidR="00D20802">
        <w:t>l</w:t>
      </w:r>
      <w:r w:rsidR="00C76C16">
        <w:t xml:space="preserve">e into </w:t>
      </w:r>
      <w:r w:rsidR="00492D85">
        <w:t>national public</w:t>
      </w:r>
      <w:r w:rsidR="00D20802">
        <w:t xml:space="preserve"> funding </w:t>
      </w:r>
      <w:r w:rsidR="00EA59D5">
        <w:t xml:space="preserve">(e.g., through </w:t>
      </w:r>
      <w:r w:rsidR="00D20802">
        <w:t xml:space="preserve">permitting </w:t>
      </w:r>
      <w:r w:rsidR="00EA59D5">
        <w:t>or green budgeting)</w:t>
      </w:r>
      <w:r w:rsidR="00C44CA7">
        <w:t>.</w:t>
      </w:r>
    </w:p>
    <w:p w14:paraId="572B0FED" w14:textId="77777777" w:rsidR="008F5067" w:rsidRPr="00EA59D5" w:rsidRDefault="008F5067" w:rsidP="00940B56">
      <w:pPr>
        <w:rPr>
          <w:lang w:val="en-GB"/>
        </w:rPr>
      </w:pPr>
    </w:p>
    <w:p w14:paraId="16442F6C" w14:textId="556FDBBF" w:rsidR="008F5067" w:rsidRDefault="008F5067" w:rsidP="00367EBA">
      <w:pPr>
        <w:pStyle w:val="Nadpis3"/>
        <w:tabs>
          <w:tab w:val="clear" w:pos="851"/>
          <w:tab w:val="left" w:pos="567"/>
        </w:tabs>
        <w:ind w:left="567" w:hanging="567"/>
      </w:pPr>
      <w:bookmarkStart w:id="49" w:name="_Toc131775850"/>
      <w:r>
        <w:t>Lessons learnt</w:t>
      </w:r>
      <w:bookmarkEnd w:id="49"/>
    </w:p>
    <w:p w14:paraId="01FD8D28" w14:textId="4EC4F88A" w:rsidR="00EA59D5" w:rsidRDefault="00C84103" w:rsidP="00940B56">
      <w:r>
        <w:t>F</w:t>
      </w:r>
      <w:r w:rsidR="00492D85">
        <w:t xml:space="preserve">ive </w:t>
      </w:r>
      <w:r>
        <w:t>main lessons emerge from the webinar. They cover:</w:t>
      </w:r>
    </w:p>
    <w:p w14:paraId="5EBA72A8" w14:textId="297AAB64" w:rsidR="00A52BAE" w:rsidRDefault="00C84103" w:rsidP="00367EBA">
      <w:pPr>
        <w:pStyle w:val="Bulletpoint"/>
        <w:ind w:left="851" w:hanging="284"/>
      </w:pPr>
      <w:r w:rsidRPr="00492D85">
        <w:rPr>
          <w:b/>
          <w:bCs/>
        </w:rPr>
        <w:t xml:space="preserve">The need to </w:t>
      </w:r>
      <w:r w:rsidR="009C01D3" w:rsidRPr="00492D85">
        <w:rPr>
          <w:b/>
          <w:bCs/>
        </w:rPr>
        <w:t xml:space="preserve">adapt to sectors and </w:t>
      </w:r>
      <w:r w:rsidRPr="00492D85">
        <w:rPr>
          <w:b/>
          <w:bCs/>
        </w:rPr>
        <w:t xml:space="preserve">to the </w:t>
      </w:r>
      <w:r w:rsidR="009C01D3" w:rsidRPr="00492D85">
        <w:rPr>
          <w:b/>
          <w:bCs/>
        </w:rPr>
        <w:t>size o</w:t>
      </w:r>
      <w:r w:rsidR="009A11A7" w:rsidRPr="00492D85">
        <w:rPr>
          <w:b/>
          <w:bCs/>
        </w:rPr>
        <w:t>f</w:t>
      </w:r>
      <w:r w:rsidR="009C01D3" w:rsidRPr="00492D85">
        <w:rPr>
          <w:b/>
          <w:bCs/>
        </w:rPr>
        <w:t xml:space="preserve"> projects</w:t>
      </w:r>
      <w:r w:rsidRPr="00492D85">
        <w:rPr>
          <w:b/>
          <w:bCs/>
        </w:rPr>
        <w:t xml:space="preserve"> or </w:t>
      </w:r>
      <w:r w:rsidR="009C01D3" w:rsidRPr="00492D85">
        <w:rPr>
          <w:b/>
          <w:bCs/>
        </w:rPr>
        <w:t>type of proponent</w:t>
      </w:r>
      <w:r>
        <w:t xml:space="preserve">. </w:t>
      </w:r>
      <w:r w:rsidR="00304C51">
        <w:t xml:space="preserve">This could involve the removal of criteria that appear disproportionate compared to the risk that </w:t>
      </w:r>
      <w:r w:rsidR="00B37ABD">
        <w:t xml:space="preserve">the </w:t>
      </w:r>
      <w:r w:rsidR="00304C51">
        <w:t xml:space="preserve">project </w:t>
      </w:r>
      <w:r w:rsidR="00B37ABD">
        <w:t xml:space="preserve">at hand </w:t>
      </w:r>
      <w:r w:rsidR="00304C51">
        <w:t>jeopardises the DNSH principle</w:t>
      </w:r>
      <w:r w:rsidR="00A52BAE">
        <w:t>;</w:t>
      </w:r>
    </w:p>
    <w:p w14:paraId="60F7502F" w14:textId="3B573409" w:rsidR="009E64D6" w:rsidRDefault="00A52BAE" w:rsidP="00367EBA">
      <w:pPr>
        <w:pStyle w:val="Bulletpoint"/>
        <w:ind w:left="851" w:hanging="284"/>
      </w:pPr>
      <w:r w:rsidRPr="00B37ABD">
        <w:rPr>
          <w:b/>
          <w:bCs/>
        </w:rPr>
        <w:t>The need for clarifications</w:t>
      </w:r>
      <w:r w:rsidR="00B37ABD">
        <w:rPr>
          <w:b/>
          <w:bCs/>
        </w:rPr>
        <w:t xml:space="preserve"> at the European level</w:t>
      </w:r>
      <w:r w:rsidRPr="00B37ABD">
        <w:rPr>
          <w:b/>
          <w:bCs/>
        </w:rPr>
        <w:t xml:space="preserve"> about </w:t>
      </w:r>
      <w:r w:rsidR="00C611D8" w:rsidRPr="00B37ABD">
        <w:rPr>
          <w:b/>
          <w:bCs/>
        </w:rPr>
        <w:t>DNSH thresholds</w:t>
      </w:r>
      <w:r w:rsidR="00C611D8">
        <w:t xml:space="preserve">. While this should not systematically lead to quantitative thresholds (which correspond to uneven levels of ambition </w:t>
      </w:r>
      <w:r w:rsidR="0075572E">
        <w:t>across</w:t>
      </w:r>
      <w:r w:rsidR="00C611D8">
        <w:t xml:space="preserve"> MSs)</w:t>
      </w:r>
      <w:r w:rsidR="009E64D6">
        <w:t xml:space="preserve">, this </w:t>
      </w:r>
      <w:r w:rsidR="00C611D8">
        <w:t xml:space="preserve">is necessary </w:t>
      </w:r>
      <w:r w:rsidR="009E64D6">
        <w:t>to ensure that environmental integrity is respected in an equivalent manner across the EU;</w:t>
      </w:r>
    </w:p>
    <w:p w14:paraId="33517685" w14:textId="22EB4E7A" w:rsidR="00325FCA" w:rsidRDefault="009E64D6" w:rsidP="00367EBA">
      <w:pPr>
        <w:pStyle w:val="Bulletpoint"/>
        <w:ind w:left="851" w:hanging="284"/>
      </w:pPr>
      <w:r w:rsidRPr="0075572E">
        <w:rPr>
          <w:b/>
          <w:bCs/>
        </w:rPr>
        <w:t xml:space="preserve">The need </w:t>
      </w:r>
      <w:r w:rsidR="00083936" w:rsidRPr="0075572E">
        <w:rPr>
          <w:b/>
          <w:bCs/>
        </w:rPr>
        <w:t xml:space="preserve">to </w:t>
      </w:r>
      <w:r w:rsidRPr="0075572E">
        <w:rPr>
          <w:b/>
          <w:bCs/>
        </w:rPr>
        <w:t>develop simple and pragmatic</w:t>
      </w:r>
      <w:r w:rsidR="00083936" w:rsidRPr="0075572E">
        <w:rPr>
          <w:b/>
          <w:bCs/>
        </w:rPr>
        <w:t xml:space="preserve"> guidelines</w:t>
      </w:r>
      <w:r w:rsidR="007703E1">
        <w:t xml:space="preserve">. Guidelines should be clear, synthetic and pragmatic </w:t>
      </w:r>
      <w:r w:rsidR="002F2636">
        <w:t xml:space="preserve">particularly </w:t>
      </w:r>
      <w:r w:rsidR="007703E1">
        <w:t>where their audience consists of proponents</w:t>
      </w:r>
      <w:r w:rsidR="003221DE">
        <w:t>, e.g. by offering checklists and</w:t>
      </w:r>
      <w:r w:rsidR="002F2636">
        <w:t xml:space="preserve"> imposing</w:t>
      </w:r>
      <w:r w:rsidR="003221DE">
        <w:t xml:space="preserve"> </w:t>
      </w:r>
      <w:r w:rsidR="00A34E18">
        <w:t>the same criteria across all financial instruments</w:t>
      </w:r>
      <w:r>
        <w:t>;</w:t>
      </w:r>
    </w:p>
    <w:p w14:paraId="7BAF8C32" w14:textId="50E888EF" w:rsidR="00EE39D4" w:rsidRDefault="00325FCA" w:rsidP="00367EBA">
      <w:pPr>
        <w:pStyle w:val="Bulletpoint"/>
        <w:ind w:left="851" w:hanging="284"/>
      </w:pPr>
      <w:r w:rsidRPr="002F2636">
        <w:rPr>
          <w:b/>
          <w:bCs/>
        </w:rPr>
        <w:t xml:space="preserve">The possibility </w:t>
      </w:r>
      <w:r w:rsidR="00335768" w:rsidRPr="002F2636">
        <w:rPr>
          <w:b/>
          <w:bCs/>
        </w:rPr>
        <w:t xml:space="preserve">to use </w:t>
      </w:r>
      <w:r w:rsidRPr="002F2636">
        <w:rPr>
          <w:b/>
          <w:bCs/>
        </w:rPr>
        <w:t xml:space="preserve">the </w:t>
      </w:r>
      <w:r w:rsidR="000918FC">
        <w:rPr>
          <w:b/>
          <w:bCs/>
        </w:rPr>
        <w:t xml:space="preserve">application of the </w:t>
      </w:r>
      <w:r w:rsidR="00335768" w:rsidRPr="002F2636">
        <w:rPr>
          <w:b/>
          <w:bCs/>
        </w:rPr>
        <w:t xml:space="preserve">DNSH </w:t>
      </w:r>
      <w:r w:rsidRPr="002F2636">
        <w:rPr>
          <w:b/>
          <w:bCs/>
        </w:rPr>
        <w:t xml:space="preserve">principle </w:t>
      </w:r>
      <w:r w:rsidR="00335768" w:rsidRPr="002F2636">
        <w:rPr>
          <w:b/>
          <w:bCs/>
        </w:rPr>
        <w:t xml:space="preserve">as a </w:t>
      </w:r>
      <w:r w:rsidRPr="002F2636">
        <w:rPr>
          <w:b/>
          <w:bCs/>
        </w:rPr>
        <w:t xml:space="preserve">tool to demonstrate a </w:t>
      </w:r>
      <w:r w:rsidR="00335768" w:rsidRPr="002F2636">
        <w:rPr>
          <w:b/>
          <w:bCs/>
        </w:rPr>
        <w:t xml:space="preserve">progressive </w:t>
      </w:r>
      <w:r w:rsidRPr="002F2636">
        <w:rPr>
          <w:b/>
          <w:bCs/>
        </w:rPr>
        <w:t>approach</w:t>
      </w:r>
      <w:r>
        <w:t xml:space="preserve"> to European funding, and/or </w:t>
      </w:r>
      <w:r w:rsidR="00EE39D4">
        <w:t>a fast advancement in the implementation of national RRPs</w:t>
      </w:r>
      <w:r w:rsidR="004B516A">
        <w:t>. Several MS</w:t>
      </w:r>
      <w:r w:rsidR="000918FC">
        <w:t>s</w:t>
      </w:r>
      <w:r w:rsidR="004B516A">
        <w:t xml:space="preserve"> indeed present the fast implementation of their national RRP </w:t>
      </w:r>
      <w:r w:rsidR="00553E6C">
        <w:t xml:space="preserve">as a </w:t>
      </w:r>
      <w:r w:rsidR="00553E6C">
        <w:lastRenderedPageBreak/>
        <w:t xml:space="preserve">successful strategic choice, suggesting that the </w:t>
      </w:r>
      <w:r w:rsidR="002B63AA">
        <w:t xml:space="preserve">application of the </w:t>
      </w:r>
      <w:r w:rsidR="00553E6C">
        <w:t xml:space="preserve">DNSH </w:t>
      </w:r>
      <w:r w:rsidR="002B63AA">
        <w:t xml:space="preserve">principle </w:t>
      </w:r>
      <w:r w:rsidR="00223193">
        <w:t>can be a token for innovative and effective environmental protection</w:t>
      </w:r>
      <w:r w:rsidR="00EE39D4">
        <w:t>;</w:t>
      </w:r>
    </w:p>
    <w:p w14:paraId="4AC19878" w14:textId="149EF452" w:rsidR="00A74A5F" w:rsidRDefault="00684431" w:rsidP="00367EBA">
      <w:pPr>
        <w:pStyle w:val="Bulletpoint"/>
        <w:ind w:left="851" w:hanging="284"/>
      </w:pPr>
      <w:r w:rsidRPr="00787994">
        <w:rPr>
          <w:b/>
          <w:bCs/>
        </w:rPr>
        <w:t>The possibility to</w:t>
      </w:r>
      <w:r w:rsidR="00D70FFA" w:rsidRPr="00787994">
        <w:rPr>
          <w:b/>
          <w:bCs/>
        </w:rPr>
        <w:t xml:space="preserve"> develop </w:t>
      </w:r>
      <w:r w:rsidR="00C1099B" w:rsidRPr="00787994">
        <w:rPr>
          <w:b/>
          <w:bCs/>
        </w:rPr>
        <w:t xml:space="preserve">(additional) </w:t>
      </w:r>
      <w:r w:rsidR="00D70FFA" w:rsidRPr="00787994">
        <w:rPr>
          <w:b/>
          <w:bCs/>
        </w:rPr>
        <w:t xml:space="preserve">DNSH criteria specific to </w:t>
      </w:r>
      <w:r w:rsidR="00456BFF" w:rsidRPr="00787994">
        <w:rPr>
          <w:b/>
          <w:bCs/>
        </w:rPr>
        <w:t>call</w:t>
      </w:r>
      <w:r w:rsidR="00D70FFA" w:rsidRPr="00787994">
        <w:rPr>
          <w:b/>
          <w:bCs/>
        </w:rPr>
        <w:t xml:space="preserve">s </w:t>
      </w:r>
      <w:r w:rsidR="00456BFF" w:rsidRPr="00787994">
        <w:rPr>
          <w:b/>
          <w:bCs/>
        </w:rPr>
        <w:t>or project</w:t>
      </w:r>
      <w:r w:rsidR="00D70FFA" w:rsidRPr="00787994">
        <w:rPr>
          <w:b/>
          <w:bCs/>
        </w:rPr>
        <w:t>s</w:t>
      </w:r>
      <w:r w:rsidR="00D70FFA">
        <w:t xml:space="preserve"> to tailor the generic DNSH assessments to particular contexts.</w:t>
      </w:r>
      <w:r w:rsidR="003A6451">
        <w:t xml:space="preserve"> </w:t>
      </w:r>
      <w:r w:rsidR="006A13C6">
        <w:t xml:space="preserve">This practice can be extended beyond the implementation of Cohesion Policy funds, as a means to </w:t>
      </w:r>
      <w:r w:rsidR="00C1099B">
        <w:t>strike a balance between flexibility and standardisation.</w:t>
      </w:r>
    </w:p>
    <w:p w14:paraId="3EB90A3D" w14:textId="77777777" w:rsidR="003C69D4" w:rsidRPr="003C69D4" w:rsidRDefault="003C69D4" w:rsidP="003C69D4"/>
    <w:p w14:paraId="7B2CF2F7" w14:textId="68E8F347" w:rsidR="00456BFF" w:rsidRDefault="00A74A5F" w:rsidP="00A74A5F">
      <w:pPr>
        <w:pStyle w:val="Nadpis2"/>
      </w:pPr>
      <w:bookmarkStart w:id="50" w:name="_Toc131775851"/>
      <w:r>
        <w:t xml:space="preserve">Webinar 3: </w:t>
      </w:r>
      <w:r w:rsidR="001E46FD" w:rsidRPr="001E46FD">
        <w:t>Application of the DNSH principle to innovative green technologies</w:t>
      </w:r>
      <w:bookmarkEnd w:id="50"/>
    </w:p>
    <w:p w14:paraId="4BC9D6EA" w14:textId="7F4FFC65" w:rsidR="001E46FD" w:rsidRDefault="001E46FD" w:rsidP="00367EBA">
      <w:pPr>
        <w:pStyle w:val="Nadpis3"/>
        <w:tabs>
          <w:tab w:val="clear" w:pos="851"/>
          <w:tab w:val="left" w:pos="567"/>
        </w:tabs>
        <w:ind w:left="567" w:hanging="567"/>
      </w:pPr>
      <w:bookmarkStart w:id="51" w:name="_Toc131775852"/>
      <w:r>
        <w:t xml:space="preserve">Main points of discussion and </w:t>
      </w:r>
      <w:r w:rsidR="0051122C">
        <w:t xml:space="preserve">takeaways </w:t>
      </w:r>
      <w:r w:rsidR="00CC1C2E">
        <w:t>from the webinar</w:t>
      </w:r>
      <w:bookmarkEnd w:id="51"/>
    </w:p>
    <w:p w14:paraId="205D58BA" w14:textId="3114C1F8" w:rsidR="007D2A9C" w:rsidRDefault="00D87DD9" w:rsidP="003500D6">
      <w:pPr>
        <w:rPr>
          <w:lang w:val="en-GB"/>
        </w:rPr>
      </w:pPr>
      <w:r>
        <w:rPr>
          <w:lang w:val="en-GB"/>
        </w:rPr>
        <w:t xml:space="preserve">Main points of discussion relate to the different steps that authorities go through </w:t>
      </w:r>
      <w:r w:rsidR="004F48A6">
        <w:rPr>
          <w:lang w:val="en-GB"/>
        </w:rPr>
        <w:t>when</w:t>
      </w:r>
      <w:r>
        <w:rPr>
          <w:lang w:val="en-GB"/>
        </w:rPr>
        <w:t xml:space="preserve"> apply</w:t>
      </w:r>
      <w:r w:rsidR="004F48A6">
        <w:rPr>
          <w:lang w:val="en-GB"/>
        </w:rPr>
        <w:t>ing</w:t>
      </w:r>
      <w:r>
        <w:rPr>
          <w:lang w:val="en-GB"/>
        </w:rPr>
        <w:t xml:space="preserve"> the DNSH principle </w:t>
      </w:r>
      <w:r w:rsidR="004F48A6">
        <w:rPr>
          <w:lang w:val="en-GB"/>
        </w:rPr>
        <w:t>to</w:t>
      </w:r>
      <w:r>
        <w:rPr>
          <w:lang w:val="en-GB"/>
        </w:rPr>
        <w:t xml:space="preserve"> invest</w:t>
      </w:r>
      <w:r w:rsidR="0028237C">
        <w:rPr>
          <w:lang w:val="en-GB"/>
        </w:rPr>
        <w:t xml:space="preserve">ments in </w:t>
      </w:r>
      <w:r>
        <w:rPr>
          <w:lang w:val="en-GB"/>
        </w:rPr>
        <w:t>innovative green technologies</w:t>
      </w:r>
      <w:r w:rsidR="0028237C">
        <w:rPr>
          <w:lang w:val="en-GB"/>
        </w:rPr>
        <w:t>:</w:t>
      </w:r>
    </w:p>
    <w:p w14:paraId="6718B789" w14:textId="7DCC4834" w:rsidR="000B6847" w:rsidRDefault="0028237C" w:rsidP="00367EBA">
      <w:pPr>
        <w:pStyle w:val="Bulletpoint"/>
        <w:ind w:left="851" w:hanging="284"/>
      </w:pPr>
      <w:r w:rsidRPr="005F083F">
        <w:rPr>
          <w:b/>
          <w:i/>
        </w:rPr>
        <w:t xml:space="preserve">At the </w:t>
      </w:r>
      <w:r w:rsidR="00D929FE" w:rsidRPr="005F083F">
        <w:rPr>
          <w:b/>
          <w:i/>
        </w:rPr>
        <w:t>classification</w:t>
      </w:r>
      <w:r w:rsidRPr="005F083F">
        <w:rPr>
          <w:b/>
          <w:i/>
        </w:rPr>
        <w:t xml:space="preserve"> step</w:t>
      </w:r>
      <w:r w:rsidRPr="00460D2C">
        <w:rPr>
          <w:i/>
          <w:iCs/>
        </w:rPr>
        <w:t>:</w:t>
      </w:r>
      <w:r>
        <w:t xml:space="preserve"> m</w:t>
      </w:r>
      <w:r w:rsidR="00E55DE6">
        <w:t>anaging authorities tend to first assess the nature and magnitude of the risks</w:t>
      </w:r>
      <w:r w:rsidR="008F77C1">
        <w:t xml:space="preserve"> that</w:t>
      </w:r>
      <w:r w:rsidR="00E55DE6">
        <w:t xml:space="preserve"> the </w:t>
      </w:r>
      <w:r w:rsidR="008034FF">
        <w:t xml:space="preserve">project </w:t>
      </w:r>
      <w:r w:rsidR="00E55DE6">
        <w:t>jeopardizes the DNSH principle.</w:t>
      </w:r>
      <w:r w:rsidR="00383FC4">
        <w:t xml:space="preserve"> Based on this assessment, the </w:t>
      </w:r>
      <w:r w:rsidR="008034FF">
        <w:t>need</w:t>
      </w:r>
      <w:r w:rsidR="00D723B8">
        <w:t xml:space="preserve"> </w:t>
      </w:r>
      <w:r w:rsidR="008034FF">
        <w:t xml:space="preserve">for </w:t>
      </w:r>
      <w:r w:rsidR="00D723B8">
        <w:t xml:space="preserve">specific criteria </w:t>
      </w:r>
      <w:r w:rsidR="008034FF">
        <w:t xml:space="preserve">can be ascertained, and the criteria </w:t>
      </w:r>
      <w:r w:rsidR="00D723B8">
        <w:t>developed.</w:t>
      </w:r>
      <w:r w:rsidR="003E5682">
        <w:t xml:space="preserve"> </w:t>
      </w:r>
      <w:r w:rsidR="008034FF">
        <w:t xml:space="preserve">This suggests that it remains difficult to </w:t>
      </w:r>
      <w:r w:rsidR="00E35521">
        <w:t xml:space="preserve">automatically identify riskier projects </w:t>
      </w:r>
      <w:r w:rsidR="008F77C1">
        <w:t>and</w:t>
      </w:r>
      <w:r w:rsidR="00E35521">
        <w:t xml:space="preserve"> projects that do not correspond to </w:t>
      </w:r>
      <w:r w:rsidR="00BD4E3C">
        <w:t>usual simplified and in-depth assessments</w:t>
      </w:r>
      <w:r w:rsidR="00E35521">
        <w:t>;</w:t>
      </w:r>
    </w:p>
    <w:p w14:paraId="2FDAE2E9" w14:textId="5A36356B" w:rsidR="00D14BF2" w:rsidRDefault="00460D2C" w:rsidP="00367EBA">
      <w:pPr>
        <w:pStyle w:val="Bulletpoint"/>
        <w:ind w:left="851" w:hanging="284"/>
      </w:pPr>
      <w:r w:rsidRPr="005F083F">
        <w:rPr>
          <w:b/>
          <w:i/>
        </w:rPr>
        <w:t xml:space="preserve">At the step of criteria </w:t>
      </w:r>
      <w:r w:rsidR="0041085C" w:rsidRPr="005F083F">
        <w:rPr>
          <w:b/>
          <w:i/>
        </w:rPr>
        <w:t>identification</w:t>
      </w:r>
      <w:r>
        <w:t>: b</w:t>
      </w:r>
      <w:r w:rsidR="000777F4">
        <w:t xml:space="preserve">y default, </w:t>
      </w:r>
      <w:r w:rsidR="00E55DE6">
        <w:t>managing authorities</w:t>
      </w:r>
      <w:r w:rsidR="000777F4">
        <w:t xml:space="preserve"> u</w:t>
      </w:r>
      <w:r w:rsidR="003500D6">
        <w:t xml:space="preserve">se of </w:t>
      </w:r>
      <w:r w:rsidR="000777F4">
        <w:t xml:space="preserve">the DNSH </w:t>
      </w:r>
      <w:r w:rsidR="003500D6">
        <w:t xml:space="preserve">TSC </w:t>
      </w:r>
      <w:r w:rsidR="000777F4">
        <w:t xml:space="preserve">from the EU Taxonomy Delegated Acts </w:t>
      </w:r>
      <w:r w:rsidR="00BD4E3C">
        <w:t>to conduct in-depth DNSH assessments</w:t>
      </w:r>
      <w:r w:rsidR="000777F4">
        <w:t xml:space="preserve">. </w:t>
      </w:r>
      <w:r w:rsidR="002845F6">
        <w:t xml:space="preserve">Procedures and methodologies to </w:t>
      </w:r>
      <w:r w:rsidR="002C1E04">
        <w:t>design</w:t>
      </w:r>
      <w:r w:rsidR="002845F6">
        <w:t xml:space="preserve"> project-specific DNSH criteria are only launched where </w:t>
      </w:r>
      <w:r w:rsidR="009C1FDC">
        <w:t xml:space="preserve">project-level criteria are needed and where </w:t>
      </w:r>
      <w:r w:rsidR="002845F6">
        <w:t>the DNSH TSC do not exist</w:t>
      </w:r>
      <w:r w:rsidR="00D14BF2">
        <w:t>;</w:t>
      </w:r>
    </w:p>
    <w:p w14:paraId="765EF1D4" w14:textId="2AA146AB" w:rsidR="00E50105" w:rsidRDefault="00D929FE" w:rsidP="00367EBA">
      <w:pPr>
        <w:pStyle w:val="Bulletpoint"/>
        <w:ind w:left="851" w:hanging="284"/>
      </w:pPr>
      <w:r w:rsidRPr="005F083F">
        <w:rPr>
          <w:b/>
          <w:i/>
        </w:rPr>
        <w:t>At the step of criteria development</w:t>
      </w:r>
      <w:r>
        <w:rPr>
          <w:i/>
          <w:iCs/>
        </w:rPr>
        <w:t>:</w:t>
      </w:r>
      <w:r w:rsidR="009C1FDC" w:rsidRPr="00D14BF2">
        <w:t xml:space="preserve"> </w:t>
      </w:r>
      <w:r w:rsidR="009C1FDC">
        <w:t>r</w:t>
      </w:r>
      <w:r w:rsidR="009035DF" w:rsidRPr="00D14BF2">
        <w:t>ebound effects</w:t>
      </w:r>
      <w:r w:rsidR="00AE246C">
        <w:t xml:space="preserve">, the </w:t>
      </w:r>
      <w:r w:rsidR="009035DF" w:rsidRPr="00D14BF2">
        <w:t xml:space="preserve">complexity </w:t>
      </w:r>
      <w:r w:rsidR="00AE246C">
        <w:t xml:space="preserve">of the DNSH TSC and the </w:t>
      </w:r>
      <w:r w:rsidR="009035DF" w:rsidRPr="00D14BF2">
        <w:t>limited capacity</w:t>
      </w:r>
      <w:r w:rsidR="00AE246C">
        <w:t xml:space="preserve"> of project proponents </w:t>
      </w:r>
      <w:r w:rsidR="00202D2A">
        <w:t>are the main constraints for managing authorities</w:t>
      </w:r>
      <w:r w:rsidR="00075BFE">
        <w:t xml:space="preserve"> when developing DNSH criteria</w:t>
      </w:r>
      <w:r w:rsidR="00DA3EB4">
        <w:t>. In addition, a</w:t>
      </w:r>
      <w:r w:rsidR="00714C67">
        <w:t>cross peer M</w:t>
      </w:r>
      <w:r w:rsidR="007206B6">
        <w:t xml:space="preserve">ember </w:t>
      </w:r>
      <w:r w:rsidR="00714C67">
        <w:t>S</w:t>
      </w:r>
      <w:r w:rsidR="007206B6">
        <w:t>tate</w:t>
      </w:r>
      <w:r w:rsidR="00714C67">
        <w:t>s, t</w:t>
      </w:r>
      <w:r w:rsidR="009767D8">
        <w:t xml:space="preserve">he </w:t>
      </w:r>
      <w:r w:rsidR="00B06779">
        <w:t>objective of transition towards a c</w:t>
      </w:r>
      <w:r w:rsidR="00E50105" w:rsidRPr="00DA3EB4">
        <w:t xml:space="preserve">ircular economy and R&amp;D </w:t>
      </w:r>
      <w:r w:rsidR="00714C67">
        <w:t>projects pose most issues</w:t>
      </w:r>
      <w:r w:rsidR="00DA3EB4">
        <w:t xml:space="preserve"> for</w:t>
      </w:r>
      <w:r w:rsidR="00714C67">
        <w:t xml:space="preserve"> </w:t>
      </w:r>
      <w:r w:rsidR="00075BFE">
        <w:t xml:space="preserve">developing </w:t>
      </w:r>
      <w:r w:rsidR="00714C67">
        <w:t>project-level criteria.</w:t>
      </w:r>
    </w:p>
    <w:p w14:paraId="62542F51" w14:textId="77777777" w:rsidR="000B6847" w:rsidRPr="000B6847" w:rsidRDefault="000B6847" w:rsidP="005F083F"/>
    <w:p w14:paraId="65C6E14D" w14:textId="3536C6F4" w:rsidR="001E46FD" w:rsidRDefault="00D91ACD" w:rsidP="00367EBA">
      <w:pPr>
        <w:pStyle w:val="Nadpis3"/>
        <w:tabs>
          <w:tab w:val="clear" w:pos="851"/>
          <w:tab w:val="left" w:pos="567"/>
        </w:tabs>
        <w:ind w:left="567" w:hanging="425"/>
      </w:pPr>
      <w:bookmarkStart w:id="52" w:name="_Toc131775853"/>
      <w:r>
        <w:t>Lessons learnt</w:t>
      </w:r>
      <w:bookmarkEnd w:id="52"/>
    </w:p>
    <w:p w14:paraId="202931D0" w14:textId="0B2C4D55" w:rsidR="00DA3EB4" w:rsidRDefault="00DA3EB4" w:rsidP="00D91ACD">
      <w:pPr>
        <w:rPr>
          <w:lang w:val="en-GB"/>
        </w:rPr>
      </w:pPr>
      <w:r>
        <w:rPr>
          <w:lang w:val="en-GB"/>
        </w:rPr>
        <w:t>As discussed in</w:t>
      </w:r>
      <w:r w:rsidR="00872B1C">
        <w:rPr>
          <w:lang w:val="en-GB"/>
        </w:rPr>
        <w:t xml:space="preserve"> Section</w:t>
      </w:r>
      <w:r>
        <w:rPr>
          <w:lang w:val="en-GB"/>
        </w:rPr>
        <w:t xml:space="preserve"> </w:t>
      </w:r>
      <w:r w:rsidR="00C12C77">
        <w:rPr>
          <w:lang w:val="en-GB"/>
        </w:rPr>
        <w:fldChar w:fldCharType="begin"/>
      </w:r>
      <w:r w:rsidR="00C12C77">
        <w:rPr>
          <w:lang w:val="en-GB"/>
        </w:rPr>
        <w:instrText xml:space="preserve"> REF _Ref130907373 \r \h </w:instrText>
      </w:r>
      <w:r w:rsidR="00C12C77">
        <w:rPr>
          <w:lang w:val="en-GB"/>
        </w:rPr>
      </w:r>
      <w:r w:rsidR="00C12C77">
        <w:rPr>
          <w:lang w:val="en-GB"/>
        </w:rPr>
        <w:fldChar w:fldCharType="separate"/>
      </w:r>
      <w:r w:rsidR="0031368D">
        <w:rPr>
          <w:lang w:val="en-GB"/>
        </w:rPr>
        <w:t>3.3</w:t>
      </w:r>
      <w:r w:rsidR="00C12C77">
        <w:rPr>
          <w:lang w:val="en-GB"/>
        </w:rPr>
        <w:fldChar w:fldCharType="end"/>
      </w:r>
      <w:r w:rsidR="00C12C77">
        <w:rPr>
          <w:lang w:val="en-GB"/>
        </w:rPr>
        <w:t>, peer M</w:t>
      </w:r>
      <w:r w:rsidR="007206B6">
        <w:rPr>
          <w:lang w:val="en-GB"/>
        </w:rPr>
        <w:t xml:space="preserve">ember </w:t>
      </w:r>
      <w:r w:rsidR="00C12C77">
        <w:rPr>
          <w:lang w:val="en-GB"/>
        </w:rPr>
        <w:t>S</w:t>
      </w:r>
      <w:r w:rsidR="007206B6">
        <w:rPr>
          <w:lang w:val="en-GB"/>
        </w:rPr>
        <w:t>tate</w:t>
      </w:r>
      <w:r w:rsidR="00A64763">
        <w:rPr>
          <w:lang w:val="en-GB"/>
        </w:rPr>
        <w:t>s</w:t>
      </w:r>
      <w:r w:rsidR="00C12C77">
        <w:rPr>
          <w:lang w:val="en-GB"/>
        </w:rPr>
        <w:t xml:space="preserve"> have developed different methodologies </w:t>
      </w:r>
      <w:r w:rsidR="00A64763">
        <w:rPr>
          <w:lang w:val="en-GB"/>
        </w:rPr>
        <w:t>for</w:t>
      </w:r>
      <w:r w:rsidR="00C12C77">
        <w:rPr>
          <w:lang w:val="en-GB"/>
        </w:rPr>
        <w:t xml:space="preserve"> apply</w:t>
      </w:r>
      <w:r w:rsidR="00A64763">
        <w:rPr>
          <w:lang w:val="en-GB"/>
        </w:rPr>
        <w:t>ing</w:t>
      </w:r>
      <w:r w:rsidR="00C12C77">
        <w:rPr>
          <w:lang w:val="en-GB"/>
        </w:rPr>
        <w:t xml:space="preserve"> the DNSH principle to investments in innovative green technologies. Yet, they reveal common lessons learnt:</w:t>
      </w:r>
    </w:p>
    <w:p w14:paraId="117B3C89" w14:textId="4AAB446B" w:rsidR="00D91ACD" w:rsidRDefault="0078428A" w:rsidP="00367EBA">
      <w:pPr>
        <w:pStyle w:val="Bulletpoint"/>
        <w:ind w:left="851" w:hanging="284"/>
      </w:pPr>
      <w:r w:rsidRPr="00F86983">
        <w:rPr>
          <w:b/>
          <w:bCs/>
        </w:rPr>
        <w:t>It is helpful to s</w:t>
      </w:r>
      <w:r w:rsidR="00393545" w:rsidRPr="00F86983">
        <w:rPr>
          <w:b/>
          <w:bCs/>
        </w:rPr>
        <w:t>tandardiz</w:t>
      </w:r>
      <w:r w:rsidRPr="00F86983">
        <w:rPr>
          <w:b/>
          <w:bCs/>
        </w:rPr>
        <w:t>e</w:t>
      </w:r>
      <w:r w:rsidR="007573CC" w:rsidRPr="00F86983">
        <w:rPr>
          <w:b/>
          <w:bCs/>
        </w:rPr>
        <w:t xml:space="preserve"> the process for identifying projects that might require </w:t>
      </w:r>
      <w:r w:rsidRPr="00F86983">
        <w:rPr>
          <w:b/>
          <w:bCs/>
        </w:rPr>
        <w:t>project-level criteria</w:t>
      </w:r>
      <w:r w:rsidR="00305D72">
        <w:t xml:space="preserve">. This can be done by developing rules for </w:t>
      </w:r>
      <w:r w:rsidR="00530DF5" w:rsidRPr="007573CC">
        <w:t>clustering</w:t>
      </w:r>
      <w:r w:rsidR="00D91ACD" w:rsidRPr="007573CC">
        <w:t xml:space="preserve"> </w:t>
      </w:r>
      <w:r w:rsidR="00305D72">
        <w:t>projects</w:t>
      </w:r>
      <w:r w:rsidR="00B5028F">
        <w:t xml:space="preserve">. </w:t>
      </w:r>
      <w:r w:rsidR="00F55559">
        <w:t xml:space="preserve">Standardizing helps to </w:t>
      </w:r>
      <w:r w:rsidR="00D8580A">
        <w:t>identify projects requiring project-level criteria faster and earlier in the process, and thus supports the division of work across line Ministries and DNSH dedicated teams;</w:t>
      </w:r>
    </w:p>
    <w:p w14:paraId="12784F33" w14:textId="77777777" w:rsidR="00101389" w:rsidRDefault="00B10A70" w:rsidP="00367EBA">
      <w:pPr>
        <w:pStyle w:val="Odstavecseseznamem"/>
        <w:ind w:left="851" w:hanging="284"/>
      </w:pPr>
      <w:r w:rsidRPr="00F86983">
        <w:rPr>
          <w:b/>
          <w:bCs/>
        </w:rPr>
        <w:t xml:space="preserve">Environmental methodologies may be used to support the </w:t>
      </w:r>
      <w:r w:rsidR="003771D6" w:rsidRPr="00F86983">
        <w:rPr>
          <w:b/>
          <w:bCs/>
        </w:rPr>
        <w:t xml:space="preserve">application </w:t>
      </w:r>
      <w:r w:rsidRPr="00F86983">
        <w:rPr>
          <w:b/>
          <w:bCs/>
        </w:rPr>
        <w:t xml:space="preserve">of </w:t>
      </w:r>
      <w:r w:rsidR="003771D6" w:rsidRPr="00F86983">
        <w:rPr>
          <w:b/>
          <w:bCs/>
        </w:rPr>
        <w:t>the DNSH principle in complex and innovative projects</w:t>
      </w:r>
      <w:r w:rsidR="003771D6">
        <w:t>, by offering additional and in-depth information. Green budgeting</w:t>
      </w:r>
      <w:r w:rsidR="001C2440">
        <w:t>, EIAs and CP are particularly relevant in that regard;</w:t>
      </w:r>
    </w:p>
    <w:p w14:paraId="7F41AAF4" w14:textId="30EDEF21" w:rsidR="002F0E2B" w:rsidRDefault="00101389" w:rsidP="00367EBA">
      <w:pPr>
        <w:pStyle w:val="Odstavecseseznamem"/>
        <w:ind w:left="851" w:hanging="284"/>
      </w:pPr>
      <w:r w:rsidRPr="001D612E">
        <w:rPr>
          <w:b/>
          <w:bCs/>
        </w:rPr>
        <w:t>Processes should allow for the review and refinement of DNSH criteria during the implementation of the projects</w:t>
      </w:r>
      <w:r>
        <w:t xml:space="preserve">. </w:t>
      </w:r>
      <w:r w:rsidR="001D612E">
        <w:t>By definition, i</w:t>
      </w:r>
      <w:r>
        <w:t>nnovative projects present unknown risks or risks that are difficult to appraise</w:t>
      </w:r>
      <w:r w:rsidR="000119EE">
        <w:t>. I</w:t>
      </w:r>
      <w:r>
        <w:t xml:space="preserve">terative processes ensure that all risks are taken into account, even where they emerge at a late stage. This flexibility also allows managing authorities </w:t>
      </w:r>
      <w:r w:rsidR="002F0E2B">
        <w:t>to fully utilise the</w:t>
      </w:r>
      <w:r w:rsidR="001F2DE8" w:rsidRPr="00101389">
        <w:t xml:space="preserve"> results of EIA</w:t>
      </w:r>
      <w:r w:rsidR="002F0E2B">
        <w:t>s;</w:t>
      </w:r>
    </w:p>
    <w:p w14:paraId="0494C1A6" w14:textId="0175B1FD" w:rsidR="007939DF" w:rsidRDefault="00960028" w:rsidP="00367EBA">
      <w:pPr>
        <w:pStyle w:val="Odstavecseseznamem"/>
        <w:ind w:left="851" w:hanging="284"/>
      </w:pPr>
      <w:r w:rsidRPr="000119EE">
        <w:rPr>
          <w:b/>
          <w:bCs/>
        </w:rPr>
        <w:t xml:space="preserve">Managing authorities should have the possibility to rely </w:t>
      </w:r>
      <w:r w:rsidR="00EC26DC" w:rsidRPr="000119EE">
        <w:rPr>
          <w:b/>
          <w:bCs/>
        </w:rPr>
        <w:t xml:space="preserve">on external </w:t>
      </w:r>
      <w:r w:rsidR="00CD009D" w:rsidRPr="000119EE">
        <w:rPr>
          <w:b/>
          <w:bCs/>
        </w:rPr>
        <w:t>technical exper</w:t>
      </w:r>
      <w:r w:rsidR="003500D6" w:rsidRPr="000119EE">
        <w:rPr>
          <w:b/>
          <w:bCs/>
        </w:rPr>
        <w:t>t</w:t>
      </w:r>
      <w:r w:rsidR="00CD009D" w:rsidRPr="000119EE">
        <w:rPr>
          <w:b/>
          <w:bCs/>
        </w:rPr>
        <w:t>s</w:t>
      </w:r>
      <w:r w:rsidR="00757BE5" w:rsidRPr="000119EE">
        <w:rPr>
          <w:b/>
          <w:bCs/>
        </w:rPr>
        <w:t xml:space="preserve"> or expert committees</w:t>
      </w:r>
      <w:r w:rsidR="00CD009D" w:rsidRPr="002F0E2B">
        <w:t xml:space="preserve"> to </w:t>
      </w:r>
      <w:r w:rsidR="002F0E2B">
        <w:t>confirm and deepen</w:t>
      </w:r>
      <w:r w:rsidR="00CD009D" w:rsidRPr="002F0E2B">
        <w:t xml:space="preserve"> </w:t>
      </w:r>
      <w:r w:rsidR="002F0E2B">
        <w:t>preliminary DNSH assessments (cf. “classification step” and “criteria identification step”)</w:t>
      </w:r>
      <w:r w:rsidR="00EC26DC">
        <w:t xml:space="preserve">. Because innovative </w:t>
      </w:r>
      <w:r w:rsidR="004778FF">
        <w:t xml:space="preserve">projects </w:t>
      </w:r>
      <w:r w:rsidR="00EC26DC">
        <w:t xml:space="preserve">entail unknown risks and </w:t>
      </w:r>
      <w:r w:rsidR="00E93496">
        <w:t xml:space="preserve">niche </w:t>
      </w:r>
      <w:r w:rsidR="00E93496">
        <w:lastRenderedPageBreak/>
        <w:t xml:space="preserve">technology or processes, specific expertise is needed to </w:t>
      </w:r>
      <w:r w:rsidR="00DD4048">
        <w:t xml:space="preserve">appraise </w:t>
      </w:r>
      <w:r w:rsidR="004778FF">
        <w:t>them</w:t>
      </w:r>
      <w:r w:rsidR="00DD4048">
        <w:t xml:space="preserve"> and </w:t>
      </w:r>
      <w:r w:rsidR="00E43FF4">
        <w:t xml:space="preserve">to </w:t>
      </w:r>
      <w:r w:rsidR="00DD4048">
        <w:t xml:space="preserve">develop </w:t>
      </w:r>
      <w:r w:rsidR="004778FF">
        <w:t xml:space="preserve">relevant and ambitious </w:t>
      </w:r>
      <w:r w:rsidR="00DD4048">
        <w:t>criteria</w:t>
      </w:r>
      <w:r w:rsidR="007939DF">
        <w:t>;</w:t>
      </w:r>
    </w:p>
    <w:p w14:paraId="649DD117" w14:textId="1146B314" w:rsidR="0025355F" w:rsidRDefault="007939DF" w:rsidP="00367EBA">
      <w:pPr>
        <w:pStyle w:val="Odstavecseseznamem"/>
        <w:ind w:left="851" w:hanging="284"/>
      </w:pPr>
      <w:r>
        <w:t xml:space="preserve">For </w:t>
      </w:r>
      <w:r w:rsidR="00393545" w:rsidRPr="007939DF">
        <w:t xml:space="preserve">innovative projects </w:t>
      </w:r>
      <w:r w:rsidR="000A2AA7">
        <w:t xml:space="preserve">that emerge in </w:t>
      </w:r>
      <w:r w:rsidR="007A4B6C">
        <w:t>clusters, i.e.</w:t>
      </w:r>
      <w:r w:rsidR="00FC0D60">
        <w:t>, for projects</w:t>
      </w:r>
      <w:r w:rsidR="007A4B6C">
        <w:t xml:space="preserve"> that </w:t>
      </w:r>
      <w:r w:rsidR="004C00F9">
        <w:t xml:space="preserve">present similarities and whose number is expected to rapidly grow (e.g., hydrogen-related investments), managing authorities should consider </w:t>
      </w:r>
      <w:r w:rsidR="00393545" w:rsidRPr="00FC0D60">
        <w:rPr>
          <w:b/>
          <w:bCs/>
        </w:rPr>
        <w:t xml:space="preserve">developing benchmarks to clarify </w:t>
      </w:r>
      <w:r w:rsidR="0025355F" w:rsidRPr="00FC0D60">
        <w:rPr>
          <w:b/>
          <w:bCs/>
        </w:rPr>
        <w:t xml:space="preserve">levels of significant harm and </w:t>
      </w:r>
      <w:r w:rsidR="00FC0D60" w:rsidRPr="00FC0D60">
        <w:rPr>
          <w:b/>
          <w:bCs/>
        </w:rPr>
        <w:t xml:space="preserve">of </w:t>
      </w:r>
      <w:r w:rsidR="0025355F" w:rsidRPr="00FC0D60">
        <w:rPr>
          <w:b/>
          <w:bCs/>
        </w:rPr>
        <w:t>sufficient assessment</w:t>
      </w:r>
      <w:r w:rsidR="0025355F">
        <w:t>;</w:t>
      </w:r>
    </w:p>
    <w:p w14:paraId="1BA18436" w14:textId="036584CC" w:rsidR="00EC6A46" w:rsidRDefault="00D47946" w:rsidP="00367EBA">
      <w:pPr>
        <w:pStyle w:val="Odstavecseseznamem"/>
        <w:ind w:left="851" w:hanging="284"/>
      </w:pPr>
      <w:r w:rsidRPr="00FC0D60">
        <w:rPr>
          <w:b/>
          <w:bCs/>
        </w:rPr>
        <w:t>G</w:t>
      </w:r>
      <w:r w:rsidR="00AC6775" w:rsidRPr="00FC0D60">
        <w:rPr>
          <w:b/>
          <w:bCs/>
        </w:rPr>
        <w:t>radually build</w:t>
      </w:r>
      <w:r w:rsidR="00774FAD" w:rsidRPr="00FC0D60">
        <w:rPr>
          <w:b/>
          <w:bCs/>
        </w:rPr>
        <w:t xml:space="preserve">ing upon existing </w:t>
      </w:r>
      <w:r w:rsidR="00A64763" w:rsidRPr="00FC0D60">
        <w:rPr>
          <w:b/>
          <w:bCs/>
        </w:rPr>
        <w:t>solutions</w:t>
      </w:r>
      <w:r w:rsidR="0090303C">
        <w:t xml:space="preserve">, instead of developing </w:t>
      </w:r>
      <w:r w:rsidR="00FC14DC">
        <w:t xml:space="preserve">multiple solutions at once, is the most efficient. It allows managing authorities to </w:t>
      </w:r>
      <w:r w:rsidR="002335C3">
        <w:t>iterate and to effectively</w:t>
      </w:r>
      <w:r w:rsidR="003F7173">
        <w:t xml:space="preserve"> implement their processes and methodologies</w:t>
      </w:r>
      <w:r w:rsidR="002335C3">
        <w:t>.</w:t>
      </w:r>
      <w:bookmarkStart w:id="53" w:name="_Toc338338699"/>
      <w:bookmarkStart w:id="54" w:name="_Toc338338772"/>
    </w:p>
    <w:p w14:paraId="47AB6CE5" w14:textId="5A581E83" w:rsidR="003C69D4" w:rsidRDefault="003C69D4" w:rsidP="003C69D4">
      <w:r>
        <w:br w:type="page"/>
      </w:r>
    </w:p>
    <w:p w14:paraId="15BDC003" w14:textId="052FF39D" w:rsidR="00FA18EE" w:rsidRDefault="00FA18EE" w:rsidP="0010463C">
      <w:pPr>
        <w:pStyle w:val="Nadpis1"/>
        <w:numPr>
          <w:ilvl w:val="0"/>
          <w:numId w:val="0"/>
        </w:numPr>
        <w:ind w:left="567"/>
      </w:pPr>
      <w:bookmarkStart w:id="55" w:name="_Toc131775854"/>
      <w:r>
        <w:lastRenderedPageBreak/>
        <w:t>Annex A – Logistics and lessons learnt</w:t>
      </w:r>
      <w:bookmarkEnd w:id="55"/>
    </w:p>
    <w:p w14:paraId="345346E9" w14:textId="77777777" w:rsidR="008A055F" w:rsidRPr="009905C4" w:rsidRDefault="008A055F" w:rsidP="008A055F">
      <w:pPr>
        <w:rPr>
          <w:lang w:val="en-GB"/>
        </w:rPr>
      </w:pPr>
      <w:r>
        <w:t>This chapter provides information regarding the three peer-learning exchange webinars</w:t>
      </w:r>
      <w:r w:rsidRPr="009905C4">
        <w:rPr>
          <w:lang w:val="en-GB"/>
        </w:rPr>
        <w:t xml:space="preserve"> organised in the context of DLV3. It describes the logistical processes behind the organisation of all webinars as well as providing reflections on the process for organising the webinars and evaluates the outcomes and how the peer-learning webinars can/will inform further stages of the project. </w:t>
      </w:r>
    </w:p>
    <w:p w14:paraId="79D42D63" w14:textId="77777777" w:rsidR="008A055F" w:rsidRDefault="008A055F" w:rsidP="008A055F">
      <w:pPr>
        <w:rPr>
          <w:lang w:val="en-GB"/>
        </w:rPr>
      </w:pPr>
    </w:p>
    <w:p w14:paraId="5BDE1983" w14:textId="37707466" w:rsidR="008A055F" w:rsidRDefault="00367EBA" w:rsidP="00367EBA">
      <w:pPr>
        <w:pStyle w:val="Nadpis2"/>
        <w:numPr>
          <w:ilvl w:val="0"/>
          <w:numId w:val="0"/>
        </w:numPr>
        <w:ind w:left="567"/>
      </w:pPr>
      <w:bookmarkStart w:id="56" w:name="_Toc131757462"/>
      <w:bookmarkStart w:id="57" w:name="_Toc131775855"/>
      <w:r>
        <w:t>A.1</w:t>
      </w:r>
      <w:r>
        <w:tab/>
      </w:r>
      <w:r w:rsidR="008A055F">
        <w:t>Organisation &amp; logistics</w:t>
      </w:r>
      <w:bookmarkEnd w:id="56"/>
      <w:bookmarkEnd w:id="57"/>
    </w:p>
    <w:p w14:paraId="72859BD1" w14:textId="77777777" w:rsidR="008A055F" w:rsidRDefault="008A055F" w:rsidP="008A055F">
      <w:pPr>
        <w:rPr>
          <w:lang w:val="en-GB"/>
        </w:rPr>
      </w:pPr>
      <w:r>
        <w:rPr>
          <w:lang w:val="en-GB"/>
        </w:rPr>
        <w:t>For the purpose of the peer-learning exchange among selected Member States a total of three webinars were organised. These took place on 26 January, 2 February, and 16 February</w:t>
      </w:r>
      <w:r>
        <w:rPr>
          <w:rStyle w:val="Znakapoznpodarou"/>
          <w:lang w:val="en-GB"/>
        </w:rPr>
        <w:footnoteReference w:id="7"/>
      </w:r>
      <w:r>
        <w:rPr>
          <w:lang w:val="en-GB"/>
        </w:rPr>
        <w:t xml:space="preserve"> 2023. All three webinars were held online, using the Teams webinar platform. The attendance for all webinars was more than satisfactory: </w:t>
      </w:r>
    </w:p>
    <w:p w14:paraId="0AB789FB" w14:textId="77777777" w:rsidR="008A055F" w:rsidRPr="0036090C" w:rsidRDefault="008A055F" w:rsidP="008A055F">
      <w:pPr>
        <w:pStyle w:val="Odstavecseseznamem"/>
        <w:ind w:left="851" w:hanging="284"/>
      </w:pPr>
      <w:r w:rsidRPr="0036090C">
        <w:t>Webinar 1 noted 132 registered</w:t>
      </w:r>
      <w:r w:rsidRPr="0036090C">
        <w:rPr>
          <w:rStyle w:val="Znakapoznpodarou"/>
        </w:rPr>
        <w:footnoteReference w:id="8"/>
      </w:r>
      <w:r w:rsidRPr="0036090C">
        <w:t xml:space="preserve"> participants</w:t>
      </w:r>
      <w:r>
        <w:t>. The majority of those were Czech participants (94), followed by representatives of the European Commission (11), Spain (10), Slovakia (7), Belgium (6), Austria (3) and Finland (1).</w:t>
      </w:r>
    </w:p>
    <w:p w14:paraId="3E3508C6" w14:textId="77777777" w:rsidR="008A055F" w:rsidRPr="0036090C" w:rsidRDefault="008A055F" w:rsidP="008A055F">
      <w:pPr>
        <w:pStyle w:val="Odstavecseseznamem"/>
        <w:ind w:left="851" w:hanging="284"/>
      </w:pPr>
      <w:r w:rsidRPr="0036090C">
        <w:t xml:space="preserve">Webinar 2 was attended by 102 participants. Out of these the majority were from Czechia (63), followed by Belgium (7), Slovakia and Spain (6 participants each), Finland and EU-level (5 each), Austria (3) and the project team members (7). Out of these, majority of participants observed the webinar (83), with 5 speakers, 5 representatives of the European Commission, 2 representatives and 7 members of the project team.  </w:t>
      </w:r>
    </w:p>
    <w:p w14:paraId="139E5C50" w14:textId="77777777" w:rsidR="008A055F" w:rsidRPr="00EF5670" w:rsidRDefault="008A055F" w:rsidP="008A055F">
      <w:pPr>
        <w:pStyle w:val="Odstavecseseznamem"/>
        <w:ind w:left="851" w:hanging="284"/>
      </w:pPr>
      <w:r w:rsidRPr="0036090C">
        <w:t>Webinar 3</w:t>
      </w:r>
      <w:r w:rsidRPr="001C7972">
        <w:t xml:space="preserve"> </w:t>
      </w:r>
      <w:r>
        <w:t>was attended</w:t>
      </w:r>
      <w:r w:rsidRPr="001C7972">
        <w:t xml:space="preserve"> </w:t>
      </w:r>
      <w:r w:rsidRPr="00EA2D8D">
        <w:t>79 participants</w:t>
      </w:r>
      <w:r w:rsidRPr="001C7972">
        <w:t xml:space="preserve">. </w:t>
      </w:r>
      <w:r>
        <w:t xml:space="preserve">Out of these the majority were from Czechia (44), followed by EU-level (8), Spain (6), Belgium (5), Finland (5) Austria (3) and Slovakia (1). It was also attended by 5 project team members and 2 stakeholders who did not indicate their details. Out of these, majority attended as observers (59), with 5 speakers, 5 representatives of the European Commission, 3 representatives of the Czech Office of Government and 7 members of the project team. </w:t>
      </w:r>
    </w:p>
    <w:p w14:paraId="3D482E5F" w14:textId="77777777" w:rsidR="008A055F" w:rsidRDefault="008A055F" w:rsidP="008A055F">
      <w:pPr>
        <w:rPr>
          <w:lang w:val="en-GB"/>
        </w:rPr>
      </w:pPr>
    </w:p>
    <w:p w14:paraId="1527CD07" w14:textId="77777777" w:rsidR="008A055F" w:rsidRDefault="008A055F" w:rsidP="008A055F">
      <w:pPr>
        <w:rPr>
          <w:lang w:val="en-GB"/>
        </w:rPr>
      </w:pPr>
      <w:r>
        <w:rPr>
          <w:lang w:val="en-GB"/>
        </w:rPr>
        <w:t xml:space="preserve">Each webinar was scheduled individually, with separate invites, registration forms and supporting documents. Organisation of each webinar started with a selection of a date, convenient for the project team, DG REFROM, and the beneficiary. Once the date was set, a first set of invitations with a ‘save-the-date’ and a brief explanation of the purpose of the event was shared with selected stakeholders. The list of invitees included only representatives of public bodies of the selected Member States, Czechia, and European Commission representatives. Following a receipt of an invite, stakeholders were asked to register for the event. This allowed the project team to i) track the number and nature of expected participants, and ii) ask participants for their permission to record the event, and to share and use their contact details in case of any further DNSH-related learning events. </w:t>
      </w:r>
    </w:p>
    <w:p w14:paraId="32F14934" w14:textId="77777777" w:rsidR="008A055F" w:rsidRDefault="008A055F" w:rsidP="008A055F">
      <w:pPr>
        <w:rPr>
          <w:lang w:val="en-GB"/>
        </w:rPr>
      </w:pPr>
    </w:p>
    <w:p w14:paraId="6D922A8D" w14:textId="77777777" w:rsidR="008A055F" w:rsidRDefault="008A055F" w:rsidP="008A055F">
      <w:pPr>
        <w:rPr>
          <w:lang w:val="en-GB"/>
        </w:rPr>
      </w:pPr>
      <w:r>
        <w:rPr>
          <w:lang w:val="en-GB"/>
        </w:rPr>
        <w:t xml:space="preserve">One week in advance participants also received an additional email, with further details on the contents of each specific seminar and relevant supporting documents, namely an agenda and a concept note. </w:t>
      </w:r>
    </w:p>
    <w:p w14:paraId="1B775B2F" w14:textId="77777777" w:rsidR="008A055F" w:rsidRDefault="008A055F" w:rsidP="008A055F">
      <w:pPr>
        <w:rPr>
          <w:lang w:val="en-GB"/>
        </w:rPr>
      </w:pPr>
    </w:p>
    <w:p w14:paraId="4CF1EC92" w14:textId="77777777" w:rsidR="008A055F" w:rsidRDefault="008A055F" w:rsidP="008A055F">
      <w:pPr>
        <w:rPr>
          <w:lang w:val="en-GB"/>
        </w:rPr>
      </w:pPr>
      <w:r>
        <w:rPr>
          <w:lang w:val="en-GB"/>
        </w:rPr>
        <w:t xml:space="preserve">The agenda of each webinar followed the same structure of an online event of 2,5 hours. The first half of the webinar was dedicated to presentations from speakers. Each webinar begun with a brief </w:t>
      </w:r>
      <w:r>
        <w:rPr>
          <w:lang w:val="en-GB"/>
        </w:rPr>
        <w:lastRenderedPageBreak/>
        <w:t xml:space="preserve">introduction to its purpose, welcoming words by the Czech Office of Government or DG REFORM. The first presentation of the event was always dedicated to ‘setting the scene’, where the Czech context in relation to the topic of each webinar, as observed in the course of the study. The following presentations were delivered by the invited speakers; one speaker presenting the Czech approach to DNSH and potential challenges and two speakers from invited Member States. The second half of the event was reserved for a panel discussion. Each panel was attended by the speakers who presented during the first part of the webinar, as well as (in some cases) some additional speakers from invited Member States. The panel was moderated by a member of the project team. The discussion was formulated around a number of guiding questions, which were shared with speakers and participants ahead of the webinar as part of the background materials. Furthermore, participants were also given the opportunity to raise additional questions that they wished to be answered by the panellists. The meeting ended with a brief summary of its contents by the moderator and closing remarks by the Office of Government or DG REFORM. </w:t>
      </w:r>
    </w:p>
    <w:p w14:paraId="780D765A" w14:textId="77777777" w:rsidR="008A055F" w:rsidRDefault="008A055F" w:rsidP="003C69D4">
      <w:pPr>
        <w:rPr>
          <w:lang w:val="en-GB"/>
        </w:rPr>
      </w:pPr>
    </w:p>
    <w:p w14:paraId="37824851" w14:textId="1EA2B23B" w:rsidR="008A055F" w:rsidRDefault="00367EBA" w:rsidP="00367EBA">
      <w:pPr>
        <w:pStyle w:val="Nadpis2"/>
        <w:numPr>
          <w:ilvl w:val="0"/>
          <w:numId w:val="0"/>
        </w:numPr>
        <w:ind w:left="567"/>
      </w:pPr>
      <w:bookmarkStart w:id="58" w:name="_Toc131757463"/>
      <w:bookmarkStart w:id="59" w:name="_Toc131775856"/>
      <w:r>
        <w:t>A.2</w:t>
      </w:r>
      <w:r>
        <w:tab/>
      </w:r>
      <w:r w:rsidR="008A055F">
        <w:t>Process reflection &amp; evaluation</w:t>
      </w:r>
      <w:bookmarkEnd w:id="58"/>
      <w:bookmarkEnd w:id="59"/>
    </w:p>
    <w:p w14:paraId="1C1D1B60" w14:textId="77777777" w:rsidR="008A055F" w:rsidRDefault="008A055F" w:rsidP="008A055F">
      <w:pPr>
        <w:rPr>
          <w:lang w:val="en-GB"/>
        </w:rPr>
      </w:pPr>
      <w:r>
        <w:rPr>
          <w:lang w:val="en-GB"/>
        </w:rPr>
        <w:t>The webinars have generally been considered a success, with high participation (which also lasted throughout the entire length of each event) and well-versed and knowledgeable speakers. Several participants also expressed their appreciation of a well-carried out and professional event.</w:t>
      </w:r>
    </w:p>
    <w:p w14:paraId="23B00473" w14:textId="77777777" w:rsidR="008A055F" w:rsidRDefault="008A055F" w:rsidP="008A055F">
      <w:pPr>
        <w:rPr>
          <w:lang w:val="en-GB"/>
        </w:rPr>
      </w:pPr>
    </w:p>
    <w:p w14:paraId="32A769B3" w14:textId="77777777" w:rsidR="008A055F" w:rsidRDefault="008A055F" w:rsidP="008A055F">
      <w:pPr>
        <w:rPr>
          <w:lang w:val="en-GB"/>
        </w:rPr>
      </w:pPr>
      <w:r>
        <w:rPr>
          <w:lang w:val="en-GB"/>
        </w:rPr>
        <w:t>During and following the organisation of the webinars, the project team regularly reflected on the organisation of the webinars. Already during the course of organising the webinars some lessons learned have been identified and were reflected directly in the organisation of the following webinars, for example:</w:t>
      </w:r>
    </w:p>
    <w:p w14:paraId="5B8EBB29" w14:textId="77777777" w:rsidR="008A055F" w:rsidRDefault="008A055F" w:rsidP="008A055F">
      <w:pPr>
        <w:pStyle w:val="Odstavecseseznamem"/>
        <w:ind w:left="851" w:hanging="284"/>
      </w:pPr>
      <w:r w:rsidRPr="00F56D96">
        <w:rPr>
          <w:b/>
          <w:bCs/>
        </w:rPr>
        <w:t>Flexibility</w:t>
      </w:r>
      <w:r>
        <w:t xml:space="preserve"> in adapting the length of the presentations and/or the panel discussion to accommodate the specific speakers and/or panellists;</w:t>
      </w:r>
    </w:p>
    <w:p w14:paraId="0DAF0A82" w14:textId="77777777" w:rsidR="008A055F" w:rsidRDefault="008A055F" w:rsidP="008A055F">
      <w:pPr>
        <w:pStyle w:val="Odstavecseseznamem"/>
        <w:ind w:left="851" w:hanging="284"/>
      </w:pPr>
      <w:r>
        <w:t xml:space="preserve">Developing a list of </w:t>
      </w:r>
      <w:r w:rsidRPr="00F56D96">
        <w:rPr>
          <w:b/>
          <w:bCs/>
        </w:rPr>
        <w:t>additional (shadow) questions</w:t>
      </w:r>
      <w:r>
        <w:t xml:space="preserve"> to be raised during the panel discussions, if need be; or</w:t>
      </w:r>
    </w:p>
    <w:p w14:paraId="0F32E550" w14:textId="77777777" w:rsidR="008A055F" w:rsidRDefault="008A055F" w:rsidP="008A055F">
      <w:pPr>
        <w:pStyle w:val="Odstavecseseznamem"/>
        <w:ind w:left="851" w:hanging="284"/>
      </w:pPr>
      <w:r>
        <w:t xml:space="preserve">Members of the project team on stand-by during the panel discussion itself, to develop </w:t>
      </w:r>
      <w:r w:rsidRPr="00F56D96">
        <w:rPr>
          <w:b/>
          <w:bCs/>
        </w:rPr>
        <w:t>ad-hoc additional questions</w:t>
      </w:r>
      <w:r>
        <w:t xml:space="preserve"> reflecting on the responses of the panellists. </w:t>
      </w:r>
    </w:p>
    <w:p w14:paraId="2E93D780" w14:textId="77777777" w:rsidR="008A055F" w:rsidRDefault="008A055F" w:rsidP="008A055F"/>
    <w:p w14:paraId="78BF0E22" w14:textId="77777777" w:rsidR="008A055F" w:rsidRDefault="008A055F" w:rsidP="008A055F">
      <w:r>
        <w:t xml:space="preserve">Following the webinars, a number of lessons learned have been identified, which can be classified in two overarching groups; i) lessons learned that can be applied when planning future events in relation to DNSH, and ii) practical lessons that can be applied to </w:t>
      </w:r>
      <w:r w:rsidRPr="008232C1">
        <w:rPr>
          <w:lang w:val="en-GB"/>
        </w:rPr>
        <w:t>organisation</w:t>
      </w:r>
      <w:r>
        <w:t xml:space="preserve"> of any online event. </w:t>
      </w:r>
    </w:p>
    <w:p w14:paraId="548E16E0" w14:textId="77777777" w:rsidR="008A055F" w:rsidRDefault="008A055F" w:rsidP="008A055F"/>
    <w:p w14:paraId="6A107833" w14:textId="77777777" w:rsidR="008A055F" w:rsidRDefault="008A055F" w:rsidP="008A055F">
      <w:r>
        <w:t xml:space="preserve">In relation to </w:t>
      </w:r>
      <w:r w:rsidRPr="0098036F">
        <w:rPr>
          <w:b/>
          <w:bCs/>
          <w:u w:val="single"/>
        </w:rPr>
        <w:t>potential future DNSH events</w:t>
      </w:r>
      <w:r>
        <w:t xml:space="preserve"> the main learning point has been to establish the </w:t>
      </w:r>
      <w:r w:rsidRPr="00F56D96">
        <w:rPr>
          <w:b/>
          <w:bCs/>
        </w:rPr>
        <w:t>objective, aim and wished impact of the event</w:t>
      </w:r>
      <w:r>
        <w:t xml:space="preserve"> and </w:t>
      </w:r>
      <w:r w:rsidRPr="005B2963">
        <w:rPr>
          <w:b/>
          <w:bCs/>
        </w:rPr>
        <w:t>to clearly communicate it to the audience and speakers</w:t>
      </w:r>
      <w:r>
        <w:t>. This can be beneficial to the event in several manners:</w:t>
      </w:r>
    </w:p>
    <w:p w14:paraId="14E01ACA" w14:textId="77777777" w:rsidR="008A055F" w:rsidRDefault="008A055F" w:rsidP="008A055F">
      <w:pPr>
        <w:pStyle w:val="Odstavecseseznamem"/>
        <w:ind w:left="851" w:hanging="284"/>
      </w:pPr>
      <w:r>
        <w:t xml:space="preserve">Firstly, it will allow to invite the best-suited speakers for the given objective and desired impact. </w:t>
      </w:r>
    </w:p>
    <w:p w14:paraId="74707E30" w14:textId="77777777" w:rsidR="008A055F" w:rsidRDefault="008A055F" w:rsidP="008A055F">
      <w:pPr>
        <w:pStyle w:val="Odstavecseseznamem"/>
        <w:ind w:left="851" w:hanging="284"/>
      </w:pPr>
      <w:r>
        <w:t>Secondly, once the aim and desired impact of the event is established, the structure of the event can be decided. From experience webinars and/or online events with larger audience are a well-suited medium for presentations and exchanges of experiences, as has been done in the DLV3 webinars. Though, it can also be useful to schedule follow-up smaller scale events among Member States sharing similar challenges, where more specific issues can be discussed in a smaller setting. A smaller setting can also allow for participants to be more open and outspoken than with a large audience present.</w:t>
      </w:r>
    </w:p>
    <w:p w14:paraId="1AA5EA3B" w14:textId="77777777" w:rsidR="008A055F" w:rsidRDefault="008A055F" w:rsidP="008A055F">
      <w:pPr>
        <w:pStyle w:val="Odstavecseseznamem"/>
        <w:ind w:left="851" w:hanging="284"/>
      </w:pPr>
      <w:r>
        <w:lastRenderedPageBreak/>
        <w:t xml:space="preserve">Thirdly, it will be helpful to the participants when disseminating the invite further to best identify additional participants who might benefit from the event. </w:t>
      </w:r>
    </w:p>
    <w:p w14:paraId="6A179766" w14:textId="77777777" w:rsidR="008A055F" w:rsidRDefault="008A055F" w:rsidP="008A055F"/>
    <w:p w14:paraId="26180636" w14:textId="77777777" w:rsidR="008A055F" w:rsidRDefault="008A055F" w:rsidP="008A055F">
      <w:r>
        <w:t xml:space="preserve">Secondly, number of </w:t>
      </w:r>
      <w:r w:rsidRPr="0098036F">
        <w:rPr>
          <w:b/>
          <w:bCs/>
          <w:u w:val="single"/>
        </w:rPr>
        <w:t xml:space="preserve">practical lessons learned for </w:t>
      </w:r>
      <w:r w:rsidRPr="008232C1">
        <w:rPr>
          <w:b/>
          <w:u w:val="single"/>
          <w:lang w:val="en-GB"/>
        </w:rPr>
        <w:t>organisation</w:t>
      </w:r>
      <w:r w:rsidRPr="0098036F">
        <w:rPr>
          <w:b/>
          <w:bCs/>
          <w:u w:val="single"/>
        </w:rPr>
        <w:t xml:space="preserve"> of webinars that can be applied to any online events </w:t>
      </w:r>
      <w:r>
        <w:t xml:space="preserve">have also been identified: </w:t>
      </w:r>
    </w:p>
    <w:p w14:paraId="02B31D83" w14:textId="77777777" w:rsidR="008A055F" w:rsidRDefault="008A055F" w:rsidP="008A055F">
      <w:pPr>
        <w:pStyle w:val="Odstavecseseznamem"/>
        <w:ind w:left="851" w:hanging="284"/>
      </w:pPr>
      <w:r>
        <w:t xml:space="preserve">The most overarching lesson learned is to allow for sufficient time for the scheduling and preparing of an event. </w:t>
      </w:r>
    </w:p>
    <w:p w14:paraId="2C7FE08A" w14:textId="77777777" w:rsidR="008A055F" w:rsidRDefault="008A055F" w:rsidP="008A055F">
      <w:pPr>
        <w:pStyle w:val="Odstavecseseznamem"/>
        <w:ind w:left="851" w:hanging="284"/>
      </w:pPr>
      <w:r>
        <w:t>Developing an internal event protocol or plan for event organisation with assigned roles  and a timeline helps, to ensure all steps are followed in a timely fashion and nothing is forgotten.</w:t>
      </w:r>
    </w:p>
    <w:p w14:paraId="40D5DF95" w14:textId="77777777" w:rsidR="008A055F" w:rsidRDefault="008A055F" w:rsidP="008A055F">
      <w:pPr>
        <w:pStyle w:val="Odstavecseseznamem"/>
        <w:ind w:left="851" w:hanging="284"/>
      </w:pPr>
      <w:r>
        <w:t>Selection of date for the event and speakers should happen in parallel, to prevent that key speakers are unavailable on the selected date.</w:t>
      </w:r>
    </w:p>
    <w:p w14:paraId="67EF329D" w14:textId="77777777" w:rsidR="008A055F" w:rsidRDefault="008A055F" w:rsidP="008A055F">
      <w:pPr>
        <w:pStyle w:val="Odstavecseseznamem"/>
        <w:ind w:left="851" w:hanging="284"/>
      </w:pPr>
      <w:r>
        <w:t xml:space="preserve">Once speakers are confirmed and the (draft) agenda has been prepared, it is beneficial to schedule a preparatory meeting with the speakers (and/or panellists). This will not just allow them to familiarise themselves with the online platform and to test itself functionality, but it will also give a chance for the speakers and the moderator to meet ahead of the meeting, which can be particularly beneficial during discussions. </w:t>
      </w:r>
    </w:p>
    <w:p w14:paraId="5E75A8EB" w14:textId="77777777" w:rsidR="008A055F" w:rsidRDefault="008A055F" w:rsidP="008A055F">
      <w:pPr>
        <w:pStyle w:val="Odstavecseseznamem"/>
        <w:ind w:left="851" w:hanging="284"/>
      </w:pPr>
      <w:r>
        <w:t xml:space="preserve">If speakers are presenting their own slides, it is useful to request to receive those in advance ahead of the event, which will allow for a quality assurance and potential follow up, if needed. If possible, it can also be useful speakers with clear instructions on the outline of the presentation and its desired length, for example, by developing a brief template which is then shared with the speakers. </w:t>
      </w:r>
    </w:p>
    <w:p w14:paraId="62DE312F" w14:textId="77777777" w:rsidR="008A055F" w:rsidRDefault="008A055F" w:rsidP="008A055F">
      <w:pPr>
        <w:pStyle w:val="Odstavecseseznamem"/>
        <w:ind w:left="851" w:hanging="284"/>
      </w:pPr>
      <w:r>
        <w:t xml:space="preserve">Reaching out to stakeholders more than once during the preparatory phase has also been useful, as it can serve a natural reminder of the event. As a rule of a thumb, three emails per event have worked well (1) save the date and introduction to the event, 2) more specific information with an agenda and background documents, and 3) thank you and follow up, with additional documents, e.g. the presentation slides). </w:t>
      </w:r>
    </w:p>
    <w:p w14:paraId="0111D4E9" w14:textId="77777777" w:rsidR="008A055F" w:rsidRDefault="008A055F" w:rsidP="008A055F">
      <w:pPr>
        <w:pStyle w:val="Odstavecseseznamem"/>
        <w:ind w:left="851" w:hanging="284"/>
      </w:pPr>
      <w:r>
        <w:t xml:space="preserve">Creating a designated inbox for the event has also proven useful, as it allows for centralised exchange with speakers and participants, which can be managed by several people at once to ensure timely communications. </w:t>
      </w:r>
    </w:p>
    <w:p w14:paraId="24219349" w14:textId="77777777" w:rsidR="008A055F" w:rsidRDefault="008A055F" w:rsidP="008A055F">
      <w:pPr>
        <w:pStyle w:val="Odstavecseseznamem"/>
        <w:ind w:left="851" w:hanging="284"/>
      </w:pPr>
      <w:r>
        <w:t xml:space="preserve">The structure of the materials shared with participants helps professionalise the event and set the expectations. </w:t>
      </w:r>
    </w:p>
    <w:p w14:paraId="371C2A8B" w14:textId="77777777" w:rsidR="008A055F" w:rsidRDefault="008A055F" w:rsidP="008A055F"/>
    <w:p w14:paraId="4E98DF5D" w14:textId="77777777" w:rsidR="008A055F" w:rsidRDefault="008A055F" w:rsidP="008A055F">
      <w:pPr>
        <w:pStyle w:val="Nadpis4"/>
      </w:pPr>
      <w:r>
        <w:t>Potential follow up to the webinars</w:t>
      </w:r>
    </w:p>
    <w:p w14:paraId="59BDD23E" w14:textId="77777777" w:rsidR="008A055F" w:rsidRPr="00AB62DC" w:rsidRDefault="008A055F" w:rsidP="008A055F">
      <w:pPr>
        <w:rPr>
          <w:lang w:val="en-GB"/>
        </w:rPr>
      </w:pPr>
      <w:r>
        <w:rPr>
          <w:lang w:val="en-GB"/>
        </w:rPr>
        <w:t xml:space="preserve">As mentioned above, during the registration phase contact details of stakeholders interested in potential future exchanges have been collected. At this point, no further exchanges have been scheduled between Member States’ competent authorities, however, may there be interest from stakeholders to do so, the project team can serve as a facilitator of first contacts. </w:t>
      </w:r>
    </w:p>
    <w:p w14:paraId="62377E18" w14:textId="77777777" w:rsidR="008A055F" w:rsidRDefault="008A055F" w:rsidP="008A055F"/>
    <w:p w14:paraId="412D8DE8" w14:textId="21872661" w:rsidR="00FA18EE" w:rsidRDefault="003C69D4" w:rsidP="00FA18EE">
      <w:r>
        <w:br w:type="page"/>
      </w:r>
    </w:p>
    <w:p w14:paraId="6C5105A8" w14:textId="13C3C059" w:rsidR="00C31024" w:rsidRDefault="00296BE7" w:rsidP="00963084">
      <w:pPr>
        <w:pStyle w:val="Nadpis1"/>
        <w:numPr>
          <w:ilvl w:val="0"/>
          <w:numId w:val="0"/>
        </w:numPr>
        <w:ind w:left="567" w:hanging="567"/>
      </w:pPr>
      <w:bookmarkStart w:id="60" w:name="_Toc131775857"/>
      <w:r>
        <w:lastRenderedPageBreak/>
        <w:t>Annex</w:t>
      </w:r>
      <w:r w:rsidR="00FA18EE">
        <w:t xml:space="preserve"> B</w:t>
      </w:r>
      <w:r>
        <w:t xml:space="preserve"> – Concept notes </w:t>
      </w:r>
      <w:r w:rsidR="004F4FB8">
        <w:t xml:space="preserve">of </w:t>
      </w:r>
      <w:r>
        <w:t>webinars</w:t>
      </w:r>
      <w:bookmarkEnd w:id="60"/>
    </w:p>
    <w:p w14:paraId="32C0E15E" w14:textId="250C4E6F" w:rsidR="00C31024" w:rsidRPr="00C31024" w:rsidRDefault="00C31024" w:rsidP="00EC62F2">
      <w:pPr>
        <w:pStyle w:val="Nadpis3"/>
      </w:pPr>
      <w:bookmarkStart w:id="61" w:name="_Toc128382406"/>
      <w:bookmarkStart w:id="62" w:name="_Toc131757465"/>
      <w:bookmarkStart w:id="63" w:name="_Toc131775858"/>
      <w:r>
        <w:t>Webinar 1</w:t>
      </w:r>
      <w:bookmarkEnd w:id="61"/>
      <w:bookmarkEnd w:id="62"/>
      <w:bookmarkEnd w:id="63"/>
    </w:p>
    <w:p w14:paraId="7B52E8CD" w14:textId="503C9503" w:rsidR="00C31024" w:rsidRDefault="00C31024" w:rsidP="00C31024">
      <w:pPr>
        <w:pStyle w:val="Nadpis1"/>
        <w:numPr>
          <w:ilvl w:val="0"/>
          <w:numId w:val="0"/>
        </w:numPr>
        <w:spacing w:after="0" w:line="240" w:lineRule="auto"/>
        <w:ind w:left="567" w:hanging="567"/>
        <w:jc w:val="center"/>
      </w:pPr>
      <w:bookmarkStart w:id="64" w:name="_Toc128382407"/>
      <w:bookmarkStart w:id="65" w:name="_Toc131757466"/>
      <w:bookmarkStart w:id="66" w:name="_Toc131775859"/>
      <w:r>
        <w:t>Peer learning exchange on existing practices on the application of the DNSH principle</w:t>
      </w:r>
      <w:r w:rsidR="00A732E1">
        <w:t xml:space="preserve"> (I)</w:t>
      </w:r>
      <w:bookmarkEnd w:id="64"/>
      <w:bookmarkEnd w:id="65"/>
      <w:bookmarkEnd w:id="66"/>
    </w:p>
    <w:p w14:paraId="36B9FA88" w14:textId="77777777" w:rsidR="00C31024" w:rsidRPr="00F77F04" w:rsidRDefault="00C31024" w:rsidP="00C31024">
      <w:pPr>
        <w:spacing w:line="240" w:lineRule="auto"/>
        <w:rPr>
          <w:b/>
          <w:bCs/>
          <w:color w:val="005962" w:themeColor="accent1"/>
          <w:sz w:val="20"/>
          <w:szCs w:val="20"/>
        </w:rPr>
      </w:pPr>
    </w:p>
    <w:p w14:paraId="17CD0934" w14:textId="77777777" w:rsidR="00C31024" w:rsidRDefault="00C31024" w:rsidP="00C31024">
      <w:pPr>
        <w:spacing w:line="240" w:lineRule="auto"/>
        <w:rPr>
          <w:b/>
          <w:bCs/>
          <w:color w:val="005962" w:themeColor="accent1"/>
          <w:sz w:val="20"/>
          <w:szCs w:val="20"/>
        </w:rPr>
      </w:pPr>
      <w:r>
        <w:rPr>
          <w:b/>
          <w:bCs/>
          <w:color w:val="005962" w:themeColor="accent1"/>
          <w:sz w:val="20"/>
          <w:szCs w:val="20"/>
        </w:rPr>
        <w:t>Webinar (MS Teams)</w:t>
      </w:r>
      <w:r w:rsidRPr="00F77F04">
        <w:rPr>
          <w:b/>
          <w:bCs/>
          <w:color w:val="005962" w:themeColor="accent1"/>
          <w:sz w:val="20"/>
          <w:szCs w:val="20"/>
        </w:rPr>
        <w:t xml:space="preserve">: </w:t>
      </w:r>
      <w:bookmarkStart w:id="67" w:name="_Hlk130803206"/>
      <w:r w:rsidRPr="00F463E5">
        <w:rPr>
          <w:b/>
          <w:bCs/>
          <w:color w:val="005962" w:themeColor="accent1"/>
          <w:sz w:val="20"/>
          <w:szCs w:val="20"/>
        </w:rPr>
        <w:t>Governance processes for applying the DNSH principle</w:t>
      </w:r>
      <w:bookmarkEnd w:id="67"/>
    </w:p>
    <w:p w14:paraId="2FE6C28B" w14:textId="77777777" w:rsidR="00C31024" w:rsidRPr="00F77F04" w:rsidRDefault="00C31024" w:rsidP="00C31024">
      <w:pPr>
        <w:spacing w:line="240" w:lineRule="auto"/>
        <w:rPr>
          <w:color w:val="005962" w:themeColor="accent1"/>
          <w:sz w:val="20"/>
          <w:szCs w:val="20"/>
        </w:rPr>
      </w:pPr>
    </w:p>
    <w:tbl>
      <w:tblPr>
        <w:tblStyle w:val="Mkatabulky"/>
        <w:tblW w:w="0" w:type="auto"/>
        <w:tblLook w:val="04A0" w:firstRow="1" w:lastRow="0" w:firstColumn="1" w:lastColumn="0" w:noHBand="0" w:noVBand="1"/>
      </w:tblPr>
      <w:tblGrid>
        <w:gridCol w:w="1696"/>
        <w:gridCol w:w="2410"/>
        <w:gridCol w:w="4672"/>
      </w:tblGrid>
      <w:tr w:rsidR="00C31024" w14:paraId="362B5F62" w14:textId="77777777" w:rsidTr="00963084">
        <w:trPr>
          <w:trHeight w:val="255"/>
        </w:trPr>
        <w:tc>
          <w:tcPr>
            <w:tcW w:w="1696" w:type="dxa"/>
            <w:vAlign w:val="center"/>
          </w:tcPr>
          <w:p w14:paraId="42C2203E" w14:textId="77777777" w:rsidR="00C31024" w:rsidRDefault="00C31024" w:rsidP="00963084">
            <w:pPr>
              <w:spacing w:line="240" w:lineRule="auto"/>
              <w:ind w:left="0"/>
              <w:rPr>
                <w:color w:val="005962" w:themeColor="accent1"/>
              </w:rPr>
            </w:pPr>
            <w:r w:rsidRPr="008D0254">
              <w:rPr>
                <w:b/>
                <w:bCs/>
                <w:color w:val="005962" w:themeColor="accent1"/>
              </w:rPr>
              <w:t>Date:</w:t>
            </w:r>
            <w:r>
              <w:rPr>
                <w:color w:val="005962" w:themeColor="accent1"/>
              </w:rPr>
              <w:t xml:space="preserve"> 26/01/2023</w:t>
            </w:r>
          </w:p>
        </w:tc>
        <w:tc>
          <w:tcPr>
            <w:tcW w:w="2410" w:type="dxa"/>
            <w:vAlign w:val="center"/>
          </w:tcPr>
          <w:p w14:paraId="2C5BCAE2" w14:textId="169117CE" w:rsidR="00C31024" w:rsidRDefault="00C31024" w:rsidP="00963084">
            <w:pPr>
              <w:spacing w:line="240" w:lineRule="auto"/>
              <w:ind w:left="0"/>
              <w:rPr>
                <w:color w:val="005962" w:themeColor="accent1"/>
              </w:rPr>
            </w:pPr>
            <w:r w:rsidRPr="008D0254">
              <w:rPr>
                <w:b/>
                <w:bCs/>
                <w:color w:val="005962" w:themeColor="accent1"/>
              </w:rPr>
              <w:t>Time:</w:t>
            </w:r>
            <w:r>
              <w:rPr>
                <w:color w:val="005962" w:themeColor="accent1"/>
              </w:rPr>
              <w:t xml:space="preserve"> </w:t>
            </w:r>
            <w:r w:rsidRPr="00F24A60">
              <w:rPr>
                <w:color w:val="005962" w:themeColor="accent1"/>
              </w:rPr>
              <w:t>10.00</w:t>
            </w:r>
            <w:r w:rsidR="00901703">
              <w:rPr>
                <w:color w:val="005962" w:themeColor="accent1"/>
              </w:rPr>
              <w:t xml:space="preserve"> </w:t>
            </w:r>
            <w:r w:rsidRPr="00F24A60">
              <w:rPr>
                <w:color w:val="005962" w:themeColor="accent1"/>
              </w:rPr>
              <w:t>-</w:t>
            </w:r>
            <w:r w:rsidR="00901703">
              <w:rPr>
                <w:color w:val="005962" w:themeColor="accent1"/>
              </w:rPr>
              <w:t xml:space="preserve"> </w:t>
            </w:r>
            <w:r w:rsidRPr="00F24A60">
              <w:rPr>
                <w:color w:val="005962" w:themeColor="accent1"/>
              </w:rPr>
              <w:t>12.30h</w:t>
            </w:r>
            <w:r>
              <w:rPr>
                <w:color w:val="005962" w:themeColor="accent1"/>
              </w:rPr>
              <w:t xml:space="preserve"> CET</w:t>
            </w:r>
          </w:p>
        </w:tc>
        <w:tc>
          <w:tcPr>
            <w:tcW w:w="4672" w:type="dxa"/>
            <w:vAlign w:val="center"/>
          </w:tcPr>
          <w:p w14:paraId="58830A34" w14:textId="77777777" w:rsidR="00C31024" w:rsidRDefault="00C31024" w:rsidP="00963084">
            <w:pPr>
              <w:spacing w:line="240" w:lineRule="auto"/>
              <w:ind w:left="0"/>
              <w:rPr>
                <w:color w:val="005962" w:themeColor="accent1"/>
              </w:rPr>
            </w:pPr>
            <w:r w:rsidRPr="008D0254">
              <w:rPr>
                <w:b/>
                <w:bCs/>
                <w:color w:val="005962" w:themeColor="accent1"/>
              </w:rPr>
              <w:t>Location</w:t>
            </w:r>
            <w:r>
              <w:rPr>
                <w:color w:val="005962" w:themeColor="accent1"/>
              </w:rPr>
              <w:t xml:space="preserve">: MS Teams. The link for connection is edited automatically after the participant registered </w:t>
            </w:r>
            <w:hyperlink r:id="rId22" w:history="1">
              <w:r w:rsidRPr="00CF251E">
                <w:rPr>
                  <w:rStyle w:val="Hypertextovodkaz"/>
                </w:rPr>
                <w:t>here</w:t>
              </w:r>
            </w:hyperlink>
            <w:r>
              <w:rPr>
                <w:color w:val="005962" w:themeColor="accent1"/>
              </w:rPr>
              <w:t>.</w:t>
            </w:r>
          </w:p>
        </w:tc>
      </w:tr>
    </w:tbl>
    <w:p w14:paraId="38F6FB0F" w14:textId="77777777" w:rsidR="00C31024" w:rsidRDefault="00C31024" w:rsidP="00C31024">
      <w:pPr>
        <w:jc w:val="both"/>
      </w:pPr>
    </w:p>
    <w:p w14:paraId="73E6C3A1" w14:textId="77777777" w:rsidR="00846659" w:rsidRPr="002E516E" w:rsidRDefault="00846659" w:rsidP="00846659">
      <w:pPr>
        <w:pStyle w:val="Nadpis2"/>
        <w:numPr>
          <w:ilvl w:val="0"/>
          <w:numId w:val="0"/>
        </w:numPr>
      </w:pPr>
      <w:bookmarkStart w:id="68" w:name="_Toc128382408"/>
      <w:bookmarkStart w:id="69" w:name="_Toc131757467"/>
      <w:bookmarkStart w:id="70" w:name="_Toc131775860"/>
      <w:r>
        <w:t>About the p</w:t>
      </w:r>
      <w:r w:rsidRPr="009C3688">
        <w:t>eer-learning exchange</w:t>
      </w:r>
      <w:bookmarkEnd w:id="68"/>
      <w:bookmarkEnd w:id="69"/>
      <w:bookmarkEnd w:id="70"/>
    </w:p>
    <w:p w14:paraId="76EBFAE9" w14:textId="77777777" w:rsidR="00846659" w:rsidRPr="009C3688" w:rsidRDefault="00846659" w:rsidP="00846659">
      <w:pPr>
        <w:spacing w:line="240" w:lineRule="auto"/>
        <w:ind w:left="0"/>
        <w:rPr>
          <w:b/>
          <w:bCs/>
          <w:color w:val="F04E30" w:themeColor="accent2"/>
        </w:rPr>
      </w:pPr>
      <w:r>
        <w:rPr>
          <w:b/>
          <w:bCs/>
          <w:color w:val="F04E30" w:themeColor="accent2"/>
        </w:rPr>
        <w:t>Context</w:t>
      </w:r>
    </w:p>
    <w:p w14:paraId="5605AD8F" w14:textId="77777777" w:rsidR="00846659" w:rsidRDefault="00846659" w:rsidP="00846659">
      <w:pPr>
        <w:ind w:left="0"/>
        <w:jc w:val="both"/>
        <w:rPr>
          <w:rFonts w:eastAsia="Trebuchet MS" w:cs="Trebuchet MS"/>
          <w:color w:val="000000" w:themeColor="text1"/>
        </w:rPr>
      </w:pPr>
      <w:r>
        <w:t>A consistent</w:t>
      </w:r>
      <w:r w:rsidRPr="007E4276">
        <w:t xml:space="preserve"> application of the DNSH principle </w:t>
      </w:r>
      <w:r>
        <w:t>by public authorities</w:t>
      </w:r>
      <w:r w:rsidRPr="007E4276">
        <w:t xml:space="preserve"> </w:t>
      </w:r>
      <w:r>
        <w:t xml:space="preserve">across public funds </w:t>
      </w:r>
      <w:r w:rsidRPr="007E4276">
        <w:t>is critical to ensur</w:t>
      </w:r>
      <w:r>
        <w:t>e</w:t>
      </w:r>
      <w:r w:rsidRPr="007E4276">
        <w:t xml:space="preserve"> that </w:t>
      </w:r>
      <w:r>
        <w:t>M</w:t>
      </w:r>
      <w:r w:rsidRPr="007E4276">
        <w:t xml:space="preserve">ember </w:t>
      </w:r>
      <w:r>
        <w:t>S</w:t>
      </w:r>
      <w:r w:rsidRPr="007E4276">
        <w:t xml:space="preserve">tate public spending </w:t>
      </w:r>
      <w:r>
        <w:t xml:space="preserve">and investment </w:t>
      </w:r>
      <w:r w:rsidRPr="007E4276">
        <w:t xml:space="preserve">has no </w:t>
      </w:r>
      <w:r>
        <w:t>significantly harmful impact(-s) on the environment</w:t>
      </w:r>
      <w:r w:rsidRPr="007E4276">
        <w:t>.</w:t>
      </w:r>
      <w:r>
        <w:t xml:space="preserve"> </w:t>
      </w:r>
      <w:r w:rsidRPr="002B27FD">
        <w:rPr>
          <w:rFonts w:eastAsia="Trebuchet MS" w:cs="Trebuchet MS"/>
          <w:color w:val="000000" w:themeColor="text1"/>
        </w:rPr>
        <w:t>The inherent complexity of the DNSH principle application and its relative novelty for most stakeholders requires significant improvements in Member State capacities and know-how. It is key to enhance key staff skill sets, while also developing and streamlining internal methodologies and coherent procedures for applying the DNSH principle.</w:t>
      </w:r>
    </w:p>
    <w:p w14:paraId="32E03CF6" w14:textId="77777777" w:rsidR="00846659" w:rsidRDefault="00846659" w:rsidP="00846659">
      <w:pPr>
        <w:ind w:left="0"/>
        <w:jc w:val="both"/>
      </w:pPr>
    </w:p>
    <w:p w14:paraId="5F8F866D" w14:textId="77777777" w:rsidR="00846659" w:rsidRDefault="00846659" w:rsidP="00846659">
      <w:pPr>
        <w:ind w:left="0"/>
        <w:jc w:val="both"/>
      </w:pPr>
      <w:r>
        <w:t xml:space="preserve">In this context, the Directorate-General for Structural Reform Support (DG REFORM) of the European Commission has awarded a contract to Trinomics and the International Sustainable Finance Centre (ISFC) for provision of technical support under the Technical Support Instrument (TSI) to the Czech Republic in the </w:t>
      </w:r>
      <w:r>
        <w:rPr>
          <w:b/>
          <w:bCs/>
        </w:rPr>
        <w:t>D</w:t>
      </w:r>
      <w:r w:rsidRPr="00A21ABC">
        <w:rPr>
          <w:b/>
          <w:bCs/>
        </w:rPr>
        <w:t>evelopment of a methodology for the application of the Do No Significant Harm (DNSH) Principle at the national level in Czechia</w:t>
      </w:r>
      <w:r>
        <w:t>.</w:t>
      </w:r>
    </w:p>
    <w:p w14:paraId="2024F45E" w14:textId="77777777" w:rsidR="00846659" w:rsidRDefault="00846659" w:rsidP="00846659">
      <w:pPr>
        <w:ind w:left="0"/>
        <w:rPr>
          <w:b/>
          <w:bCs/>
          <w:color w:val="F04E30" w:themeColor="accent2"/>
        </w:rPr>
      </w:pPr>
    </w:p>
    <w:p w14:paraId="44BF7BC9" w14:textId="77777777" w:rsidR="00846659" w:rsidRPr="00984C0F" w:rsidRDefault="00846659" w:rsidP="00846659">
      <w:pPr>
        <w:ind w:left="0"/>
        <w:rPr>
          <w:b/>
          <w:bCs/>
          <w:color w:val="F04E30" w:themeColor="accent2"/>
        </w:rPr>
      </w:pPr>
      <w:r>
        <w:rPr>
          <w:b/>
          <w:bCs/>
          <w:color w:val="F04E30" w:themeColor="accent2"/>
        </w:rPr>
        <w:t>Purpose</w:t>
      </w:r>
    </w:p>
    <w:p w14:paraId="00FCAC5C" w14:textId="77777777" w:rsidR="00846659" w:rsidRPr="008E750A" w:rsidRDefault="00846659" w:rsidP="00846659">
      <w:pPr>
        <w:ind w:left="0"/>
        <w:jc w:val="both"/>
      </w:pPr>
      <w:r w:rsidRPr="00E77D82">
        <w:t>As part of the</w:t>
      </w:r>
      <w:r>
        <w:t xml:space="preserve"> </w:t>
      </w:r>
      <w:r w:rsidRPr="00E77D82">
        <w:t xml:space="preserve">contract with the European Commission, Trinomics </w:t>
      </w:r>
      <w:r>
        <w:t xml:space="preserve">and ISFC </w:t>
      </w:r>
      <w:r w:rsidRPr="00E77D82">
        <w:t>ha</w:t>
      </w:r>
      <w:r>
        <w:t>ve</w:t>
      </w:r>
      <w:r w:rsidRPr="00E77D82">
        <w:t xml:space="preserve"> been asked to develop</w:t>
      </w:r>
      <w:r>
        <w:t xml:space="preserve">, </w:t>
      </w:r>
      <w:r w:rsidRPr="00E77D82">
        <w:t xml:space="preserve">organize </w:t>
      </w:r>
      <w:r>
        <w:t>and host three (3) online</w:t>
      </w:r>
      <w:r w:rsidRPr="00E77D82">
        <w:t xml:space="preserve"> peer-learning </w:t>
      </w:r>
      <w:r>
        <w:t xml:space="preserve">and </w:t>
      </w:r>
      <w:r w:rsidRPr="00E77D82">
        <w:t>exchange</w:t>
      </w:r>
      <w:r>
        <w:t xml:space="preserve"> webinars</w:t>
      </w:r>
      <w:r w:rsidRPr="00E77D82">
        <w:t xml:space="preserve"> </w:t>
      </w:r>
      <w:r>
        <w:t xml:space="preserve">among the </w:t>
      </w:r>
      <w:r w:rsidRPr="00E77D82">
        <w:t>EU Member States.</w:t>
      </w:r>
      <w:r w:rsidRPr="001E1076">
        <w:t xml:space="preserve"> </w:t>
      </w:r>
      <w:r w:rsidRPr="008E750A">
        <w:t xml:space="preserve">The peer-learning </w:t>
      </w:r>
      <w:r>
        <w:t xml:space="preserve">and knowledge </w:t>
      </w:r>
      <w:r w:rsidRPr="008E750A">
        <w:t xml:space="preserve">exchange will provide a platform for discussion and </w:t>
      </w:r>
      <w:r>
        <w:t>capacity</w:t>
      </w:r>
      <w:r w:rsidRPr="008E750A">
        <w:t xml:space="preserve"> building</w:t>
      </w:r>
      <w:r>
        <w:t>,</w:t>
      </w:r>
      <w:r w:rsidRPr="008E750A">
        <w:t xml:space="preserve"> with participating EU Member States sharing and </w:t>
      </w:r>
      <w:r w:rsidRPr="008E750A">
        <w:rPr>
          <w:b/>
          <w:bCs/>
        </w:rPr>
        <w:t xml:space="preserve">discussing examples, practices and lessons learned </w:t>
      </w:r>
      <w:r w:rsidRPr="0C695760">
        <w:rPr>
          <w:b/>
          <w:bCs/>
        </w:rPr>
        <w:t xml:space="preserve">about </w:t>
      </w:r>
      <w:r w:rsidRPr="008E750A">
        <w:rPr>
          <w:b/>
          <w:bCs/>
        </w:rPr>
        <w:t>the implementation of the DNSH principle to date</w:t>
      </w:r>
      <w:r w:rsidRPr="008E750A">
        <w:t xml:space="preserve">. </w:t>
      </w:r>
    </w:p>
    <w:p w14:paraId="786CECD5" w14:textId="77777777" w:rsidR="00846659" w:rsidRDefault="00846659" w:rsidP="00846659">
      <w:pPr>
        <w:ind w:left="0"/>
        <w:jc w:val="both"/>
      </w:pPr>
    </w:p>
    <w:p w14:paraId="05C6960E" w14:textId="77777777" w:rsidR="00846659" w:rsidRDefault="00846659" w:rsidP="00846659">
      <w:pPr>
        <w:ind w:left="0"/>
        <w:jc w:val="both"/>
      </w:pPr>
      <w:r>
        <w:t xml:space="preserve">The discussions will mainly focus on the challenges related to the application of the DNSH principle faced by the Czech authorities. The same (or similar) challenges have appeared in other Member States, with presentations and focus cases mostly addressing experiences and examples from the application of the DNSH principle within </w:t>
      </w:r>
      <w:r w:rsidDel="00486DD3">
        <w:t>the</w:t>
      </w:r>
      <w:r>
        <w:t xml:space="preserve"> Recovery and Resilience Facility (RRF</w:t>
      </w:r>
      <w:r w:rsidDel="00486DD3">
        <w:t>)</w:t>
      </w:r>
      <w:r>
        <w:t>.</w:t>
      </w:r>
    </w:p>
    <w:p w14:paraId="2E773AAE" w14:textId="77777777" w:rsidR="00846659" w:rsidRDefault="00846659" w:rsidP="00846659">
      <w:pPr>
        <w:ind w:left="0"/>
        <w:jc w:val="both"/>
        <w:rPr>
          <w:b/>
          <w:bCs/>
        </w:rPr>
      </w:pPr>
    </w:p>
    <w:p w14:paraId="2F12E367" w14:textId="77777777" w:rsidR="00846659" w:rsidRDefault="00846659" w:rsidP="00846659">
      <w:pPr>
        <w:ind w:left="0"/>
        <w:jc w:val="both"/>
        <w:rPr>
          <w:b/>
        </w:rPr>
      </w:pPr>
      <w:r w:rsidRPr="0C695760">
        <w:rPr>
          <w:b/>
          <w:bCs/>
        </w:rPr>
        <w:t>The</w:t>
      </w:r>
      <w:r w:rsidRPr="00980B90">
        <w:rPr>
          <w:b/>
          <w:bCs/>
        </w:rPr>
        <w:t xml:space="preserve"> peer</w:t>
      </w:r>
      <w:r>
        <w:rPr>
          <w:b/>
          <w:bCs/>
        </w:rPr>
        <w:t>-</w:t>
      </w:r>
      <w:r w:rsidRPr="00980B90">
        <w:rPr>
          <w:b/>
          <w:bCs/>
        </w:rPr>
        <w:t xml:space="preserve">learning aims to benefit all participating </w:t>
      </w:r>
      <w:r>
        <w:rPr>
          <w:b/>
          <w:bCs/>
        </w:rPr>
        <w:t>M</w:t>
      </w:r>
      <w:r w:rsidRPr="00980B90">
        <w:rPr>
          <w:b/>
          <w:bCs/>
        </w:rPr>
        <w:t xml:space="preserve">ember </w:t>
      </w:r>
      <w:r>
        <w:rPr>
          <w:b/>
          <w:bCs/>
        </w:rPr>
        <w:t>S</w:t>
      </w:r>
      <w:r w:rsidRPr="00980B90">
        <w:rPr>
          <w:b/>
          <w:bCs/>
        </w:rPr>
        <w:t>tates</w:t>
      </w:r>
      <w:r w:rsidRPr="0C695760">
        <w:rPr>
          <w:b/>
          <w:bCs/>
        </w:rPr>
        <w:t xml:space="preserve">. We will </w:t>
      </w:r>
      <w:r w:rsidRPr="00A21ABC">
        <w:rPr>
          <w:b/>
          <w:bCs/>
        </w:rPr>
        <w:t>produce</w:t>
      </w:r>
      <w:r w:rsidRPr="00A21ABC">
        <w:rPr>
          <w:b/>
        </w:rPr>
        <w:t xml:space="preserve"> a deliverable with lessons learnt and good practices that can be shared with all Member States</w:t>
      </w:r>
      <w:r>
        <w:rPr>
          <w:rStyle w:val="Znakapoznpodarou"/>
          <w:b/>
        </w:rPr>
        <w:footnoteReference w:id="9"/>
      </w:r>
      <w:r w:rsidRPr="00A21ABC">
        <w:rPr>
          <w:b/>
          <w:bCs/>
        </w:rPr>
        <w:t>.</w:t>
      </w:r>
      <w:r w:rsidRPr="00A21ABC">
        <w:rPr>
          <w:b/>
        </w:rPr>
        <w:t xml:space="preserve"> </w:t>
      </w:r>
      <w:r w:rsidRPr="0C695760">
        <w:rPr>
          <w:b/>
          <w:bCs/>
        </w:rPr>
        <w:t>The w</w:t>
      </w:r>
      <w:r w:rsidRPr="00A21ABC">
        <w:rPr>
          <w:b/>
          <w:bCs/>
        </w:rPr>
        <w:t>ebinars</w:t>
      </w:r>
      <w:r w:rsidRPr="00A21ABC">
        <w:rPr>
          <w:b/>
        </w:rPr>
        <w:t xml:space="preserve"> will contribute more broadly to advancing and </w:t>
      </w:r>
      <w:r w:rsidRPr="00A21ABC">
        <w:rPr>
          <w:b/>
          <w:bCs/>
        </w:rPr>
        <w:t>scal</w:t>
      </w:r>
      <w:r w:rsidRPr="0C695760">
        <w:rPr>
          <w:b/>
          <w:bCs/>
        </w:rPr>
        <w:t>ing</w:t>
      </w:r>
      <w:r w:rsidRPr="00A21ABC">
        <w:rPr>
          <w:b/>
        </w:rPr>
        <w:t xml:space="preserve"> up the green transition within the EU and its Member States.</w:t>
      </w:r>
    </w:p>
    <w:p w14:paraId="02AAB71F" w14:textId="77777777" w:rsidR="00846659" w:rsidRDefault="00846659" w:rsidP="00846659">
      <w:pPr>
        <w:ind w:left="0"/>
        <w:rPr>
          <w:b/>
          <w:bCs/>
          <w:color w:val="F04E30" w:themeColor="accent2"/>
        </w:rPr>
      </w:pPr>
    </w:p>
    <w:p w14:paraId="6A3FC56D" w14:textId="77777777" w:rsidR="00846659" w:rsidRPr="003C4797" w:rsidRDefault="00846659" w:rsidP="00846659">
      <w:pPr>
        <w:ind w:left="0"/>
        <w:rPr>
          <w:b/>
          <w:bCs/>
          <w:color w:val="F04E30" w:themeColor="accent2"/>
        </w:rPr>
      </w:pPr>
      <w:r>
        <w:rPr>
          <w:b/>
          <w:bCs/>
          <w:color w:val="F04E30" w:themeColor="accent2"/>
        </w:rPr>
        <w:lastRenderedPageBreak/>
        <w:t>About the webinars</w:t>
      </w:r>
    </w:p>
    <w:p w14:paraId="2B85C40A" w14:textId="77777777" w:rsidR="00846659" w:rsidRDefault="00846659" w:rsidP="00846659">
      <w:pPr>
        <w:ind w:left="0"/>
        <w:jc w:val="both"/>
      </w:pPr>
      <w:r>
        <w:t>The peer learning exercise will consist of 3 webinars, each focusing on a specific challenge.</w:t>
      </w:r>
    </w:p>
    <w:p w14:paraId="45BE6B28" w14:textId="77777777" w:rsidR="00846659" w:rsidRDefault="00846659" w:rsidP="00846659">
      <w:pPr>
        <w:pStyle w:val="Odstavecseseznamem"/>
        <w:numPr>
          <w:ilvl w:val="0"/>
          <w:numId w:val="15"/>
        </w:numPr>
        <w:spacing w:before="120" w:after="120" w:line="280" w:lineRule="exact"/>
        <w:jc w:val="both"/>
      </w:pPr>
      <w:r w:rsidRPr="004E6571">
        <w:t>Webinar 1</w:t>
      </w:r>
      <w:r>
        <w:t xml:space="preserve">: </w:t>
      </w:r>
      <w:r w:rsidRPr="00F463E5">
        <w:t>Governance processes for applying the DNSH principle</w:t>
      </w:r>
    </w:p>
    <w:p w14:paraId="3521A7DC" w14:textId="77777777" w:rsidR="00846659" w:rsidRDefault="00846659" w:rsidP="00846659">
      <w:pPr>
        <w:pStyle w:val="Odstavecseseznamem"/>
        <w:numPr>
          <w:ilvl w:val="0"/>
          <w:numId w:val="15"/>
        </w:numPr>
        <w:spacing w:before="120" w:after="120" w:line="280" w:lineRule="exact"/>
        <w:jc w:val="both"/>
      </w:pPr>
      <w:r>
        <w:t xml:space="preserve">Webinar 2: </w:t>
      </w:r>
      <w:r w:rsidRPr="004177AD">
        <w:t xml:space="preserve">Implementation of simplified and </w:t>
      </w:r>
      <w:r>
        <w:t>detailed</w:t>
      </w:r>
      <w:r w:rsidRPr="004177AD">
        <w:t xml:space="preserve"> DNSH assessments</w:t>
      </w:r>
    </w:p>
    <w:p w14:paraId="673183F4" w14:textId="77777777" w:rsidR="00846659" w:rsidRDefault="00846659" w:rsidP="00846659">
      <w:pPr>
        <w:pStyle w:val="Odstavecseseznamem"/>
        <w:numPr>
          <w:ilvl w:val="0"/>
          <w:numId w:val="15"/>
        </w:numPr>
        <w:spacing w:line="280" w:lineRule="exact"/>
        <w:jc w:val="both"/>
      </w:pPr>
      <w:r>
        <w:t xml:space="preserve">Webinar 3: </w:t>
      </w:r>
      <w:r w:rsidRPr="004177AD">
        <w:t xml:space="preserve">Application of the DNSH principle to </w:t>
      </w:r>
      <w:r>
        <w:t xml:space="preserve">R&amp;D and green </w:t>
      </w:r>
      <w:r w:rsidRPr="004177AD">
        <w:t>innovati</w:t>
      </w:r>
      <w:r>
        <w:t>on projects</w:t>
      </w:r>
    </w:p>
    <w:p w14:paraId="71A00A18" w14:textId="77777777" w:rsidR="00846659" w:rsidRDefault="00846659" w:rsidP="00846659">
      <w:pPr>
        <w:ind w:left="0"/>
        <w:jc w:val="both"/>
      </w:pPr>
    </w:p>
    <w:p w14:paraId="23B02E7C" w14:textId="77777777" w:rsidR="00846659" w:rsidRDefault="00846659" w:rsidP="00846659">
      <w:pPr>
        <w:ind w:left="0"/>
        <w:jc w:val="both"/>
      </w:pPr>
      <w:r w:rsidRPr="00D37264">
        <w:t>Prior to</w:t>
      </w:r>
      <w:r>
        <w:t xml:space="preserve"> designing </w:t>
      </w:r>
      <w:r w:rsidRPr="00D37264">
        <w:t xml:space="preserve">the </w:t>
      </w:r>
      <w:r>
        <w:t>webinar</w:t>
      </w:r>
      <w:r w:rsidRPr="00D37264">
        <w:t xml:space="preserve">s, Trinomics </w:t>
      </w:r>
      <w:r>
        <w:t xml:space="preserve">conducted desk research and </w:t>
      </w:r>
      <w:r w:rsidRPr="00D37264">
        <w:t xml:space="preserve">interviewed </w:t>
      </w:r>
      <w:r>
        <w:t>a selected group of M</w:t>
      </w:r>
      <w:r w:rsidRPr="00D37264">
        <w:t xml:space="preserve">ember </w:t>
      </w:r>
      <w:r>
        <w:t>S</w:t>
      </w:r>
      <w:r w:rsidRPr="00D37264">
        <w:t xml:space="preserve">tates that </w:t>
      </w:r>
      <w:r>
        <w:t>were</w:t>
      </w:r>
      <w:r w:rsidRPr="00D37264">
        <w:t xml:space="preserve"> identified as </w:t>
      </w:r>
      <w:r>
        <w:t>either having similar governance set ups or</w:t>
      </w:r>
      <w:r w:rsidRPr="00D37264">
        <w:t xml:space="preserve"> good practices</w:t>
      </w:r>
      <w:r>
        <w:t xml:space="preserve"> for applying the DNSH principle</w:t>
      </w:r>
      <w:r w:rsidRPr="00D37264">
        <w:t>.</w:t>
      </w:r>
      <w:r>
        <w:t xml:space="preserve"> </w:t>
      </w:r>
      <w:r w:rsidRPr="00F145DA">
        <w:t xml:space="preserve">These exchanges were useful to </w:t>
      </w:r>
      <w:r>
        <w:t xml:space="preserve">better </w:t>
      </w:r>
      <w:r w:rsidRPr="00F145DA">
        <w:t xml:space="preserve">understand the state of play of </w:t>
      </w:r>
      <w:r>
        <w:t>the DNSH principle</w:t>
      </w:r>
      <w:r w:rsidRPr="00F145DA">
        <w:t xml:space="preserve"> implementation in Europe, and to learn about different approaches to similar DNSH </w:t>
      </w:r>
      <w:r>
        <w:t xml:space="preserve">application </w:t>
      </w:r>
      <w:r w:rsidRPr="00F145DA">
        <w:t xml:space="preserve">challenges. </w:t>
      </w:r>
      <w:r w:rsidRPr="00AC37FB">
        <w:t xml:space="preserve">As a result, </w:t>
      </w:r>
      <w:r w:rsidRPr="0C695760">
        <w:rPr>
          <w:b/>
        </w:rPr>
        <w:t>Austria, Belgium, Finland, Slovakia</w:t>
      </w:r>
      <w:r>
        <w:t xml:space="preserve"> and </w:t>
      </w:r>
      <w:r w:rsidRPr="0C695760">
        <w:rPr>
          <w:b/>
        </w:rPr>
        <w:t>Spain</w:t>
      </w:r>
      <w:r w:rsidRPr="00AC37FB">
        <w:t xml:space="preserve"> have been invited to showcase</w:t>
      </w:r>
      <w:r>
        <w:t xml:space="preserve"> their</w:t>
      </w:r>
      <w:r w:rsidRPr="00AC37FB">
        <w:t xml:space="preserve"> good practices </w:t>
      </w:r>
      <w:r>
        <w:t xml:space="preserve">and examples </w:t>
      </w:r>
      <w:r w:rsidRPr="00AC37FB">
        <w:t>in dealing with different DNSH challenges</w:t>
      </w:r>
      <w:r>
        <w:t xml:space="preserve">, next to </w:t>
      </w:r>
      <w:r w:rsidRPr="0C695760">
        <w:rPr>
          <w:b/>
        </w:rPr>
        <w:t>Czechia</w:t>
      </w:r>
      <w:r>
        <w:t xml:space="preserve"> presenting their experience</w:t>
      </w:r>
      <w:r w:rsidRPr="00AC37FB">
        <w:t>.</w:t>
      </w:r>
    </w:p>
    <w:p w14:paraId="61DBC25C" w14:textId="77777777" w:rsidR="00C31024" w:rsidRDefault="00C31024" w:rsidP="00C31024">
      <w:pPr>
        <w:jc w:val="both"/>
      </w:pPr>
    </w:p>
    <w:p w14:paraId="46BC3A8F" w14:textId="77777777" w:rsidR="00C31024" w:rsidRPr="00A54082" w:rsidRDefault="00C31024" w:rsidP="00C31024">
      <w:pPr>
        <w:pStyle w:val="Nadpis2"/>
        <w:numPr>
          <w:ilvl w:val="0"/>
          <w:numId w:val="0"/>
        </w:numPr>
      </w:pPr>
      <w:bookmarkStart w:id="71" w:name="_Toc128382409"/>
      <w:bookmarkStart w:id="72" w:name="_Toc131757468"/>
      <w:bookmarkStart w:id="73" w:name="_Toc131775861"/>
      <w:r>
        <w:t>Webinar 1: Governance processes for applying the DNSH principle</w:t>
      </w:r>
      <w:bookmarkEnd w:id="71"/>
      <w:bookmarkEnd w:id="72"/>
      <w:bookmarkEnd w:id="73"/>
    </w:p>
    <w:p w14:paraId="3E1F5272" w14:textId="77777777" w:rsidR="00C31024" w:rsidRPr="006317C2" w:rsidRDefault="00C31024" w:rsidP="00DB1B88">
      <w:pPr>
        <w:ind w:left="0"/>
        <w:rPr>
          <w:b/>
          <w:bCs/>
          <w:color w:val="F04E30" w:themeColor="accent2"/>
        </w:rPr>
      </w:pPr>
      <w:r>
        <w:rPr>
          <w:b/>
          <w:bCs/>
          <w:color w:val="F04E30" w:themeColor="accent2"/>
        </w:rPr>
        <w:t xml:space="preserve">About the challenge </w:t>
      </w:r>
    </w:p>
    <w:p w14:paraId="52AAB8BA" w14:textId="77777777" w:rsidR="00C31024" w:rsidRDefault="00C31024" w:rsidP="00DB1B88">
      <w:pPr>
        <w:ind w:left="0"/>
        <w:jc w:val="both"/>
      </w:pPr>
      <w:r w:rsidRPr="001B3076">
        <w:t xml:space="preserve">Building on technical consultations with stakeholders in Czechia and other </w:t>
      </w:r>
      <w:r>
        <w:t xml:space="preserve">EU </w:t>
      </w:r>
      <w:r w:rsidRPr="001B3076">
        <w:t xml:space="preserve">Member States, this </w:t>
      </w:r>
      <w:r w:rsidRPr="0C695760">
        <w:rPr>
          <w:b/>
        </w:rPr>
        <w:t>first webinar</w:t>
      </w:r>
      <w:r w:rsidRPr="001B3076">
        <w:t xml:space="preserve"> will focus on the experiences and practices of selected Member States </w:t>
      </w:r>
      <w:r>
        <w:t xml:space="preserve">to ensure </w:t>
      </w:r>
      <w:r w:rsidRPr="0C695760">
        <w:rPr>
          <w:b/>
        </w:rPr>
        <w:t>good governance of the DNSH application processes</w:t>
      </w:r>
      <w:r>
        <w:t>. It will</w:t>
      </w:r>
      <w:r w:rsidRPr="003D1FF5">
        <w:t xml:space="preserve"> </w:t>
      </w:r>
      <w:r>
        <w:t xml:space="preserve">address </w:t>
      </w:r>
      <w:r w:rsidRPr="003D1FF5">
        <w:t xml:space="preserve">the challenges of establishing an efficient </w:t>
      </w:r>
      <w:r>
        <w:t>governance system</w:t>
      </w:r>
      <w:r w:rsidRPr="003D1FF5">
        <w:t xml:space="preserve"> and processes to implement DNSH guidelines, including</w:t>
      </w:r>
      <w:r>
        <w:t xml:space="preserve">: </w:t>
      </w:r>
    </w:p>
    <w:p w14:paraId="7A7DA530" w14:textId="77777777" w:rsidR="00C31024" w:rsidRPr="00963084" w:rsidRDefault="00C31024" w:rsidP="00963084">
      <w:pPr>
        <w:pStyle w:val="Odstavecseseznamem"/>
      </w:pPr>
      <w:r w:rsidRPr="00963084">
        <w:t xml:space="preserve">Changes to the way that public spending is appraised, assessed and monitored; </w:t>
      </w:r>
    </w:p>
    <w:p w14:paraId="413718AD" w14:textId="77777777" w:rsidR="00C31024" w:rsidRPr="00963084" w:rsidRDefault="00C31024" w:rsidP="00963084">
      <w:pPr>
        <w:pStyle w:val="Odstavecseseznamem"/>
      </w:pPr>
      <w:r w:rsidRPr="00963084">
        <w:t>Evaluation and distribution of public funds for programme and project applications; and</w:t>
      </w:r>
    </w:p>
    <w:p w14:paraId="79BA7099" w14:textId="77777777" w:rsidR="00C31024" w:rsidRPr="00963084" w:rsidRDefault="00C31024" w:rsidP="00963084">
      <w:pPr>
        <w:pStyle w:val="Odstavecseseznamem"/>
      </w:pPr>
      <w:r w:rsidRPr="00963084">
        <w:t xml:space="preserve">Minimisation of bureaucracy and inconsistencies across different government agencies. </w:t>
      </w:r>
    </w:p>
    <w:p w14:paraId="30A1E340" w14:textId="77777777" w:rsidR="00963084" w:rsidRDefault="00963084" w:rsidP="00C31024">
      <w:pPr>
        <w:jc w:val="both"/>
      </w:pPr>
    </w:p>
    <w:p w14:paraId="126431C5" w14:textId="6DF6E059" w:rsidR="00C31024" w:rsidRDefault="00C31024" w:rsidP="00DB1B88">
      <w:pPr>
        <w:ind w:left="0"/>
        <w:jc w:val="both"/>
      </w:pPr>
      <w:r w:rsidRPr="003D1FF5">
        <w:t xml:space="preserve">In addition, the </w:t>
      </w:r>
      <w:r>
        <w:t>webinar</w:t>
      </w:r>
      <w:r w:rsidRPr="003D1FF5">
        <w:t xml:space="preserve"> will cover the importance of </w:t>
      </w:r>
      <w:r w:rsidRPr="00E84A65">
        <w:rPr>
          <w:b/>
        </w:rPr>
        <w:t xml:space="preserve">capacity building </w:t>
      </w:r>
      <w:r>
        <w:rPr>
          <w:b/>
          <w:bCs/>
        </w:rPr>
        <w:t>to</w:t>
      </w:r>
      <w:r w:rsidRPr="00E84A65">
        <w:rPr>
          <w:b/>
          <w:bCs/>
        </w:rPr>
        <w:t xml:space="preserve"> enhanc</w:t>
      </w:r>
      <w:r>
        <w:rPr>
          <w:b/>
          <w:bCs/>
        </w:rPr>
        <w:t>e</w:t>
      </w:r>
      <w:r w:rsidRPr="00E84A65">
        <w:rPr>
          <w:b/>
          <w:bCs/>
        </w:rPr>
        <w:t xml:space="preserve"> </w:t>
      </w:r>
      <w:r>
        <w:rPr>
          <w:b/>
          <w:bCs/>
        </w:rPr>
        <w:t xml:space="preserve">the </w:t>
      </w:r>
      <w:r w:rsidRPr="00E84A65">
        <w:rPr>
          <w:b/>
        </w:rPr>
        <w:t>DNSH-related knowledge and processes</w:t>
      </w:r>
      <w:r>
        <w:rPr>
          <w:b/>
          <w:bCs/>
        </w:rPr>
        <w:t xml:space="preserve">. </w:t>
      </w:r>
      <w:r w:rsidRPr="00A21ABC">
        <w:t>These should</w:t>
      </w:r>
      <w:r w:rsidRPr="003D1FF5">
        <w:t xml:space="preserve"> ensure that </w:t>
      </w:r>
      <w:r>
        <w:t xml:space="preserve">the </w:t>
      </w:r>
      <w:r w:rsidRPr="003D1FF5">
        <w:t xml:space="preserve">responsible </w:t>
      </w:r>
      <w:r>
        <w:t xml:space="preserve">managing </w:t>
      </w:r>
      <w:r w:rsidRPr="003D1FF5">
        <w:t>authorities and fund</w:t>
      </w:r>
      <w:r>
        <w:t>ing</w:t>
      </w:r>
      <w:r w:rsidRPr="003D1FF5">
        <w:t xml:space="preserve"> applicants can effectively identify, assess, and mitigate the potential sustainability risks and impacts of projects. The </w:t>
      </w:r>
      <w:r>
        <w:t>webinar</w:t>
      </w:r>
      <w:r w:rsidRPr="003D1FF5">
        <w:t xml:space="preserve"> will also discuss the </w:t>
      </w:r>
      <w:r>
        <w:t>governance</w:t>
      </w:r>
      <w:r w:rsidRPr="003D1FF5">
        <w:t xml:space="preserve"> </w:t>
      </w:r>
      <w:r>
        <w:t xml:space="preserve">of the data needed to conduct </w:t>
      </w:r>
      <w:r w:rsidRPr="003D1FF5">
        <w:t xml:space="preserve">DNSH </w:t>
      </w:r>
      <w:r>
        <w:t>assessments</w:t>
      </w:r>
      <w:r w:rsidRPr="003D1FF5">
        <w:t>.</w:t>
      </w:r>
    </w:p>
    <w:p w14:paraId="583985D2" w14:textId="77777777" w:rsidR="00963084" w:rsidRDefault="00963084" w:rsidP="00C31024">
      <w:pPr>
        <w:jc w:val="both"/>
      </w:pPr>
    </w:p>
    <w:p w14:paraId="28D60EA9" w14:textId="6B3D41CE" w:rsidR="00C31024" w:rsidRPr="00840648" w:rsidRDefault="00C31024" w:rsidP="00DB1B88">
      <w:pPr>
        <w:pStyle w:val="Nadpis4"/>
        <w:ind w:firstLine="0"/>
      </w:pPr>
      <w:r>
        <w:t>Approach used for the webinars</w:t>
      </w:r>
    </w:p>
    <w:p w14:paraId="36FD424C" w14:textId="77777777" w:rsidR="00C31024" w:rsidRPr="00B34D5A" w:rsidRDefault="00C31024" w:rsidP="00DB1B88">
      <w:pPr>
        <w:ind w:left="0"/>
        <w:jc w:val="both"/>
        <w:rPr>
          <w:b/>
          <w:bCs/>
          <w:color w:val="005962" w:themeColor="accent1"/>
        </w:rPr>
      </w:pPr>
      <w:r w:rsidRPr="00B34D5A">
        <w:rPr>
          <w:b/>
          <w:bCs/>
          <w:color w:val="005962" w:themeColor="accent1"/>
        </w:rPr>
        <w:t>Part I: Introduction and setting the scene</w:t>
      </w:r>
    </w:p>
    <w:p w14:paraId="2CE53816" w14:textId="77777777" w:rsidR="00C31024" w:rsidRDefault="00C31024" w:rsidP="00DB1B88">
      <w:pPr>
        <w:ind w:left="0"/>
        <w:jc w:val="both"/>
      </w:pPr>
      <w:r w:rsidRPr="007E7165">
        <w:t xml:space="preserve">The </w:t>
      </w:r>
      <w:r>
        <w:t>webinar</w:t>
      </w:r>
      <w:r w:rsidRPr="007E7165">
        <w:t xml:space="preserve"> will start by giving a brief </w:t>
      </w:r>
      <w:r>
        <w:t>introduction</w:t>
      </w:r>
      <w:r w:rsidRPr="007E7165">
        <w:t xml:space="preserve"> about the </w:t>
      </w:r>
      <w:r w:rsidRPr="0C695760">
        <w:rPr>
          <w:b/>
        </w:rPr>
        <w:t xml:space="preserve">agenda and objectives </w:t>
      </w:r>
      <w:r w:rsidRPr="0C695760">
        <w:rPr>
          <w:b/>
          <w:bCs/>
        </w:rPr>
        <w:t>of</w:t>
      </w:r>
      <w:r w:rsidRPr="0C695760">
        <w:rPr>
          <w:b/>
        </w:rPr>
        <w:t xml:space="preserve"> the webinar</w:t>
      </w:r>
      <w:r w:rsidRPr="007E7165">
        <w:t>, and will be followed by presentation</w:t>
      </w:r>
      <w:r>
        <w:t xml:space="preserve">s from the project team and representatives of Czechia, Spain and Belgium about </w:t>
      </w:r>
      <w:r w:rsidRPr="009128E4">
        <w:t xml:space="preserve">their </w:t>
      </w:r>
      <w:r>
        <w:t xml:space="preserve">specific practice (“focus case”) in relation to the webinar’s challenge. The </w:t>
      </w:r>
      <w:r w:rsidRPr="0C695760">
        <w:rPr>
          <w:b/>
        </w:rPr>
        <w:t>project team</w:t>
      </w:r>
      <w:r>
        <w:rPr>
          <w:b/>
          <w:bCs/>
        </w:rPr>
        <w:t xml:space="preserve"> (ISFC)</w:t>
      </w:r>
      <w:r>
        <w:t xml:space="preserve"> will start setting the scene around the challenge by putting this within the Czech context (based on the diagnostic analysis carried out in 2022). </w:t>
      </w:r>
      <w:r w:rsidRPr="0C695760">
        <w:rPr>
          <w:b/>
        </w:rPr>
        <w:t>Czechia</w:t>
      </w:r>
      <w:r>
        <w:t xml:space="preserve"> will then</w:t>
      </w:r>
      <w:r w:rsidRPr="001A0BFA">
        <w:t xml:space="preserve"> </w:t>
      </w:r>
      <w:r>
        <w:t xml:space="preserve">present the specific example on the use and implementation of the recently adopted framework guidelines for DNSH and climate proofing (CP) of CPR funding, which are the result of cooperation between governmental departments to put forward a consistent methodology across all Czech authorities. </w:t>
      </w:r>
      <w:r w:rsidRPr="0C695760">
        <w:rPr>
          <w:b/>
        </w:rPr>
        <w:t>Spain</w:t>
      </w:r>
      <w:r w:rsidRPr="001A0BFA">
        <w:t xml:space="preserve"> will follow</w:t>
      </w:r>
      <w:r w:rsidRPr="004177AD">
        <w:t xml:space="preserve"> </w:t>
      </w:r>
      <w:r w:rsidRPr="001A0BFA">
        <w:t xml:space="preserve">by </w:t>
      </w:r>
      <w:r>
        <w:t xml:space="preserve">presenting </w:t>
      </w:r>
      <w:r w:rsidRPr="001A0BFA">
        <w:t xml:space="preserve">the DNSH capacity building program that is being implemented </w:t>
      </w:r>
      <w:r>
        <w:t xml:space="preserve">in order to support RRP implementation and to build capacity related to DNSH methodologies. Finally, </w:t>
      </w:r>
      <w:r w:rsidRPr="0C695760">
        <w:rPr>
          <w:b/>
        </w:rPr>
        <w:t>Belgium</w:t>
      </w:r>
      <w:r>
        <w:t xml:space="preserve"> will conclude the agenda before the coffee break by talking through the process of decision making and</w:t>
      </w:r>
      <w:r w:rsidRPr="001A0BFA">
        <w:t xml:space="preserve"> implementation of a DNSH expertise </w:t>
      </w:r>
      <w:r w:rsidRPr="006C2925">
        <w:rPr>
          <w:lang w:val="en-GB"/>
        </w:rPr>
        <w:t>centre</w:t>
      </w:r>
      <w:r w:rsidRPr="001A0BFA">
        <w:t xml:space="preserve"> and helpdesk for support</w:t>
      </w:r>
      <w:r>
        <w:t xml:space="preserve">ing national and regional authorities in their DNSH assessments. </w:t>
      </w:r>
    </w:p>
    <w:p w14:paraId="6575BCAD" w14:textId="77777777" w:rsidR="00963084" w:rsidRDefault="00963084" w:rsidP="00C31024">
      <w:pPr>
        <w:jc w:val="both"/>
      </w:pPr>
    </w:p>
    <w:p w14:paraId="70A5774F" w14:textId="77777777" w:rsidR="00C31024" w:rsidRPr="00A4662C" w:rsidRDefault="00C31024" w:rsidP="00DB1B88">
      <w:pPr>
        <w:ind w:left="0"/>
        <w:jc w:val="both"/>
        <w:rPr>
          <w:b/>
          <w:bCs/>
          <w:color w:val="005962" w:themeColor="accent1"/>
        </w:rPr>
      </w:pPr>
      <w:r w:rsidRPr="00A4662C">
        <w:rPr>
          <w:b/>
          <w:bCs/>
          <w:color w:val="005962" w:themeColor="accent1"/>
        </w:rPr>
        <w:t>Part II: Panel discussion – DNSH Governance</w:t>
      </w:r>
    </w:p>
    <w:p w14:paraId="16DF114E" w14:textId="77777777" w:rsidR="00C31024" w:rsidRDefault="00C31024" w:rsidP="00DB1B88">
      <w:pPr>
        <w:ind w:left="0"/>
        <w:jc w:val="both"/>
      </w:pPr>
      <w:r>
        <w:lastRenderedPageBreak/>
        <w:t>P</w:t>
      </w:r>
      <w:r w:rsidRPr="00851F5C">
        <w:t xml:space="preserve">resentations from Member States will set the stage for the </w:t>
      </w:r>
      <w:r w:rsidRPr="00EE0A59">
        <w:rPr>
          <w:b/>
        </w:rPr>
        <w:t>panel discussion</w:t>
      </w:r>
      <w:r w:rsidRPr="00851F5C">
        <w:t>, which will be guided by open questions developed based on the technical consultations with stakeholders in Czechia and other EU Member States</w:t>
      </w:r>
      <w:r>
        <w:t xml:space="preserve">. The panel discussion will also allow participants to ask questions in relation to the practices and examples presented in Part I of the webinar. </w:t>
      </w:r>
      <w:r w:rsidRPr="00851F5C">
        <w:t xml:space="preserve">The </w:t>
      </w:r>
      <w:r>
        <w:t xml:space="preserve">panel discussion questions have been developed so that Member States can </w:t>
      </w:r>
      <w:r w:rsidRPr="0013232C">
        <w:t xml:space="preserve">gain </w:t>
      </w:r>
      <w:r w:rsidRPr="00EE0A59">
        <w:rPr>
          <w:b/>
        </w:rPr>
        <w:t>new insights, ideas, and perspectives</w:t>
      </w:r>
      <w:r w:rsidRPr="00C45B84">
        <w:t xml:space="preserve"> on measures to be adopted and actors to be involved to overcome each of barriers</w:t>
      </w:r>
      <w:r>
        <w:t xml:space="preserve"> related to DNSH governance. </w:t>
      </w:r>
    </w:p>
    <w:p w14:paraId="13D2109F" w14:textId="77777777" w:rsidR="00963084" w:rsidRDefault="00963084" w:rsidP="00C31024">
      <w:pPr>
        <w:jc w:val="both"/>
      </w:pPr>
    </w:p>
    <w:p w14:paraId="06A79DB4" w14:textId="77777777" w:rsidR="00C31024" w:rsidRPr="00840648" w:rsidRDefault="00C31024" w:rsidP="00C31024">
      <w:pPr>
        <w:pStyle w:val="Nadpis4"/>
        <w:ind w:firstLine="0"/>
      </w:pPr>
      <w:r>
        <w:t>Programme</w:t>
      </w:r>
    </w:p>
    <w:tbl>
      <w:tblPr>
        <w:tblStyle w:val="Mkatabulky"/>
        <w:tblW w:w="0" w:type="auto"/>
        <w:tblLook w:val="04A0" w:firstRow="1" w:lastRow="0" w:firstColumn="1" w:lastColumn="0" w:noHBand="0" w:noVBand="1"/>
      </w:tblPr>
      <w:tblGrid>
        <w:gridCol w:w="1271"/>
        <w:gridCol w:w="4820"/>
        <w:gridCol w:w="2687"/>
      </w:tblGrid>
      <w:tr w:rsidR="00C31024" w:rsidRPr="00FE6237" w14:paraId="77CDF561" w14:textId="77777777" w:rsidTr="00AD0FB6">
        <w:trPr>
          <w:trHeight w:val="279"/>
        </w:trPr>
        <w:tc>
          <w:tcPr>
            <w:tcW w:w="0" w:type="auto"/>
            <w:gridSpan w:val="3"/>
            <w:shd w:val="clear" w:color="auto" w:fill="005962" w:themeFill="accent1"/>
          </w:tcPr>
          <w:p w14:paraId="6759B6FD" w14:textId="77777777" w:rsidR="00C31024" w:rsidRPr="008E434A" w:rsidRDefault="00C31024" w:rsidP="00963084">
            <w:pPr>
              <w:spacing w:line="260" w:lineRule="atLeast"/>
              <w:ind w:left="0"/>
              <w:rPr>
                <w:b/>
                <w:bCs/>
                <w:color w:val="FFFFFF" w:themeColor="background1"/>
                <w:szCs w:val="18"/>
              </w:rPr>
            </w:pPr>
            <w:r w:rsidRPr="008E434A">
              <w:rPr>
                <w:b/>
                <w:bCs/>
                <w:color w:val="FFFFFF" w:themeColor="background1"/>
                <w:szCs w:val="18"/>
              </w:rPr>
              <w:t>Part I: Introduction and setting the scene</w:t>
            </w:r>
          </w:p>
        </w:tc>
      </w:tr>
      <w:tr w:rsidR="00C31024" w:rsidRPr="00820A53" w14:paraId="7075EBFA" w14:textId="77777777">
        <w:trPr>
          <w:trHeight w:val="347"/>
        </w:trPr>
        <w:tc>
          <w:tcPr>
            <w:tcW w:w="8778" w:type="dxa"/>
            <w:gridSpan w:val="3"/>
            <w:tcMar>
              <w:right w:w="57" w:type="dxa"/>
            </w:tcMar>
          </w:tcPr>
          <w:p w14:paraId="334B728A" w14:textId="77777777" w:rsidR="00C31024" w:rsidRPr="004B4CF5" w:rsidRDefault="00C31024" w:rsidP="00963084">
            <w:pPr>
              <w:spacing w:line="260" w:lineRule="atLeast"/>
              <w:ind w:left="0"/>
              <w:rPr>
                <w:szCs w:val="18"/>
                <w:lang w:val="nl-NL"/>
              </w:rPr>
            </w:pPr>
            <w:r w:rsidRPr="004B4CF5">
              <w:rPr>
                <w:b/>
                <w:bCs/>
                <w:szCs w:val="18"/>
                <w:lang w:val="nl-NL"/>
              </w:rPr>
              <w:t>Moderator:</w:t>
            </w:r>
            <w:r w:rsidRPr="004B4CF5">
              <w:rPr>
                <w:szCs w:val="18"/>
                <w:lang w:val="nl-NL"/>
              </w:rPr>
              <w:t xml:space="preserve"> Jeroen van der L</w:t>
            </w:r>
            <w:r>
              <w:rPr>
                <w:szCs w:val="18"/>
                <w:lang w:val="nl-NL"/>
              </w:rPr>
              <w:t>aan (Trinomics)</w:t>
            </w:r>
          </w:p>
        </w:tc>
      </w:tr>
      <w:tr w:rsidR="00C31024" w:rsidRPr="00FE6237" w14:paraId="42E6701E" w14:textId="77777777">
        <w:trPr>
          <w:trHeight w:val="573"/>
        </w:trPr>
        <w:tc>
          <w:tcPr>
            <w:tcW w:w="1271" w:type="dxa"/>
            <w:tcMar>
              <w:right w:w="57" w:type="dxa"/>
            </w:tcMar>
          </w:tcPr>
          <w:p w14:paraId="76EAB979" w14:textId="77777777" w:rsidR="00C31024" w:rsidRPr="00FE6237" w:rsidRDefault="00C31024" w:rsidP="00963084">
            <w:pPr>
              <w:spacing w:line="260" w:lineRule="atLeast"/>
              <w:ind w:left="0"/>
              <w:rPr>
                <w:szCs w:val="18"/>
              </w:rPr>
            </w:pPr>
            <w:r w:rsidRPr="00FE6237">
              <w:rPr>
                <w:szCs w:val="18"/>
              </w:rPr>
              <w:t>10.00</w:t>
            </w:r>
            <w:r>
              <w:rPr>
                <w:szCs w:val="18"/>
              </w:rPr>
              <w:t xml:space="preserve"> – 10.05</w:t>
            </w:r>
          </w:p>
        </w:tc>
        <w:tc>
          <w:tcPr>
            <w:tcW w:w="4820" w:type="dxa"/>
          </w:tcPr>
          <w:p w14:paraId="25DA4747" w14:textId="7CD451D7" w:rsidR="00C31024" w:rsidRPr="00514B02" w:rsidRDefault="00C31024" w:rsidP="00963084">
            <w:pPr>
              <w:spacing w:line="260" w:lineRule="atLeast"/>
              <w:ind w:left="0"/>
              <w:rPr>
                <w:szCs w:val="18"/>
              </w:rPr>
            </w:pPr>
            <w:r w:rsidRPr="003A3C4E">
              <w:rPr>
                <w:b/>
                <w:bCs/>
                <w:szCs w:val="18"/>
                <w:lang w:val="en-IE"/>
              </w:rPr>
              <w:t>Welcome</w:t>
            </w:r>
            <w:r w:rsidRPr="00514B02">
              <w:rPr>
                <w:szCs w:val="18"/>
                <w:lang w:val="en-IE"/>
              </w:rPr>
              <w:t xml:space="preserve">: introduction to the project, and expected outcomes of the </w:t>
            </w:r>
            <w:r>
              <w:rPr>
                <w:szCs w:val="18"/>
                <w:lang w:val="en-IE"/>
              </w:rPr>
              <w:t>webinar</w:t>
            </w:r>
          </w:p>
        </w:tc>
        <w:tc>
          <w:tcPr>
            <w:tcW w:w="2687" w:type="dxa"/>
          </w:tcPr>
          <w:p w14:paraId="41ED2D0F" w14:textId="77777777" w:rsidR="00C31024" w:rsidRPr="00FE6237" w:rsidRDefault="00C31024" w:rsidP="00963084">
            <w:pPr>
              <w:spacing w:line="260" w:lineRule="atLeast"/>
              <w:ind w:left="0"/>
              <w:rPr>
                <w:szCs w:val="18"/>
              </w:rPr>
            </w:pPr>
            <w:r w:rsidRPr="00B53451">
              <w:rPr>
                <w:szCs w:val="18"/>
              </w:rPr>
              <w:t>Nikola Blokešová</w:t>
            </w:r>
            <w:r>
              <w:rPr>
                <w:szCs w:val="18"/>
              </w:rPr>
              <w:t>, Office of the Government (Czechia)</w:t>
            </w:r>
          </w:p>
        </w:tc>
      </w:tr>
      <w:tr w:rsidR="00C31024" w:rsidRPr="00FE6237" w14:paraId="147AFD6A" w14:textId="77777777">
        <w:trPr>
          <w:trHeight w:val="20"/>
        </w:trPr>
        <w:tc>
          <w:tcPr>
            <w:tcW w:w="1271" w:type="dxa"/>
            <w:tcMar>
              <w:right w:w="57" w:type="dxa"/>
            </w:tcMar>
          </w:tcPr>
          <w:p w14:paraId="1D67F64F" w14:textId="77777777" w:rsidR="00C31024" w:rsidRPr="00FE6237" w:rsidRDefault="00C31024" w:rsidP="00963084">
            <w:pPr>
              <w:spacing w:line="260" w:lineRule="atLeast"/>
              <w:ind w:left="0"/>
              <w:rPr>
                <w:szCs w:val="18"/>
              </w:rPr>
            </w:pPr>
            <w:r w:rsidRPr="00FE6237">
              <w:rPr>
                <w:szCs w:val="18"/>
              </w:rPr>
              <w:t>10.</w:t>
            </w:r>
            <w:r>
              <w:rPr>
                <w:szCs w:val="18"/>
              </w:rPr>
              <w:t>05</w:t>
            </w:r>
            <w:r w:rsidRPr="00FE6237">
              <w:rPr>
                <w:szCs w:val="18"/>
              </w:rPr>
              <w:t xml:space="preserve"> – 1</w:t>
            </w:r>
            <w:r>
              <w:rPr>
                <w:szCs w:val="18"/>
              </w:rPr>
              <w:t>0.15</w:t>
            </w:r>
          </w:p>
        </w:tc>
        <w:tc>
          <w:tcPr>
            <w:tcW w:w="4820" w:type="dxa"/>
          </w:tcPr>
          <w:p w14:paraId="3860EC26" w14:textId="77777777" w:rsidR="00C31024" w:rsidRPr="00FE6237" w:rsidRDefault="00C31024" w:rsidP="00963084">
            <w:pPr>
              <w:spacing w:line="260" w:lineRule="atLeast"/>
              <w:ind w:left="0"/>
              <w:rPr>
                <w:szCs w:val="18"/>
              </w:rPr>
            </w:pPr>
            <w:r w:rsidRPr="003A3C4E">
              <w:rPr>
                <w:b/>
                <w:bCs/>
                <w:szCs w:val="18"/>
              </w:rPr>
              <w:t>Setting the scene</w:t>
            </w:r>
            <w:r>
              <w:rPr>
                <w:szCs w:val="18"/>
              </w:rPr>
              <w:t>: introducing the challenges related to governance processes for applying the DNSH principle</w:t>
            </w:r>
          </w:p>
        </w:tc>
        <w:tc>
          <w:tcPr>
            <w:tcW w:w="2687" w:type="dxa"/>
          </w:tcPr>
          <w:p w14:paraId="79503129" w14:textId="77777777" w:rsidR="00C31024" w:rsidRPr="00FE6237" w:rsidRDefault="00C31024" w:rsidP="00963084">
            <w:pPr>
              <w:spacing w:line="260" w:lineRule="atLeast"/>
              <w:ind w:left="0"/>
              <w:rPr>
                <w:szCs w:val="18"/>
              </w:rPr>
            </w:pPr>
            <w:r>
              <w:rPr>
                <w:szCs w:val="18"/>
              </w:rPr>
              <w:t>Julian Toth (ISFC)</w:t>
            </w:r>
          </w:p>
        </w:tc>
      </w:tr>
      <w:tr w:rsidR="00C31024" w:rsidRPr="00FE6237" w14:paraId="6733AD3B" w14:textId="77777777">
        <w:trPr>
          <w:trHeight w:val="20"/>
        </w:trPr>
        <w:tc>
          <w:tcPr>
            <w:tcW w:w="1271" w:type="dxa"/>
            <w:tcMar>
              <w:right w:w="57" w:type="dxa"/>
            </w:tcMar>
          </w:tcPr>
          <w:p w14:paraId="4D588760" w14:textId="77777777" w:rsidR="00C31024" w:rsidRPr="00FE6237" w:rsidRDefault="00C31024" w:rsidP="00963084">
            <w:pPr>
              <w:spacing w:line="260" w:lineRule="atLeast"/>
              <w:ind w:left="0"/>
              <w:rPr>
                <w:szCs w:val="18"/>
              </w:rPr>
            </w:pPr>
            <w:r w:rsidRPr="00FE6237">
              <w:rPr>
                <w:szCs w:val="18"/>
              </w:rPr>
              <w:t>10.</w:t>
            </w:r>
            <w:r>
              <w:rPr>
                <w:szCs w:val="18"/>
              </w:rPr>
              <w:t>15</w:t>
            </w:r>
            <w:r w:rsidRPr="00FE6237">
              <w:rPr>
                <w:szCs w:val="18"/>
              </w:rPr>
              <w:t xml:space="preserve"> - 1</w:t>
            </w:r>
            <w:r>
              <w:rPr>
                <w:szCs w:val="18"/>
              </w:rPr>
              <w:t>0</w:t>
            </w:r>
            <w:r w:rsidRPr="00FE6237">
              <w:rPr>
                <w:szCs w:val="18"/>
              </w:rPr>
              <w:t>.</w:t>
            </w:r>
            <w:r>
              <w:rPr>
                <w:szCs w:val="18"/>
              </w:rPr>
              <w:t>35</w:t>
            </w:r>
          </w:p>
        </w:tc>
        <w:tc>
          <w:tcPr>
            <w:tcW w:w="4820" w:type="dxa"/>
          </w:tcPr>
          <w:p w14:paraId="584E4CBC" w14:textId="77777777" w:rsidR="00C31024" w:rsidRPr="00FE6237" w:rsidRDefault="00C31024" w:rsidP="00963084">
            <w:pPr>
              <w:spacing w:line="260" w:lineRule="atLeast"/>
              <w:ind w:left="0"/>
              <w:rPr>
                <w:szCs w:val="18"/>
              </w:rPr>
            </w:pPr>
            <w:r w:rsidRPr="00AE49D6">
              <w:rPr>
                <w:b/>
                <w:bCs/>
                <w:szCs w:val="18"/>
              </w:rPr>
              <w:t>Context in Czechia</w:t>
            </w:r>
            <w:r>
              <w:rPr>
                <w:szCs w:val="18"/>
              </w:rPr>
              <w:t>: Introducing the framework guidelines and the governance of their application across Ministries</w:t>
            </w:r>
          </w:p>
        </w:tc>
        <w:tc>
          <w:tcPr>
            <w:tcW w:w="2687" w:type="dxa"/>
          </w:tcPr>
          <w:p w14:paraId="4EE2A07D" w14:textId="77777777" w:rsidR="00C31024" w:rsidRPr="00FE6237" w:rsidRDefault="00C31024" w:rsidP="00963084">
            <w:pPr>
              <w:spacing w:line="260" w:lineRule="atLeast"/>
              <w:ind w:left="0"/>
              <w:rPr>
                <w:szCs w:val="18"/>
              </w:rPr>
            </w:pPr>
            <w:r>
              <w:rPr>
                <w:szCs w:val="18"/>
              </w:rPr>
              <w:t>Richard Ju</w:t>
            </w:r>
            <w:r w:rsidRPr="002B7EED">
              <w:rPr>
                <w:szCs w:val="18"/>
              </w:rPr>
              <w:t>ř</w:t>
            </w:r>
            <w:r>
              <w:rPr>
                <w:szCs w:val="18"/>
              </w:rPr>
              <w:t>ík, Ministry of the Environment</w:t>
            </w:r>
          </w:p>
        </w:tc>
      </w:tr>
      <w:tr w:rsidR="00C31024" w:rsidRPr="00FE6237" w14:paraId="323E038B" w14:textId="77777777">
        <w:trPr>
          <w:trHeight w:val="20"/>
        </w:trPr>
        <w:tc>
          <w:tcPr>
            <w:tcW w:w="1271" w:type="dxa"/>
            <w:tcMar>
              <w:right w:w="57" w:type="dxa"/>
            </w:tcMar>
          </w:tcPr>
          <w:p w14:paraId="448997C2" w14:textId="77777777" w:rsidR="00C31024" w:rsidRPr="00FE6237" w:rsidRDefault="00C31024" w:rsidP="00963084">
            <w:pPr>
              <w:spacing w:line="260" w:lineRule="atLeast"/>
              <w:ind w:left="0"/>
              <w:rPr>
                <w:szCs w:val="18"/>
              </w:rPr>
            </w:pPr>
            <w:r w:rsidRPr="00FE6237">
              <w:rPr>
                <w:szCs w:val="18"/>
              </w:rPr>
              <w:t>1</w:t>
            </w:r>
            <w:r>
              <w:rPr>
                <w:szCs w:val="18"/>
              </w:rPr>
              <w:t>0</w:t>
            </w:r>
            <w:r w:rsidRPr="00FE6237">
              <w:rPr>
                <w:szCs w:val="18"/>
              </w:rPr>
              <w:t>.</w:t>
            </w:r>
            <w:r>
              <w:rPr>
                <w:szCs w:val="18"/>
              </w:rPr>
              <w:t>35</w:t>
            </w:r>
            <w:r w:rsidRPr="00FE6237">
              <w:rPr>
                <w:szCs w:val="18"/>
              </w:rPr>
              <w:t xml:space="preserve"> – 1</w:t>
            </w:r>
            <w:r>
              <w:rPr>
                <w:szCs w:val="18"/>
              </w:rPr>
              <w:t>0</w:t>
            </w:r>
            <w:r w:rsidRPr="00FE6237">
              <w:rPr>
                <w:szCs w:val="18"/>
              </w:rPr>
              <w:t>.</w:t>
            </w:r>
            <w:r>
              <w:rPr>
                <w:szCs w:val="18"/>
              </w:rPr>
              <w:t>55</w:t>
            </w:r>
          </w:p>
        </w:tc>
        <w:tc>
          <w:tcPr>
            <w:tcW w:w="4820" w:type="dxa"/>
          </w:tcPr>
          <w:p w14:paraId="6D8FD9D2" w14:textId="77777777" w:rsidR="00C31024" w:rsidRPr="00FE6237" w:rsidRDefault="00C31024" w:rsidP="00963084">
            <w:pPr>
              <w:spacing w:line="260" w:lineRule="atLeast"/>
              <w:ind w:left="0"/>
            </w:pPr>
            <w:r w:rsidRPr="002B7EED">
              <w:rPr>
                <w:b/>
                <w:bCs/>
              </w:rPr>
              <w:t>Focus case 1</w:t>
            </w:r>
            <w:r w:rsidRPr="004177AD">
              <w:t xml:space="preserve">: </w:t>
            </w:r>
            <w:r>
              <w:t>C</w:t>
            </w:r>
            <w:r w:rsidRPr="004177AD">
              <w:t xml:space="preserve">reation of a capacity </w:t>
            </w:r>
            <w:r w:rsidRPr="006C2925">
              <w:rPr>
                <w:lang w:val="en-GB"/>
              </w:rPr>
              <w:t>centre</w:t>
            </w:r>
            <w:r w:rsidRPr="004177AD">
              <w:t xml:space="preserve"> in Spain</w:t>
            </w:r>
          </w:p>
        </w:tc>
        <w:tc>
          <w:tcPr>
            <w:tcW w:w="2687" w:type="dxa"/>
          </w:tcPr>
          <w:p w14:paraId="42A44028" w14:textId="77777777" w:rsidR="00C31024" w:rsidRPr="00FE6237" w:rsidRDefault="00C31024" w:rsidP="00963084">
            <w:pPr>
              <w:spacing w:line="260" w:lineRule="atLeast"/>
              <w:ind w:left="0"/>
              <w:rPr>
                <w:szCs w:val="18"/>
              </w:rPr>
            </w:pPr>
            <w:r>
              <w:rPr>
                <w:szCs w:val="18"/>
              </w:rPr>
              <w:t>Lucía Cobo, Ministry of the Ecological Transition and the Demographic Challenge (Spain)</w:t>
            </w:r>
          </w:p>
        </w:tc>
      </w:tr>
      <w:tr w:rsidR="00C31024" w:rsidRPr="00FE6237" w14:paraId="118A8CAE" w14:textId="77777777">
        <w:trPr>
          <w:trHeight w:val="20"/>
        </w:trPr>
        <w:tc>
          <w:tcPr>
            <w:tcW w:w="1271" w:type="dxa"/>
            <w:tcMar>
              <w:right w:w="57" w:type="dxa"/>
            </w:tcMar>
          </w:tcPr>
          <w:p w14:paraId="101AAA24" w14:textId="77777777" w:rsidR="00C31024" w:rsidRPr="00FE6237" w:rsidRDefault="00C31024" w:rsidP="00963084">
            <w:pPr>
              <w:spacing w:line="260" w:lineRule="atLeast"/>
              <w:ind w:left="0"/>
              <w:rPr>
                <w:szCs w:val="18"/>
              </w:rPr>
            </w:pPr>
            <w:r w:rsidRPr="00FE6237">
              <w:rPr>
                <w:szCs w:val="18"/>
              </w:rPr>
              <w:t>1</w:t>
            </w:r>
            <w:r>
              <w:rPr>
                <w:szCs w:val="18"/>
              </w:rPr>
              <w:t>0</w:t>
            </w:r>
            <w:r w:rsidRPr="00FE6237">
              <w:rPr>
                <w:szCs w:val="18"/>
              </w:rPr>
              <w:t>.</w:t>
            </w:r>
            <w:r>
              <w:rPr>
                <w:szCs w:val="18"/>
              </w:rPr>
              <w:t>55</w:t>
            </w:r>
            <w:r w:rsidRPr="00FE6237">
              <w:rPr>
                <w:szCs w:val="18"/>
              </w:rPr>
              <w:t xml:space="preserve"> - 1</w:t>
            </w:r>
            <w:r>
              <w:rPr>
                <w:szCs w:val="18"/>
              </w:rPr>
              <w:t>1</w:t>
            </w:r>
            <w:r w:rsidRPr="00FE6237">
              <w:rPr>
                <w:szCs w:val="18"/>
              </w:rPr>
              <w:t>.</w:t>
            </w:r>
            <w:r>
              <w:rPr>
                <w:szCs w:val="18"/>
              </w:rPr>
              <w:t>15</w:t>
            </w:r>
          </w:p>
        </w:tc>
        <w:tc>
          <w:tcPr>
            <w:tcW w:w="4820" w:type="dxa"/>
          </w:tcPr>
          <w:p w14:paraId="69FDD4DB" w14:textId="77777777" w:rsidR="00C31024" w:rsidRPr="00FE6237" w:rsidRDefault="00C31024" w:rsidP="00963084">
            <w:pPr>
              <w:spacing w:line="260" w:lineRule="atLeast"/>
              <w:ind w:left="0"/>
            </w:pPr>
            <w:r w:rsidRPr="00CB0690">
              <w:rPr>
                <w:b/>
                <w:bCs/>
              </w:rPr>
              <w:t>Focus case 2</w:t>
            </w:r>
            <w:r w:rsidRPr="004177AD">
              <w:t xml:space="preserve">: </w:t>
            </w:r>
            <w:r>
              <w:t>C</w:t>
            </w:r>
            <w:r w:rsidRPr="004177AD">
              <w:t>reation of a helpdesk on DNSH in Belgium</w:t>
            </w:r>
          </w:p>
        </w:tc>
        <w:tc>
          <w:tcPr>
            <w:tcW w:w="2687" w:type="dxa"/>
          </w:tcPr>
          <w:p w14:paraId="49DBD516" w14:textId="77777777" w:rsidR="00C31024" w:rsidRPr="00FE6237" w:rsidRDefault="00C31024" w:rsidP="00963084">
            <w:pPr>
              <w:spacing w:line="260" w:lineRule="atLeast"/>
              <w:ind w:left="0"/>
              <w:rPr>
                <w:szCs w:val="18"/>
              </w:rPr>
            </w:pPr>
            <w:r>
              <w:rPr>
                <w:szCs w:val="18"/>
              </w:rPr>
              <w:t>Stéphanie Baclin, Federal Public Service Health, Food Chain Safety and Environment (Belgium)</w:t>
            </w:r>
          </w:p>
        </w:tc>
      </w:tr>
      <w:tr w:rsidR="00C31024" w:rsidRPr="00CB0690" w14:paraId="0607B594" w14:textId="77777777">
        <w:trPr>
          <w:trHeight w:val="20"/>
        </w:trPr>
        <w:tc>
          <w:tcPr>
            <w:tcW w:w="1271" w:type="dxa"/>
            <w:tcMar>
              <w:right w:w="57" w:type="dxa"/>
            </w:tcMar>
          </w:tcPr>
          <w:p w14:paraId="0B43A0F8" w14:textId="77777777" w:rsidR="00C31024" w:rsidRPr="00CB0690" w:rsidRDefault="00C31024" w:rsidP="00963084">
            <w:pPr>
              <w:spacing w:line="260" w:lineRule="atLeast"/>
              <w:ind w:left="0"/>
              <w:rPr>
                <w:i/>
                <w:iCs/>
                <w:szCs w:val="18"/>
              </w:rPr>
            </w:pPr>
            <w:r w:rsidRPr="00CB0690">
              <w:rPr>
                <w:i/>
                <w:iCs/>
                <w:szCs w:val="18"/>
              </w:rPr>
              <w:t>11.15 – 11.30</w:t>
            </w:r>
          </w:p>
        </w:tc>
        <w:tc>
          <w:tcPr>
            <w:tcW w:w="7507" w:type="dxa"/>
            <w:gridSpan w:val="2"/>
          </w:tcPr>
          <w:p w14:paraId="3C82EE96" w14:textId="77777777" w:rsidR="00C31024" w:rsidRPr="00CB0690" w:rsidRDefault="00C31024" w:rsidP="00EA2D8D">
            <w:pPr>
              <w:spacing w:line="260" w:lineRule="atLeast"/>
              <w:ind w:left="0"/>
              <w:rPr>
                <w:i/>
                <w:iCs/>
                <w:szCs w:val="18"/>
              </w:rPr>
            </w:pPr>
            <w:r w:rsidRPr="00CB0690">
              <w:rPr>
                <w:i/>
                <w:iCs/>
                <w:szCs w:val="18"/>
              </w:rPr>
              <w:t>Coffee break</w:t>
            </w:r>
          </w:p>
        </w:tc>
      </w:tr>
      <w:tr w:rsidR="00C31024" w:rsidRPr="00FE6237" w14:paraId="1E8D96E7" w14:textId="77777777" w:rsidTr="00AD0FB6">
        <w:trPr>
          <w:trHeight w:val="335"/>
        </w:trPr>
        <w:tc>
          <w:tcPr>
            <w:tcW w:w="0" w:type="auto"/>
            <w:gridSpan w:val="3"/>
            <w:shd w:val="clear" w:color="auto" w:fill="005962" w:themeFill="accent1"/>
            <w:tcMar>
              <w:right w:w="57" w:type="dxa"/>
            </w:tcMar>
          </w:tcPr>
          <w:p w14:paraId="70CDB45F" w14:textId="77777777" w:rsidR="00C31024" w:rsidRPr="008E434A" w:rsidRDefault="00C31024" w:rsidP="00963084">
            <w:pPr>
              <w:spacing w:line="260" w:lineRule="atLeast"/>
              <w:ind w:left="0"/>
              <w:rPr>
                <w:b/>
                <w:bCs/>
                <w:color w:val="FFFFFF" w:themeColor="background1"/>
                <w:szCs w:val="18"/>
              </w:rPr>
            </w:pPr>
            <w:r w:rsidRPr="008E434A">
              <w:rPr>
                <w:b/>
                <w:bCs/>
                <w:color w:val="FFFFFF" w:themeColor="background1"/>
                <w:szCs w:val="18"/>
              </w:rPr>
              <w:t xml:space="preserve">Part II: Panel discussion </w:t>
            </w:r>
            <w:r>
              <w:rPr>
                <w:b/>
                <w:bCs/>
                <w:color w:val="FFFFFF" w:themeColor="background1"/>
                <w:szCs w:val="18"/>
              </w:rPr>
              <w:t>–</w:t>
            </w:r>
            <w:r w:rsidRPr="008E434A">
              <w:rPr>
                <w:b/>
                <w:bCs/>
                <w:color w:val="FFFFFF" w:themeColor="background1"/>
                <w:szCs w:val="18"/>
              </w:rPr>
              <w:t xml:space="preserve"> </w:t>
            </w:r>
            <w:r>
              <w:rPr>
                <w:b/>
                <w:bCs/>
                <w:color w:val="FFFFFF" w:themeColor="background1"/>
                <w:szCs w:val="18"/>
              </w:rPr>
              <w:t>Governance processes for applying the DNSH principle</w:t>
            </w:r>
          </w:p>
        </w:tc>
      </w:tr>
      <w:tr w:rsidR="00C31024" w:rsidRPr="00FE6237" w14:paraId="3FB9CFA5" w14:textId="77777777">
        <w:trPr>
          <w:trHeight w:val="20"/>
        </w:trPr>
        <w:tc>
          <w:tcPr>
            <w:tcW w:w="1271" w:type="dxa"/>
            <w:tcMar>
              <w:right w:w="57" w:type="dxa"/>
            </w:tcMar>
          </w:tcPr>
          <w:p w14:paraId="38E2CF18" w14:textId="77777777" w:rsidR="00C31024" w:rsidRPr="00FE6237" w:rsidRDefault="00C31024" w:rsidP="00963084">
            <w:pPr>
              <w:spacing w:line="260" w:lineRule="atLeast"/>
              <w:ind w:left="0"/>
              <w:rPr>
                <w:szCs w:val="18"/>
              </w:rPr>
            </w:pPr>
            <w:r w:rsidRPr="00FE6237">
              <w:rPr>
                <w:szCs w:val="18"/>
              </w:rPr>
              <w:t>1</w:t>
            </w:r>
            <w:r>
              <w:rPr>
                <w:szCs w:val="18"/>
              </w:rPr>
              <w:t>1</w:t>
            </w:r>
            <w:r w:rsidRPr="00FE6237">
              <w:rPr>
                <w:szCs w:val="18"/>
              </w:rPr>
              <w:t>.</w:t>
            </w:r>
            <w:r>
              <w:rPr>
                <w:szCs w:val="18"/>
              </w:rPr>
              <w:t>3</w:t>
            </w:r>
            <w:r w:rsidRPr="00FE6237">
              <w:rPr>
                <w:szCs w:val="18"/>
              </w:rPr>
              <w:t>0 – 12.</w:t>
            </w:r>
            <w:r>
              <w:rPr>
                <w:szCs w:val="18"/>
              </w:rPr>
              <w:t>20</w:t>
            </w:r>
          </w:p>
        </w:tc>
        <w:tc>
          <w:tcPr>
            <w:tcW w:w="7507" w:type="dxa"/>
            <w:gridSpan w:val="2"/>
          </w:tcPr>
          <w:p w14:paraId="702FA7E1" w14:textId="77777777" w:rsidR="00C31024" w:rsidRPr="000F77F4" w:rsidRDefault="00C31024" w:rsidP="00963084">
            <w:pPr>
              <w:spacing w:line="260" w:lineRule="atLeast"/>
              <w:ind w:left="0"/>
            </w:pPr>
            <w:r w:rsidRPr="0C695760">
              <w:rPr>
                <w:b/>
              </w:rPr>
              <w:t>Moderator</w:t>
            </w:r>
            <w:r w:rsidRPr="0C695760">
              <w:t>: Julian Toth (ISFC)</w:t>
            </w:r>
          </w:p>
          <w:p w14:paraId="6F484C9C" w14:textId="77777777" w:rsidR="00C31024" w:rsidRPr="000F77F4" w:rsidRDefault="00C31024" w:rsidP="00963084">
            <w:pPr>
              <w:spacing w:line="260" w:lineRule="atLeast"/>
              <w:ind w:left="0"/>
              <w:rPr>
                <w:szCs w:val="18"/>
              </w:rPr>
            </w:pPr>
            <w:r w:rsidRPr="000F77F4">
              <w:rPr>
                <w:b/>
                <w:bCs/>
                <w:szCs w:val="18"/>
              </w:rPr>
              <w:t>Panel Members</w:t>
            </w:r>
            <w:r w:rsidRPr="000F77F4">
              <w:rPr>
                <w:szCs w:val="18"/>
              </w:rPr>
              <w:t xml:space="preserve">: </w:t>
            </w:r>
          </w:p>
          <w:p w14:paraId="43AFEFD6" w14:textId="77777777" w:rsidR="00C31024" w:rsidRPr="000F77F4" w:rsidRDefault="00C31024" w:rsidP="00BC1B18">
            <w:pPr>
              <w:pStyle w:val="Odstavecseseznamem"/>
              <w:numPr>
                <w:ilvl w:val="0"/>
                <w:numId w:val="14"/>
              </w:numPr>
              <w:spacing w:line="260" w:lineRule="atLeast"/>
              <w:ind w:left="322" w:hanging="283"/>
              <w:rPr>
                <w:szCs w:val="18"/>
              </w:rPr>
            </w:pPr>
            <w:r w:rsidRPr="000F77F4">
              <w:rPr>
                <w:szCs w:val="18"/>
              </w:rPr>
              <w:t>Richard Juřík, Ministry of the Environment (Czechia)</w:t>
            </w:r>
          </w:p>
          <w:p w14:paraId="4F90C5A0" w14:textId="77777777" w:rsidR="00C31024" w:rsidRPr="000F77F4" w:rsidRDefault="00C31024" w:rsidP="00BC1B18">
            <w:pPr>
              <w:pStyle w:val="Odstavecseseznamem"/>
              <w:numPr>
                <w:ilvl w:val="0"/>
                <w:numId w:val="14"/>
              </w:numPr>
              <w:spacing w:line="260" w:lineRule="atLeast"/>
              <w:ind w:left="322" w:hanging="283"/>
              <w:rPr>
                <w:szCs w:val="18"/>
              </w:rPr>
            </w:pPr>
            <w:r w:rsidRPr="000F77F4">
              <w:rPr>
                <w:szCs w:val="18"/>
              </w:rPr>
              <w:t>Lucía Cobo, Ministry of the Ecological Transition and the Demographic Challenge (Spain)</w:t>
            </w:r>
          </w:p>
          <w:p w14:paraId="7FFA5FA4" w14:textId="77777777" w:rsidR="00C31024" w:rsidRDefault="00C31024" w:rsidP="00BC1B18">
            <w:pPr>
              <w:pStyle w:val="Odstavecseseznamem"/>
              <w:numPr>
                <w:ilvl w:val="0"/>
                <w:numId w:val="14"/>
              </w:numPr>
              <w:spacing w:line="260" w:lineRule="atLeast"/>
              <w:ind w:left="322" w:hanging="283"/>
              <w:rPr>
                <w:szCs w:val="18"/>
              </w:rPr>
            </w:pPr>
            <w:r w:rsidRPr="000F77F4">
              <w:rPr>
                <w:szCs w:val="18"/>
              </w:rPr>
              <w:t>Stéphanie Baclin, Federal Public Service Health, Food Chain Safety and Environment (Belgium)</w:t>
            </w:r>
          </w:p>
          <w:p w14:paraId="43341296" w14:textId="77777777" w:rsidR="00C31024" w:rsidRPr="000F77F4" w:rsidRDefault="00C31024" w:rsidP="00BC1B18">
            <w:pPr>
              <w:pStyle w:val="Odstavecseseznamem"/>
              <w:numPr>
                <w:ilvl w:val="0"/>
                <w:numId w:val="14"/>
              </w:numPr>
              <w:spacing w:line="260" w:lineRule="atLeast"/>
              <w:ind w:left="322" w:hanging="283"/>
              <w:rPr>
                <w:szCs w:val="18"/>
              </w:rPr>
            </w:pPr>
            <w:r w:rsidRPr="00AA09E2">
              <w:rPr>
                <w:szCs w:val="18"/>
              </w:rPr>
              <w:t>Emma Terämä, Ministry of the Environment (Finland)</w:t>
            </w:r>
          </w:p>
        </w:tc>
      </w:tr>
      <w:tr w:rsidR="00C31024" w:rsidRPr="00820A53" w14:paraId="498220C5" w14:textId="77777777">
        <w:trPr>
          <w:trHeight w:val="20"/>
        </w:trPr>
        <w:tc>
          <w:tcPr>
            <w:tcW w:w="1271" w:type="dxa"/>
            <w:tcMar>
              <w:right w:w="57" w:type="dxa"/>
            </w:tcMar>
          </w:tcPr>
          <w:p w14:paraId="565FCDE6" w14:textId="77777777" w:rsidR="00C31024" w:rsidRPr="00FE6237" w:rsidRDefault="00C31024" w:rsidP="00963084">
            <w:pPr>
              <w:spacing w:line="260" w:lineRule="atLeast"/>
              <w:ind w:left="0"/>
              <w:rPr>
                <w:szCs w:val="18"/>
              </w:rPr>
            </w:pPr>
            <w:r w:rsidRPr="00FE6237">
              <w:rPr>
                <w:szCs w:val="18"/>
              </w:rPr>
              <w:t>12.</w:t>
            </w:r>
            <w:r>
              <w:rPr>
                <w:szCs w:val="18"/>
              </w:rPr>
              <w:t>20 – 12.25</w:t>
            </w:r>
          </w:p>
        </w:tc>
        <w:tc>
          <w:tcPr>
            <w:tcW w:w="4820" w:type="dxa"/>
          </w:tcPr>
          <w:p w14:paraId="346ACC0B" w14:textId="77777777" w:rsidR="00C31024" w:rsidRPr="000F77F4" w:rsidRDefault="00C31024" w:rsidP="00963084">
            <w:pPr>
              <w:spacing w:line="260" w:lineRule="atLeast"/>
              <w:ind w:left="0"/>
              <w:rPr>
                <w:szCs w:val="18"/>
              </w:rPr>
            </w:pPr>
            <w:r w:rsidRPr="000F77F4">
              <w:rPr>
                <w:szCs w:val="18"/>
              </w:rPr>
              <w:t>Reflection on main takeaways</w:t>
            </w:r>
            <w:r>
              <w:rPr>
                <w:szCs w:val="18"/>
              </w:rPr>
              <w:t xml:space="preserve"> panel discussion</w:t>
            </w:r>
          </w:p>
        </w:tc>
        <w:tc>
          <w:tcPr>
            <w:tcW w:w="2687" w:type="dxa"/>
          </w:tcPr>
          <w:p w14:paraId="00229386" w14:textId="77777777" w:rsidR="00C31024" w:rsidRPr="00937317" w:rsidRDefault="00C31024" w:rsidP="00963084">
            <w:pPr>
              <w:spacing w:line="260" w:lineRule="atLeast"/>
              <w:ind w:left="0"/>
              <w:rPr>
                <w:szCs w:val="18"/>
                <w:lang w:val="nl-NL"/>
              </w:rPr>
            </w:pPr>
            <w:r w:rsidRPr="00937317">
              <w:rPr>
                <w:szCs w:val="18"/>
                <w:lang w:val="nl-NL"/>
              </w:rPr>
              <w:t>Jeroen van der Laan</w:t>
            </w:r>
            <w:r>
              <w:rPr>
                <w:szCs w:val="18"/>
                <w:lang w:val="nl-NL"/>
              </w:rPr>
              <w:t xml:space="preserve"> (</w:t>
            </w:r>
            <w:r w:rsidRPr="00937317">
              <w:rPr>
                <w:szCs w:val="18"/>
                <w:lang w:val="nl-NL"/>
              </w:rPr>
              <w:t>Trinomics</w:t>
            </w:r>
            <w:r>
              <w:rPr>
                <w:szCs w:val="18"/>
                <w:lang w:val="nl-NL"/>
              </w:rPr>
              <w:t>)</w:t>
            </w:r>
          </w:p>
        </w:tc>
      </w:tr>
      <w:tr w:rsidR="00C31024" w:rsidRPr="00FE6237" w14:paraId="79C3CA83" w14:textId="77777777">
        <w:trPr>
          <w:trHeight w:val="20"/>
        </w:trPr>
        <w:tc>
          <w:tcPr>
            <w:tcW w:w="1271" w:type="dxa"/>
            <w:tcMar>
              <w:right w:w="57" w:type="dxa"/>
            </w:tcMar>
          </w:tcPr>
          <w:p w14:paraId="202FFC0A" w14:textId="77777777" w:rsidR="00C31024" w:rsidRPr="00FE6237" w:rsidRDefault="00C31024" w:rsidP="00963084">
            <w:pPr>
              <w:spacing w:line="260" w:lineRule="atLeast"/>
              <w:ind w:left="0"/>
              <w:rPr>
                <w:szCs w:val="18"/>
              </w:rPr>
            </w:pPr>
            <w:r w:rsidRPr="00FE6237">
              <w:rPr>
                <w:szCs w:val="18"/>
              </w:rPr>
              <w:t>1</w:t>
            </w:r>
            <w:r>
              <w:rPr>
                <w:szCs w:val="18"/>
              </w:rPr>
              <w:t>2</w:t>
            </w:r>
            <w:r w:rsidRPr="00FE6237">
              <w:rPr>
                <w:szCs w:val="18"/>
              </w:rPr>
              <w:t>.</w:t>
            </w:r>
            <w:r>
              <w:rPr>
                <w:szCs w:val="18"/>
              </w:rPr>
              <w:t>25 – 12.30</w:t>
            </w:r>
          </w:p>
        </w:tc>
        <w:tc>
          <w:tcPr>
            <w:tcW w:w="4820" w:type="dxa"/>
          </w:tcPr>
          <w:p w14:paraId="6BE4BEA8" w14:textId="77777777" w:rsidR="00C31024" w:rsidRPr="00FE6237" w:rsidRDefault="00C31024" w:rsidP="00963084">
            <w:pPr>
              <w:spacing w:line="260" w:lineRule="atLeast"/>
              <w:ind w:left="0"/>
              <w:rPr>
                <w:szCs w:val="18"/>
              </w:rPr>
            </w:pPr>
            <w:r>
              <w:rPr>
                <w:szCs w:val="18"/>
              </w:rPr>
              <w:t>Wrap-up and closing</w:t>
            </w:r>
          </w:p>
        </w:tc>
        <w:tc>
          <w:tcPr>
            <w:tcW w:w="2687" w:type="dxa"/>
          </w:tcPr>
          <w:p w14:paraId="4173279F" w14:textId="77777777" w:rsidR="00C31024" w:rsidRPr="00FE6237" w:rsidRDefault="00C31024" w:rsidP="00963084">
            <w:pPr>
              <w:spacing w:line="260" w:lineRule="atLeast"/>
              <w:ind w:left="0"/>
              <w:rPr>
                <w:szCs w:val="18"/>
              </w:rPr>
            </w:pPr>
            <w:r>
              <w:rPr>
                <w:szCs w:val="18"/>
              </w:rPr>
              <w:t>Riikka Torppa (European Commission, DG REFORM)</w:t>
            </w:r>
          </w:p>
        </w:tc>
      </w:tr>
    </w:tbl>
    <w:p w14:paraId="673CF5EE" w14:textId="0E720144" w:rsidR="00C31024" w:rsidRDefault="00C31024" w:rsidP="00C31024"/>
    <w:p w14:paraId="28B38C7F" w14:textId="77777777" w:rsidR="00C31024" w:rsidRPr="00840648" w:rsidRDefault="00C31024" w:rsidP="00C31024">
      <w:pPr>
        <w:pStyle w:val="Nadpis4"/>
        <w:ind w:firstLine="0"/>
      </w:pPr>
      <w:r>
        <w:t>Guiding questions for the p</w:t>
      </w:r>
      <w:r w:rsidRPr="00B85A66">
        <w:t>anel discussion</w:t>
      </w:r>
    </w:p>
    <w:tbl>
      <w:tblPr>
        <w:tblStyle w:val="Table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3A5" w:themeFill="accent4"/>
        <w:tblLook w:val="04A0" w:firstRow="1" w:lastRow="0" w:firstColumn="1" w:lastColumn="0" w:noHBand="0" w:noVBand="1"/>
      </w:tblPr>
      <w:tblGrid>
        <w:gridCol w:w="8778"/>
      </w:tblGrid>
      <w:tr w:rsidR="00C31024" w:rsidRPr="00BC5A68" w14:paraId="59C66F0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shd w:val="clear" w:color="auto" w:fill="FFE3A5" w:themeFill="accent4"/>
          </w:tcPr>
          <w:p w14:paraId="0B21A03C" w14:textId="77777777" w:rsidR="00C31024" w:rsidRPr="00CA22CE" w:rsidRDefault="00C31024" w:rsidP="00963084">
            <w:pPr>
              <w:tabs>
                <w:tab w:val="left" w:pos="321"/>
              </w:tabs>
              <w:spacing w:line="280" w:lineRule="atLeast"/>
              <w:ind w:left="0"/>
              <w:jc w:val="left"/>
              <w:rPr>
                <w:bCs/>
                <w:color w:val="005962" w:themeColor="accent1"/>
                <w:szCs w:val="18"/>
              </w:rPr>
            </w:pPr>
            <w:bookmarkStart w:id="74" w:name="_Hlk100595583"/>
            <w:r w:rsidRPr="00CA22CE">
              <w:rPr>
                <w:bCs/>
                <w:color w:val="005962" w:themeColor="accent1"/>
                <w:szCs w:val="18"/>
              </w:rPr>
              <w:t xml:space="preserve">Challenge 1: </w:t>
            </w:r>
            <w:r>
              <w:rPr>
                <w:bCs/>
                <w:color w:val="005962" w:themeColor="accent1"/>
                <w:szCs w:val="18"/>
              </w:rPr>
              <w:t xml:space="preserve">Establishing </w:t>
            </w:r>
            <w:r w:rsidRPr="00CA22CE">
              <w:rPr>
                <w:bCs/>
                <w:color w:val="005962" w:themeColor="accent1"/>
                <w:szCs w:val="18"/>
              </w:rPr>
              <w:t>an efficient governance system</w:t>
            </w:r>
          </w:p>
          <w:p w14:paraId="240CC4D6" w14:textId="77777777" w:rsidR="00C31024" w:rsidRPr="00A21ABC" w:rsidRDefault="00C31024" w:rsidP="00BC1B18">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rPr>
            </w:pPr>
            <w:r w:rsidRPr="00A21ABC">
              <w:rPr>
                <w:b w:val="0"/>
                <w:bCs/>
                <w:color w:val="000000" w:themeColor="text1"/>
                <w:szCs w:val="18"/>
              </w:rPr>
              <w:t xml:space="preserve">Member States (and departments within Member States) have taken different approaches in the repartition of the DNSH-related administrative burden across authorities and project applicants. </w:t>
            </w:r>
            <w:r>
              <w:rPr>
                <w:b w:val="0"/>
                <w:bCs/>
                <w:color w:val="000000" w:themeColor="text1"/>
                <w:szCs w:val="18"/>
              </w:rPr>
              <w:t>In your experience, what approach(es) have revealed to be the most efficient at the appraisal/assessment stage? And which ones at the monitoring stage?</w:t>
            </w:r>
          </w:p>
          <w:p w14:paraId="18E81193" w14:textId="77777777" w:rsidR="00C31024" w:rsidRPr="00A21ABC" w:rsidRDefault="00C31024" w:rsidP="00BC1B18">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rPr>
            </w:pPr>
            <w:r w:rsidRPr="00A21ABC">
              <w:rPr>
                <w:b w:val="0"/>
                <w:bCs/>
                <w:color w:val="000000" w:themeColor="text1"/>
                <w:szCs w:val="18"/>
              </w:rPr>
              <w:t>Has your Member State developed any measures or a governance system to ensure the consistency of DNSH methodologies and assessments across ministries and agencies?</w:t>
            </w:r>
          </w:p>
          <w:p w14:paraId="19F6E0FD" w14:textId="77777777" w:rsidR="00C31024" w:rsidRPr="00141D80" w:rsidRDefault="00C31024" w:rsidP="00963084">
            <w:pPr>
              <w:tabs>
                <w:tab w:val="left" w:pos="321"/>
              </w:tabs>
              <w:spacing w:line="280" w:lineRule="atLeast"/>
              <w:ind w:left="37"/>
              <w:jc w:val="left"/>
              <w:rPr>
                <w:bCs/>
                <w:color w:val="005962" w:themeColor="accent1"/>
                <w:szCs w:val="18"/>
              </w:rPr>
            </w:pPr>
            <w:r w:rsidRPr="00141D80">
              <w:rPr>
                <w:bCs/>
                <w:color w:val="005962" w:themeColor="accent1"/>
                <w:szCs w:val="18"/>
              </w:rPr>
              <w:t xml:space="preserve">Challenge 2: </w:t>
            </w:r>
            <w:r>
              <w:rPr>
                <w:bCs/>
                <w:color w:val="005962" w:themeColor="accent1"/>
                <w:szCs w:val="18"/>
              </w:rPr>
              <w:t>B</w:t>
            </w:r>
            <w:r w:rsidRPr="00141D80">
              <w:rPr>
                <w:bCs/>
                <w:color w:val="005962" w:themeColor="accent1"/>
                <w:szCs w:val="18"/>
              </w:rPr>
              <w:t>uilding capacity for enhance DNSH-related knowledge and processes</w:t>
            </w:r>
          </w:p>
          <w:p w14:paraId="2F22004F" w14:textId="77777777" w:rsidR="00C31024" w:rsidRPr="00A21ABC" w:rsidRDefault="00C31024" w:rsidP="00BC1B18">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rPr>
            </w:pPr>
            <w:r w:rsidRPr="00A21ABC">
              <w:rPr>
                <w:b w:val="0"/>
                <w:bCs/>
                <w:color w:val="000000" w:themeColor="text1"/>
                <w:szCs w:val="18"/>
              </w:rPr>
              <w:lastRenderedPageBreak/>
              <w:t xml:space="preserve">When going through the training </w:t>
            </w:r>
            <w:r>
              <w:rPr>
                <w:b w:val="0"/>
                <w:bCs/>
                <w:color w:val="000000" w:themeColor="text1"/>
                <w:szCs w:val="18"/>
              </w:rPr>
              <w:t xml:space="preserve">and capacity building activities </w:t>
            </w:r>
            <w:r w:rsidRPr="00A21ABC">
              <w:rPr>
                <w:b w:val="0"/>
                <w:bCs/>
                <w:color w:val="000000" w:themeColor="text1"/>
                <w:szCs w:val="18"/>
              </w:rPr>
              <w:t xml:space="preserve">of your </w:t>
            </w:r>
            <w:r>
              <w:rPr>
                <w:b w:val="0"/>
                <w:bCs/>
                <w:color w:val="000000" w:themeColor="text1"/>
                <w:szCs w:val="18"/>
              </w:rPr>
              <w:t xml:space="preserve">DNSH </w:t>
            </w:r>
            <w:r w:rsidRPr="00A21ABC">
              <w:rPr>
                <w:b w:val="0"/>
                <w:bCs/>
                <w:color w:val="000000" w:themeColor="text1"/>
                <w:szCs w:val="18"/>
              </w:rPr>
              <w:t>team</w:t>
            </w:r>
            <w:r>
              <w:rPr>
                <w:b w:val="0"/>
                <w:bCs/>
                <w:color w:val="000000" w:themeColor="text1"/>
                <w:szCs w:val="18"/>
              </w:rPr>
              <w:t>(-</w:t>
            </w:r>
            <w:r w:rsidRPr="00A21ABC">
              <w:rPr>
                <w:b w:val="0"/>
                <w:bCs/>
                <w:color w:val="000000" w:themeColor="text1"/>
                <w:szCs w:val="18"/>
              </w:rPr>
              <w:t>s</w:t>
            </w:r>
            <w:r>
              <w:rPr>
                <w:b w:val="0"/>
                <w:bCs/>
                <w:color w:val="000000" w:themeColor="text1"/>
                <w:szCs w:val="18"/>
              </w:rPr>
              <w:t>)</w:t>
            </w:r>
            <w:r w:rsidRPr="00A21ABC">
              <w:rPr>
                <w:b w:val="0"/>
                <w:bCs/>
                <w:color w:val="000000" w:themeColor="text1"/>
                <w:szCs w:val="18"/>
              </w:rPr>
              <w:t>/helping departments, what are the main needs observed? For instance, what are the main questions that emerge from project applicants (e.g., in relation to DNSH criteria for different sectors, processes, legal thresholds…)?</w:t>
            </w:r>
          </w:p>
          <w:p w14:paraId="4672AB98" w14:textId="77777777" w:rsidR="00C31024" w:rsidRPr="00141D80" w:rsidRDefault="00C31024" w:rsidP="00963084">
            <w:pPr>
              <w:tabs>
                <w:tab w:val="left" w:pos="321"/>
              </w:tabs>
              <w:spacing w:line="280" w:lineRule="atLeast"/>
              <w:ind w:left="37"/>
              <w:jc w:val="left"/>
              <w:rPr>
                <w:bCs/>
                <w:color w:val="000000" w:themeColor="text1"/>
                <w:szCs w:val="18"/>
              </w:rPr>
            </w:pPr>
            <w:r>
              <w:rPr>
                <w:bCs/>
                <w:color w:val="005962" w:themeColor="accent1"/>
                <w:szCs w:val="18"/>
              </w:rPr>
              <w:t>Challenge 3: Governance of data needed to conduct DNSH assessments</w:t>
            </w:r>
          </w:p>
          <w:p w14:paraId="382DB857" w14:textId="77777777" w:rsidR="00C31024" w:rsidRPr="00A21ABC" w:rsidRDefault="00C31024" w:rsidP="00BC1B18">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rPr>
            </w:pPr>
            <w:r w:rsidRPr="00A21ABC">
              <w:rPr>
                <w:b w:val="0"/>
                <w:bCs/>
                <w:color w:val="000000" w:themeColor="text1"/>
                <w:szCs w:val="18"/>
              </w:rPr>
              <w:t>Datasets and data repositories have the potential to simplify DNSH process at various levels. Based on the project applicants’ suggestions and your experience, what do you think are the main requirements and success factors for setting up such datasets and data repositories? What are the main hurdles?</w:t>
            </w:r>
          </w:p>
          <w:p w14:paraId="4D05BE71" w14:textId="77777777" w:rsidR="00C31024" w:rsidRPr="004D5D98" w:rsidRDefault="00C31024" w:rsidP="00963084">
            <w:pPr>
              <w:tabs>
                <w:tab w:val="left" w:pos="321"/>
              </w:tabs>
              <w:spacing w:line="280" w:lineRule="atLeast"/>
              <w:ind w:left="37"/>
              <w:jc w:val="left"/>
              <w:rPr>
                <w:bCs/>
                <w:color w:val="005962" w:themeColor="accent1"/>
                <w:szCs w:val="18"/>
              </w:rPr>
            </w:pPr>
            <w:r w:rsidRPr="004D5D98">
              <w:rPr>
                <w:bCs/>
                <w:color w:val="005962" w:themeColor="accent1"/>
                <w:szCs w:val="18"/>
              </w:rPr>
              <w:t>Horizontal question</w:t>
            </w:r>
            <w:r>
              <w:rPr>
                <w:bCs/>
                <w:color w:val="005962" w:themeColor="accent1"/>
                <w:szCs w:val="18"/>
              </w:rPr>
              <w:t>(-</w:t>
            </w:r>
            <w:r w:rsidRPr="004D5D98">
              <w:rPr>
                <w:bCs/>
                <w:color w:val="005962" w:themeColor="accent1"/>
                <w:szCs w:val="18"/>
              </w:rPr>
              <w:t>s</w:t>
            </w:r>
            <w:r>
              <w:rPr>
                <w:bCs/>
                <w:color w:val="005962" w:themeColor="accent1"/>
                <w:szCs w:val="18"/>
              </w:rPr>
              <w:t>)</w:t>
            </w:r>
          </w:p>
          <w:p w14:paraId="7067D0E9" w14:textId="77777777" w:rsidR="00C31024" w:rsidRPr="00F11B72" w:rsidRDefault="00C31024" w:rsidP="00BC1B18">
            <w:pPr>
              <w:pStyle w:val="Odstavecseseznamem"/>
              <w:numPr>
                <w:ilvl w:val="0"/>
                <w:numId w:val="13"/>
              </w:numPr>
              <w:tabs>
                <w:tab w:val="clear" w:pos="851"/>
                <w:tab w:val="left" w:pos="321"/>
              </w:tabs>
              <w:spacing w:after="120" w:line="280" w:lineRule="atLeast"/>
              <w:ind w:left="321" w:hanging="284"/>
              <w:jc w:val="left"/>
              <w:rPr>
                <w:szCs w:val="18"/>
              </w:rPr>
            </w:pPr>
            <w:r w:rsidRPr="00A21ABC">
              <w:rPr>
                <w:b w:val="0"/>
                <w:bCs/>
                <w:color w:val="000000" w:themeColor="text1"/>
                <w:szCs w:val="18"/>
              </w:rPr>
              <w:t xml:space="preserve">How do you see DNSH governance unfolding over the next years in your country? </w:t>
            </w:r>
            <w:r>
              <w:rPr>
                <w:b w:val="0"/>
                <w:bCs/>
                <w:color w:val="000000" w:themeColor="text1"/>
                <w:szCs w:val="18"/>
              </w:rPr>
              <w:t>Is there any particular new environmental legislation coming up, in support of the application of the DNSH principle?</w:t>
            </w:r>
          </w:p>
        </w:tc>
      </w:tr>
      <w:bookmarkEnd w:id="74"/>
    </w:tbl>
    <w:p w14:paraId="05EC8F3A" w14:textId="77777777" w:rsidR="004443A0" w:rsidRDefault="004443A0" w:rsidP="00EC62F2">
      <w:pPr>
        <w:ind w:left="0"/>
      </w:pPr>
    </w:p>
    <w:p w14:paraId="4070208A" w14:textId="77777777" w:rsidR="004443A0" w:rsidRDefault="004443A0">
      <w:pPr>
        <w:spacing w:after="200" w:line="276" w:lineRule="auto"/>
        <w:ind w:left="0"/>
      </w:pPr>
      <w:r>
        <w:br w:type="page"/>
      </w:r>
    </w:p>
    <w:p w14:paraId="7DD904E4" w14:textId="1EF0DC0B" w:rsidR="00D159E4" w:rsidRPr="008A071C" w:rsidRDefault="00963084" w:rsidP="00DB1B88">
      <w:pPr>
        <w:pStyle w:val="Nadpis3"/>
      </w:pPr>
      <w:bookmarkStart w:id="75" w:name="_Toc128382410"/>
      <w:bookmarkStart w:id="76" w:name="_Toc131757469"/>
      <w:bookmarkStart w:id="77" w:name="_Toc131775862"/>
      <w:r w:rsidRPr="00963084">
        <w:lastRenderedPageBreak/>
        <w:t xml:space="preserve">Webinar </w:t>
      </w:r>
      <w:r>
        <w:t>2</w:t>
      </w:r>
      <w:bookmarkEnd w:id="75"/>
      <w:bookmarkEnd w:id="76"/>
      <w:bookmarkEnd w:id="77"/>
    </w:p>
    <w:p w14:paraId="099D8DE0" w14:textId="2D9D4667" w:rsidR="00D159E4" w:rsidRDefault="00D159E4" w:rsidP="00D159E4">
      <w:pPr>
        <w:pStyle w:val="Nadpis1"/>
        <w:numPr>
          <w:ilvl w:val="0"/>
          <w:numId w:val="0"/>
        </w:numPr>
        <w:spacing w:after="0" w:line="240" w:lineRule="auto"/>
        <w:jc w:val="center"/>
      </w:pPr>
      <w:bookmarkStart w:id="78" w:name="_Toc128382411"/>
      <w:bookmarkStart w:id="79" w:name="_Toc131757470"/>
      <w:bookmarkStart w:id="80" w:name="_Toc131775863"/>
      <w:r>
        <w:t>Peer learning exchange on existing practices on the application of the DNSH principle</w:t>
      </w:r>
      <w:r w:rsidR="00A732E1">
        <w:t xml:space="preserve"> (II)</w:t>
      </w:r>
      <w:bookmarkEnd w:id="78"/>
      <w:bookmarkEnd w:id="79"/>
      <w:bookmarkEnd w:id="80"/>
    </w:p>
    <w:p w14:paraId="7C588557" w14:textId="77777777" w:rsidR="00D159E4" w:rsidRPr="00F77F04" w:rsidRDefault="00D159E4" w:rsidP="00666175">
      <w:pPr>
        <w:spacing w:line="240" w:lineRule="auto"/>
        <w:ind w:left="0"/>
        <w:rPr>
          <w:b/>
          <w:bCs/>
          <w:color w:val="005962" w:themeColor="accent1"/>
          <w:sz w:val="20"/>
          <w:szCs w:val="20"/>
        </w:rPr>
      </w:pPr>
    </w:p>
    <w:p w14:paraId="6B0058EF" w14:textId="77777777" w:rsidR="00D159E4" w:rsidRPr="000F4296" w:rsidRDefault="00D159E4" w:rsidP="00D159E4">
      <w:pPr>
        <w:spacing w:line="240" w:lineRule="auto"/>
        <w:ind w:left="0"/>
        <w:rPr>
          <w:b/>
          <w:bCs/>
          <w:color w:val="005962" w:themeColor="accent1"/>
          <w:sz w:val="20"/>
          <w:szCs w:val="20"/>
        </w:rPr>
      </w:pPr>
      <w:r>
        <w:rPr>
          <w:b/>
          <w:bCs/>
          <w:color w:val="005962" w:themeColor="accent1"/>
          <w:sz w:val="20"/>
          <w:szCs w:val="20"/>
        </w:rPr>
        <w:t>Webinar (MS Teams)</w:t>
      </w:r>
      <w:r w:rsidRPr="00F77F04">
        <w:rPr>
          <w:b/>
          <w:bCs/>
          <w:color w:val="005962" w:themeColor="accent1"/>
          <w:sz w:val="20"/>
          <w:szCs w:val="20"/>
        </w:rPr>
        <w:t xml:space="preserve">: </w:t>
      </w:r>
      <w:r w:rsidRPr="004E43A9">
        <w:rPr>
          <w:b/>
          <w:bCs/>
          <w:color w:val="005962" w:themeColor="accent1"/>
          <w:sz w:val="20"/>
          <w:szCs w:val="20"/>
        </w:rPr>
        <w:t xml:space="preserve">Implementation of simplified and </w:t>
      </w:r>
      <w:r>
        <w:rPr>
          <w:b/>
          <w:bCs/>
          <w:color w:val="005962" w:themeColor="accent1"/>
          <w:sz w:val="20"/>
          <w:szCs w:val="20"/>
        </w:rPr>
        <w:t>detailed</w:t>
      </w:r>
      <w:r w:rsidRPr="004E43A9">
        <w:rPr>
          <w:b/>
          <w:bCs/>
          <w:color w:val="005962" w:themeColor="accent1"/>
          <w:sz w:val="20"/>
          <w:szCs w:val="20"/>
        </w:rPr>
        <w:t xml:space="preserve"> DNSH assessments</w:t>
      </w:r>
    </w:p>
    <w:p w14:paraId="0760AC42" w14:textId="77777777" w:rsidR="00D159E4" w:rsidRPr="000F4296" w:rsidRDefault="00D159E4" w:rsidP="00666175">
      <w:pPr>
        <w:spacing w:line="240" w:lineRule="auto"/>
        <w:ind w:left="0"/>
        <w:rPr>
          <w:b/>
          <w:bCs/>
          <w:color w:val="005962" w:themeColor="accent1"/>
          <w:sz w:val="20"/>
          <w:szCs w:val="20"/>
        </w:rPr>
      </w:pPr>
    </w:p>
    <w:tbl>
      <w:tblPr>
        <w:tblStyle w:val="Mkatabulky"/>
        <w:tblW w:w="0" w:type="auto"/>
        <w:tblLook w:val="04A0" w:firstRow="1" w:lastRow="0" w:firstColumn="1" w:lastColumn="0" w:noHBand="0" w:noVBand="1"/>
      </w:tblPr>
      <w:tblGrid>
        <w:gridCol w:w="1696"/>
        <w:gridCol w:w="2410"/>
        <w:gridCol w:w="4672"/>
      </w:tblGrid>
      <w:tr w:rsidR="00D159E4" w14:paraId="75A380EB" w14:textId="77777777" w:rsidTr="00EA2D8D">
        <w:trPr>
          <w:trHeight w:val="255"/>
        </w:trPr>
        <w:tc>
          <w:tcPr>
            <w:tcW w:w="1696" w:type="dxa"/>
          </w:tcPr>
          <w:p w14:paraId="22BD14F4" w14:textId="77777777" w:rsidR="00D159E4" w:rsidRDefault="00D159E4" w:rsidP="00D159E4">
            <w:pPr>
              <w:spacing w:line="240" w:lineRule="auto"/>
              <w:ind w:left="0"/>
              <w:rPr>
                <w:color w:val="005962" w:themeColor="accent1"/>
              </w:rPr>
            </w:pPr>
            <w:r w:rsidRPr="008D0254">
              <w:rPr>
                <w:b/>
                <w:bCs/>
                <w:color w:val="005962" w:themeColor="accent1"/>
              </w:rPr>
              <w:t>Date:</w:t>
            </w:r>
            <w:r>
              <w:rPr>
                <w:color w:val="005962" w:themeColor="accent1"/>
              </w:rPr>
              <w:t xml:space="preserve"> 02/02/2023</w:t>
            </w:r>
          </w:p>
        </w:tc>
        <w:tc>
          <w:tcPr>
            <w:tcW w:w="2410" w:type="dxa"/>
          </w:tcPr>
          <w:p w14:paraId="4AD9983A" w14:textId="277F199B" w:rsidR="00D159E4" w:rsidRDefault="00D159E4" w:rsidP="00D159E4">
            <w:pPr>
              <w:spacing w:line="240" w:lineRule="auto"/>
              <w:ind w:left="0"/>
              <w:rPr>
                <w:color w:val="005962" w:themeColor="accent1"/>
              </w:rPr>
            </w:pPr>
            <w:r w:rsidRPr="008D0254">
              <w:rPr>
                <w:b/>
                <w:bCs/>
                <w:color w:val="005962" w:themeColor="accent1"/>
              </w:rPr>
              <w:t>Time:</w:t>
            </w:r>
            <w:r>
              <w:rPr>
                <w:color w:val="005962" w:themeColor="accent1"/>
              </w:rPr>
              <w:t xml:space="preserve"> </w:t>
            </w:r>
            <w:r w:rsidRPr="00F24A60">
              <w:rPr>
                <w:color w:val="005962" w:themeColor="accent1"/>
              </w:rPr>
              <w:t>10.00</w:t>
            </w:r>
            <w:r w:rsidR="00901703">
              <w:rPr>
                <w:color w:val="005962" w:themeColor="accent1"/>
              </w:rPr>
              <w:t xml:space="preserve"> </w:t>
            </w:r>
            <w:r w:rsidRPr="00F24A60">
              <w:rPr>
                <w:color w:val="005962" w:themeColor="accent1"/>
              </w:rPr>
              <w:t>-</w:t>
            </w:r>
            <w:r w:rsidR="00901703">
              <w:rPr>
                <w:color w:val="005962" w:themeColor="accent1"/>
              </w:rPr>
              <w:t xml:space="preserve"> </w:t>
            </w:r>
            <w:r w:rsidRPr="00F24A60">
              <w:rPr>
                <w:color w:val="005962" w:themeColor="accent1"/>
              </w:rPr>
              <w:t>12.30h</w:t>
            </w:r>
            <w:r>
              <w:rPr>
                <w:color w:val="005962" w:themeColor="accent1"/>
              </w:rPr>
              <w:t xml:space="preserve"> CET</w:t>
            </w:r>
          </w:p>
        </w:tc>
        <w:tc>
          <w:tcPr>
            <w:tcW w:w="4672" w:type="dxa"/>
          </w:tcPr>
          <w:p w14:paraId="18B1BCC5" w14:textId="77777777" w:rsidR="00D159E4" w:rsidRDefault="00D159E4" w:rsidP="00D159E4">
            <w:pPr>
              <w:spacing w:line="240" w:lineRule="auto"/>
              <w:ind w:left="0"/>
              <w:rPr>
                <w:color w:val="005962" w:themeColor="accent1"/>
              </w:rPr>
            </w:pPr>
            <w:r w:rsidRPr="008D0254">
              <w:rPr>
                <w:b/>
                <w:bCs/>
                <w:color w:val="005962" w:themeColor="accent1"/>
              </w:rPr>
              <w:t>Location</w:t>
            </w:r>
            <w:r>
              <w:rPr>
                <w:color w:val="005962" w:themeColor="accent1"/>
              </w:rPr>
              <w:t xml:space="preserve">: MS Teams. </w:t>
            </w:r>
            <w:r w:rsidRPr="0050331A">
              <w:rPr>
                <w:color w:val="005962" w:themeColor="accent1"/>
              </w:rPr>
              <w:t xml:space="preserve">The link for connection is edited automatically after the participant registered </w:t>
            </w:r>
            <w:hyperlink r:id="rId23" w:history="1">
              <w:r w:rsidRPr="0050331A">
                <w:rPr>
                  <w:rStyle w:val="Hypertextovodkaz"/>
                </w:rPr>
                <w:t>here</w:t>
              </w:r>
            </w:hyperlink>
          </w:p>
        </w:tc>
      </w:tr>
    </w:tbl>
    <w:p w14:paraId="1C95AFC9" w14:textId="77777777" w:rsidR="00D159E4" w:rsidRDefault="00D159E4" w:rsidP="00666175">
      <w:pPr>
        <w:ind w:left="0"/>
        <w:jc w:val="both"/>
      </w:pPr>
    </w:p>
    <w:p w14:paraId="3585619A" w14:textId="77777777" w:rsidR="00D159E4" w:rsidRDefault="00D159E4" w:rsidP="00D159E4">
      <w:pPr>
        <w:pStyle w:val="Nadpis2"/>
        <w:numPr>
          <w:ilvl w:val="0"/>
          <w:numId w:val="0"/>
        </w:numPr>
      </w:pPr>
      <w:bookmarkStart w:id="81" w:name="_Toc128382412"/>
      <w:bookmarkStart w:id="82" w:name="_Toc131757471"/>
      <w:bookmarkStart w:id="83" w:name="_Toc131775864"/>
      <w:r>
        <w:t>About the p</w:t>
      </w:r>
      <w:r w:rsidRPr="009C3688">
        <w:t>eer-learning exchange</w:t>
      </w:r>
      <w:bookmarkEnd w:id="81"/>
      <w:bookmarkEnd w:id="82"/>
      <w:bookmarkEnd w:id="83"/>
    </w:p>
    <w:p w14:paraId="0852D8BE" w14:textId="24A979CB" w:rsidR="00846659" w:rsidRPr="00931006" w:rsidRDefault="00846659" w:rsidP="00EA2D8D">
      <w:pPr>
        <w:ind w:left="0"/>
      </w:pPr>
      <w:r>
        <w:rPr>
          <w:lang w:val="en-GB"/>
        </w:rPr>
        <w:t>Please refer to this section under</w:t>
      </w:r>
      <w:r w:rsidR="00901703">
        <w:rPr>
          <w:lang w:val="en-GB"/>
        </w:rPr>
        <w:t xml:space="preserve"> concept note for Webinar 1. </w:t>
      </w:r>
    </w:p>
    <w:p w14:paraId="4EBEB8B2" w14:textId="77777777" w:rsidR="00D159E4" w:rsidRDefault="00D159E4" w:rsidP="00D159E4">
      <w:pPr>
        <w:ind w:left="0"/>
        <w:jc w:val="both"/>
      </w:pPr>
    </w:p>
    <w:p w14:paraId="05C051D8" w14:textId="77777777" w:rsidR="00D159E4" w:rsidRPr="00A54082" w:rsidRDefault="00D159E4" w:rsidP="00D159E4">
      <w:pPr>
        <w:pStyle w:val="Nadpis2"/>
        <w:numPr>
          <w:ilvl w:val="0"/>
          <w:numId w:val="0"/>
        </w:numPr>
      </w:pPr>
      <w:bookmarkStart w:id="84" w:name="_Toc128382413"/>
      <w:bookmarkStart w:id="85" w:name="_Toc131757472"/>
      <w:bookmarkStart w:id="86" w:name="_Toc131775865"/>
      <w:r>
        <w:t xml:space="preserve">Webinar 2: </w:t>
      </w:r>
      <w:r w:rsidRPr="004177AD">
        <w:t xml:space="preserve">Implementation of simplified and </w:t>
      </w:r>
      <w:r>
        <w:t>detailed</w:t>
      </w:r>
      <w:r w:rsidRPr="004177AD">
        <w:t xml:space="preserve"> DNSH assessments</w:t>
      </w:r>
      <w:bookmarkEnd w:id="84"/>
      <w:bookmarkEnd w:id="85"/>
      <w:bookmarkEnd w:id="86"/>
    </w:p>
    <w:p w14:paraId="3E108264" w14:textId="77777777" w:rsidR="00D159E4" w:rsidRPr="006317C2" w:rsidRDefault="00D159E4" w:rsidP="00D159E4">
      <w:pPr>
        <w:ind w:left="0"/>
        <w:rPr>
          <w:b/>
          <w:bCs/>
          <w:color w:val="F04E30" w:themeColor="accent2"/>
        </w:rPr>
      </w:pPr>
      <w:r>
        <w:rPr>
          <w:b/>
          <w:bCs/>
          <w:color w:val="F04E30" w:themeColor="accent2"/>
        </w:rPr>
        <w:t>About the challenge</w:t>
      </w:r>
    </w:p>
    <w:p w14:paraId="1A6715A4" w14:textId="77777777" w:rsidR="00D159E4" w:rsidRDefault="00D159E4" w:rsidP="00D159E4">
      <w:pPr>
        <w:ind w:left="0"/>
        <w:jc w:val="both"/>
      </w:pPr>
      <w:r w:rsidRPr="001B3076">
        <w:t xml:space="preserve">Building on technical consultations with stakeholders in Czechia and other </w:t>
      </w:r>
      <w:r>
        <w:t xml:space="preserve">EU </w:t>
      </w:r>
      <w:r w:rsidRPr="001B3076">
        <w:t>Member States, th</w:t>
      </w:r>
      <w:r w:rsidRPr="00243B77">
        <w:t xml:space="preserve">is </w:t>
      </w:r>
      <w:r w:rsidRPr="00B546EF">
        <w:rPr>
          <w:b/>
          <w:bCs/>
        </w:rPr>
        <w:t>second webinar</w:t>
      </w:r>
      <w:r w:rsidRPr="001B3076">
        <w:t xml:space="preserve"> will focus on the experiences and practices </w:t>
      </w:r>
      <w:r>
        <w:t xml:space="preserve">to </w:t>
      </w:r>
      <w:r w:rsidRPr="009570D9">
        <w:rPr>
          <w:b/>
          <w:bCs/>
        </w:rPr>
        <w:t>implement</w:t>
      </w:r>
      <w:r>
        <w:t xml:space="preserve"> </w:t>
      </w:r>
      <w:r>
        <w:rPr>
          <w:b/>
        </w:rPr>
        <w:t xml:space="preserve">simplified and detailed </w:t>
      </w:r>
      <w:r w:rsidRPr="0C695760">
        <w:rPr>
          <w:b/>
        </w:rPr>
        <w:t xml:space="preserve">DNSH </w:t>
      </w:r>
      <w:r>
        <w:rPr>
          <w:b/>
        </w:rPr>
        <w:t>assessments</w:t>
      </w:r>
      <w:r>
        <w:t xml:space="preserve">. In particular, the webinar will discuss how Member States can </w:t>
      </w:r>
      <w:r w:rsidRPr="00B546EF">
        <w:t>balance the</w:t>
      </w:r>
      <w:r w:rsidRPr="00FE756A">
        <w:rPr>
          <w:b/>
          <w:bCs/>
        </w:rPr>
        <w:t xml:space="preserve"> effectiveness of </w:t>
      </w:r>
      <w:r>
        <w:rPr>
          <w:b/>
          <w:bCs/>
        </w:rPr>
        <w:t xml:space="preserve">simplified versus detailed </w:t>
      </w:r>
      <w:r w:rsidRPr="00FE756A">
        <w:rPr>
          <w:b/>
          <w:bCs/>
        </w:rPr>
        <w:t>DNSH assessments</w:t>
      </w:r>
      <w:r>
        <w:t xml:space="preserve"> to ensure the environmental integrity of the DNSH principle through EU and national budget spending on the one hand, </w:t>
      </w:r>
      <w:r w:rsidRPr="00B546EF">
        <w:t>and the</w:t>
      </w:r>
      <w:r w:rsidRPr="00FE756A">
        <w:rPr>
          <w:b/>
          <w:bCs/>
        </w:rPr>
        <w:t xml:space="preserve"> </w:t>
      </w:r>
      <w:r>
        <w:rPr>
          <w:b/>
          <w:bCs/>
        </w:rPr>
        <w:t xml:space="preserve">proportional </w:t>
      </w:r>
      <w:r w:rsidRPr="00FE756A">
        <w:rPr>
          <w:b/>
          <w:bCs/>
        </w:rPr>
        <w:t>administrative burden</w:t>
      </w:r>
      <w:r>
        <w:rPr>
          <w:b/>
          <w:bCs/>
        </w:rPr>
        <w:t xml:space="preserve"> on the applicants and managing authorities</w:t>
      </w:r>
      <w:r>
        <w:t xml:space="preserve"> on the other hand in relation to the potential high(-er) environmental impacts. The webinar will notably revolve around the following challenges: </w:t>
      </w:r>
    </w:p>
    <w:p w14:paraId="7FB5E9D9" w14:textId="77777777" w:rsidR="00D159E4" w:rsidRDefault="00D159E4" w:rsidP="00BC1B18">
      <w:pPr>
        <w:pStyle w:val="Odstavecseseznamem"/>
        <w:numPr>
          <w:ilvl w:val="0"/>
          <w:numId w:val="18"/>
        </w:numPr>
        <w:spacing w:before="120" w:after="120" w:line="280" w:lineRule="exact"/>
        <w:jc w:val="both"/>
      </w:pPr>
      <w:r>
        <w:t>Understanding of the differences between simplified and detailed DNSH assessments under the RRF and Cohesion Policy funds (CPF);</w:t>
      </w:r>
    </w:p>
    <w:p w14:paraId="00D92FA8" w14:textId="77777777" w:rsidR="00D159E4" w:rsidRDefault="00D159E4" w:rsidP="00BC1B18">
      <w:pPr>
        <w:pStyle w:val="Odstavecseseznamem"/>
        <w:numPr>
          <w:ilvl w:val="0"/>
          <w:numId w:val="18"/>
        </w:numPr>
        <w:spacing w:before="120" w:after="120" w:line="280" w:lineRule="exact"/>
        <w:jc w:val="both"/>
      </w:pPr>
      <w:r>
        <w:t>Developing approaches that simplify and standardize DNSH assessments;</w:t>
      </w:r>
    </w:p>
    <w:p w14:paraId="27060365" w14:textId="77777777" w:rsidR="00D159E4" w:rsidRDefault="00D159E4" w:rsidP="00BC1B18">
      <w:pPr>
        <w:pStyle w:val="Odstavecseseznamem"/>
        <w:numPr>
          <w:ilvl w:val="0"/>
          <w:numId w:val="18"/>
        </w:numPr>
        <w:spacing w:before="120" w:after="120" w:line="280" w:lineRule="exact"/>
        <w:jc w:val="both"/>
      </w:pPr>
      <w:r>
        <w:t xml:space="preserve">Recognizing the importance of programme and project typology to determine which DNSH assessment type are needed; </w:t>
      </w:r>
    </w:p>
    <w:p w14:paraId="2CBCF87C" w14:textId="77777777" w:rsidR="00D159E4" w:rsidRDefault="00D159E4" w:rsidP="00BC1B18">
      <w:pPr>
        <w:pStyle w:val="Odstavecseseznamem"/>
        <w:numPr>
          <w:ilvl w:val="0"/>
          <w:numId w:val="18"/>
        </w:numPr>
        <w:spacing w:before="120" w:after="120" w:line="280" w:lineRule="exact"/>
        <w:jc w:val="both"/>
      </w:pPr>
      <w:r>
        <w:t>Setting a definition of “significant harm to the environment” and ensuring that environmental integrity is not breached (including for simplified DNSH assessments);</w:t>
      </w:r>
    </w:p>
    <w:p w14:paraId="68957444" w14:textId="77777777" w:rsidR="00D159E4" w:rsidRDefault="00D159E4" w:rsidP="00BC1B18">
      <w:pPr>
        <w:pStyle w:val="Odstavecseseznamem"/>
        <w:numPr>
          <w:ilvl w:val="0"/>
          <w:numId w:val="18"/>
        </w:numPr>
        <w:spacing w:before="120" w:after="120" w:line="280" w:lineRule="exact"/>
        <w:jc w:val="both"/>
      </w:pPr>
      <w:r>
        <w:t>Striking a balance between sector-specific questions and generic prerequisites as part of the DNSH assessments.</w:t>
      </w:r>
    </w:p>
    <w:p w14:paraId="489A3446" w14:textId="77777777" w:rsidR="00D159E4" w:rsidRDefault="00D159E4" w:rsidP="00666175">
      <w:pPr>
        <w:ind w:left="0"/>
        <w:jc w:val="both"/>
      </w:pPr>
      <w:r>
        <w:t xml:space="preserve">In addition, the webinar will discuss the </w:t>
      </w:r>
      <w:r w:rsidRPr="009C630F">
        <w:rPr>
          <w:b/>
          <w:bCs/>
        </w:rPr>
        <w:t>relationship between the implementation of the DNSH principle and legislative frameworks</w:t>
      </w:r>
      <w:r>
        <w:t>. Prior diagnostic research within the context of the TSI project concluded that (strong) national environmental legislation frameworks supports the application and compliance of the DNSH principle and avoids duplication of work for managing authorities and applicants. The webinar will offer the opportunity to discuss how to transform and/or use legislative frameworks to simplify DNSH assessments</w:t>
      </w:r>
      <w:r w:rsidRPr="003D1FF5">
        <w:t>.</w:t>
      </w:r>
    </w:p>
    <w:p w14:paraId="3D51E79E" w14:textId="77777777" w:rsidR="00666175" w:rsidRDefault="00666175" w:rsidP="00666175">
      <w:pPr>
        <w:ind w:left="0"/>
        <w:jc w:val="both"/>
      </w:pPr>
    </w:p>
    <w:p w14:paraId="5ED4423C" w14:textId="77777777" w:rsidR="00DB1B88" w:rsidRDefault="00D159E4" w:rsidP="00DB1B88">
      <w:pPr>
        <w:ind w:left="0"/>
        <w:jc w:val="both"/>
      </w:pPr>
      <w:r>
        <w:t xml:space="preserve">Finally, the webinar proposes to discuss the application of the DNSH principle </w:t>
      </w:r>
      <w:r w:rsidRPr="009C630F">
        <w:rPr>
          <w:b/>
          <w:bCs/>
        </w:rPr>
        <w:t>from the appraisal to the monitoring</w:t>
      </w:r>
      <w:r>
        <w:t xml:space="preserve"> (and possibly decommissioning) stage. </w:t>
      </w:r>
    </w:p>
    <w:p w14:paraId="55EF60DB" w14:textId="77777777" w:rsidR="00DB1B88" w:rsidRDefault="00DB1B88" w:rsidP="00DB1B88">
      <w:pPr>
        <w:ind w:left="0"/>
        <w:jc w:val="both"/>
      </w:pPr>
    </w:p>
    <w:p w14:paraId="0FFDEBB7" w14:textId="77777777" w:rsidR="00D159E4" w:rsidRPr="00840648" w:rsidRDefault="00D159E4" w:rsidP="00D159E4">
      <w:pPr>
        <w:pStyle w:val="Nadpis4"/>
        <w:ind w:firstLine="0"/>
      </w:pPr>
      <w:r>
        <w:t>Approach used for the webinars</w:t>
      </w:r>
    </w:p>
    <w:p w14:paraId="1B487EE2" w14:textId="77777777" w:rsidR="00D159E4" w:rsidRPr="00B34D5A" w:rsidRDefault="00D159E4" w:rsidP="00666175">
      <w:pPr>
        <w:ind w:left="0"/>
        <w:jc w:val="both"/>
        <w:rPr>
          <w:b/>
          <w:bCs/>
          <w:color w:val="005962" w:themeColor="accent1"/>
        </w:rPr>
      </w:pPr>
      <w:r w:rsidRPr="00B34D5A">
        <w:rPr>
          <w:b/>
          <w:bCs/>
          <w:color w:val="005962" w:themeColor="accent1"/>
        </w:rPr>
        <w:t>Part I: Introduction and setting the scene</w:t>
      </w:r>
    </w:p>
    <w:p w14:paraId="47386ECE" w14:textId="77777777" w:rsidR="00D159E4" w:rsidRDefault="00D159E4" w:rsidP="00666175">
      <w:pPr>
        <w:ind w:left="0"/>
        <w:jc w:val="both"/>
      </w:pPr>
      <w:r w:rsidRPr="007E7165">
        <w:t xml:space="preserve">The </w:t>
      </w:r>
      <w:r>
        <w:t>webinar</w:t>
      </w:r>
      <w:r w:rsidRPr="007E7165">
        <w:t xml:space="preserve"> will start</w:t>
      </w:r>
      <w:r>
        <w:t xml:space="preserve"> by giving</w:t>
      </w:r>
      <w:r w:rsidRPr="007E7165">
        <w:t xml:space="preserve"> a brief </w:t>
      </w:r>
      <w:r>
        <w:t>introduction</w:t>
      </w:r>
      <w:r w:rsidRPr="007E7165">
        <w:t xml:space="preserve"> about the </w:t>
      </w:r>
      <w:r w:rsidRPr="0C695760">
        <w:rPr>
          <w:b/>
        </w:rPr>
        <w:t xml:space="preserve">agenda and objectives </w:t>
      </w:r>
      <w:r w:rsidRPr="0C695760">
        <w:rPr>
          <w:b/>
          <w:bCs/>
        </w:rPr>
        <w:t>of</w:t>
      </w:r>
      <w:r w:rsidRPr="0C695760">
        <w:rPr>
          <w:b/>
        </w:rPr>
        <w:t xml:space="preserve"> the webinar</w:t>
      </w:r>
      <w:r>
        <w:rPr>
          <w:b/>
        </w:rPr>
        <w:t>,</w:t>
      </w:r>
      <w:r w:rsidRPr="00E63AF2">
        <w:t xml:space="preserve"> </w:t>
      </w:r>
      <w:r w:rsidRPr="007E7165">
        <w:t>and will be followed by presentation</w:t>
      </w:r>
      <w:r>
        <w:t xml:space="preserve">s from the project team and representatives of Czechia, Slovakia and Finland about </w:t>
      </w:r>
      <w:r w:rsidRPr="009128E4">
        <w:lastRenderedPageBreak/>
        <w:t xml:space="preserve">their </w:t>
      </w:r>
      <w:r>
        <w:t xml:space="preserve">specific practice (“focus case”) in relation to the webinar’s challenge. The </w:t>
      </w:r>
      <w:r w:rsidRPr="00B546EF">
        <w:rPr>
          <w:b/>
          <w:bCs/>
        </w:rPr>
        <w:t>project team (Trinomics)</w:t>
      </w:r>
      <w:r>
        <w:t xml:space="preserve"> will start setting the scene around the challenge by putting this within the Czech context (based on the diagnostic analysis carried out in 2022). </w:t>
      </w:r>
      <w:r w:rsidRPr="0C695760">
        <w:rPr>
          <w:b/>
        </w:rPr>
        <w:t>Czechia</w:t>
      </w:r>
      <w:r>
        <w:t xml:space="preserve"> will then</w:t>
      </w:r>
      <w:r w:rsidRPr="001A0BFA">
        <w:t xml:space="preserve"> </w:t>
      </w:r>
      <w:r>
        <w:t xml:space="preserve">present its approach to </w:t>
      </w:r>
      <w:r w:rsidRPr="0071058D">
        <w:rPr>
          <w:b/>
          <w:bCs/>
        </w:rPr>
        <w:t xml:space="preserve">simplify DNSH assessments and to </w:t>
      </w:r>
      <w:r>
        <w:rPr>
          <w:b/>
          <w:bCs/>
        </w:rPr>
        <w:t>categorize</w:t>
      </w:r>
      <w:r w:rsidRPr="0071058D">
        <w:rPr>
          <w:b/>
          <w:bCs/>
        </w:rPr>
        <w:t xml:space="preserve"> different types of DNSH assessments</w:t>
      </w:r>
      <w:r>
        <w:t xml:space="preserve">. </w:t>
      </w:r>
      <w:r w:rsidRPr="007D5463">
        <w:t xml:space="preserve">This example will be followed by a focus case on </w:t>
      </w:r>
      <w:r w:rsidRPr="007D5463">
        <w:rPr>
          <w:b/>
        </w:rPr>
        <w:t xml:space="preserve">Slovakia’s </w:t>
      </w:r>
      <w:r>
        <w:rPr>
          <w:b/>
        </w:rPr>
        <w:t xml:space="preserve">granular </w:t>
      </w:r>
      <w:r w:rsidRPr="007D5463">
        <w:rPr>
          <w:b/>
        </w:rPr>
        <w:t xml:space="preserve">approach to DNSH </w:t>
      </w:r>
      <w:r>
        <w:rPr>
          <w:b/>
          <w:bCs/>
        </w:rPr>
        <w:t>assessment</w:t>
      </w:r>
      <w:r w:rsidRPr="00B546EF">
        <w:rPr>
          <w:b/>
          <w:bCs/>
        </w:rPr>
        <w:t xml:space="preserve"> </w:t>
      </w:r>
      <w:r>
        <w:rPr>
          <w:b/>
          <w:bCs/>
        </w:rPr>
        <w:t>for buildings</w:t>
      </w:r>
      <w:r w:rsidRPr="00B546EF">
        <w:rPr>
          <w:b/>
          <w:bCs/>
        </w:rPr>
        <w:t xml:space="preserve"> </w:t>
      </w:r>
      <w:r>
        <w:rPr>
          <w:b/>
          <w:bCs/>
        </w:rPr>
        <w:t>under the RRF</w:t>
      </w:r>
      <w:r w:rsidRPr="00B546EF">
        <w:t>.</w:t>
      </w:r>
      <w:r w:rsidRPr="007D5463">
        <w:t xml:space="preserve"> </w:t>
      </w:r>
      <w:r>
        <w:t xml:space="preserve">The second focus case will introduce the approach </w:t>
      </w:r>
      <w:r w:rsidRPr="006C1CEE">
        <w:rPr>
          <w:b/>
          <w:bCs/>
        </w:rPr>
        <w:t>Finland</w:t>
      </w:r>
      <w:r>
        <w:rPr>
          <w:b/>
          <w:bCs/>
        </w:rPr>
        <w:t xml:space="preserve"> </w:t>
      </w:r>
      <w:r w:rsidRPr="00B546EF">
        <w:t>has taken</w:t>
      </w:r>
      <w:r>
        <w:t xml:space="preserve"> in applying the DNSH principle beyond the EU funds by embedding DNSH requirements within recently adopted national legislation supporting the Finnish green transition. More specifically, Finland has adopted a </w:t>
      </w:r>
      <w:r w:rsidRPr="006C1CEE">
        <w:rPr>
          <w:b/>
          <w:bCs/>
        </w:rPr>
        <w:t xml:space="preserve">priority order law which facilitates </w:t>
      </w:r>
      <w:r>
        <w:rPr>
          <w:b/>
          <w:bCs/>
        </w:rPr>
        <w:t xml:space="preserve">and speeds up </w:t>
      </w:r>
      <w:r w:rsidRPr="006C1CEE">
        <w:rPr>
          <w:b/>
          <w:bCs/>
        </w:rPr>
        <w:t>the environmental permitting</w:t>
      </w:r>
      <w:r>
        <w:t xml:space="preserve"> of infrastructure projects that comply with the DNSH principle.</w:t>
      </w:r>
    </w:p>
    <w:p w14:paraId="5A32B4D7" w14:textId="77777777" w:rsidR="00666175" w:rsidRDefault="00666175" w:rsidP="00666175">
      <w:pPr>
        <w:ind w:left="0"/>
        <w:jc w:val="both"/>
        <w:rPr>
          <w:b/>
          <w:bCs/>
          <w:color w:val="005962" w:themeColor="accent1"/>
        </w:rPr>
      </w:pPr>
    </w:p>
    <w:p w14:paraId="5AFFB258" w14:textId="77777777" w:rsidR="00D159E4" w:rsidRPr="00A4662C" w:rsidRDefault="00D159E4" w:rsidP="00666175">
      <w:pPr>
        <w:ind w:left="0"/>
        <w:jc w:val="both"/>
        <w:rPr>
          <w:b/>
          <w:bCs/>
          <w:color w:val="005962" w:themeColor="accent1"/>
        </w:rPr>
      </w:pPr>
      <w:r w:rsidRPr="00A4662C">
        <w:rPr>
          <w:b/>
          <w:bCs/>
          <w:color w:val="005962" w:themeColor="accent1"/>
        </w:rPr>
        <w:t xml:space="preserve">Part II: Panel discussion – </w:t>
      </w:r>
      <w:r w:rsidRPr="00521FA3">
        <w:rPr>
          <w:b/>
          <w:bCs/>
          <w:color w:val="005962" w:themeColor="accent1"/>
        </w:rPr>
        <w:t xml:space="preserve">Implementation of simplified and </w:t>
      </w:r>
      <w:r>
        <w:rPr>
          <w:b/>
          <w:bCs/>
          <w:color w:val="005962" w:themeColor="accent1"/>
        </w:rPr>
        <w:t xml:space="preserve">detailed </w:t>
      </w:r>
      <w:r w:rsidRPr="00521FA3">
        <w:rPr>
          <w:b/>
          <w:bCs/>
          <w:color w:val="005962" w:themeColor="accent1"/>
        </w:rPr>
        <w:t>DNSH assessments</w:t>
      </w:r>
    </w:p>
    <w:p w14:paraId="1E69CE2F" w14:textId="77777777" w:rsidR="00D159E4" w:rsidRDefault="00D159E4" w:rsidP="00666175">
      <w:pPr>
        <w:ind w:left="0"/>
        <w:jc w:val="both"/>
      </w:pPr>
      <w:r>
        <w:t>P</w:t>
      </w:r>
      <w:r w:rsidRPr="00851F5C">
        <w:t xml:space="preserve">resentations from Member States will </w:t>
      </w:r>
      <w:r>
        <w:t xml:space="preserve">pave the way to </w:t>
      </w:r>
      <w:r w:rsidRPr="00851F5C">
        <w:t xml:space="preserve">the </w:t>
      </w:r>
      <w:r w:rsidRPr="00EE0A59">
        <w:rPr>
          <w:b/>
        </w:rPr>
        <w:t>panel discussion</w:t>
      </w:r>
      <w:r w:rsidRPr="00851F5C">
        <w:t xml:space="preserve">, which will be guided by </w:t>
      </w:r>
      <w:r>
        <w:t xml:space="preserve">open questions developed by the project team and based on technical consultations with stakeholders in Czechia and other EU Member States. The panel discussion will also allow participants to ask questions in relation to the practices and examples presented in Part I of the webinar. </w:t>
      </w:r>
      <w:r w:rsidRPr="00851F5C">
        <w:t xml:space="preserve">The </w:t>
      </w:r>
      <w:r>
        <w:t xml:space="preserve">panel discussion questions have been developed so that Member States can </w:t>
      </w:r>
      <w:r w:rsidRPr="0013232C">
        <w:t xml:space="preserve">gain </w:t>
      </w:r>
      <w:r w:rsidRPr="00EE0A59">
        <w:rPr>
          <w:b/>
        </w:rPr>
        <w:t>new insights, ideas, and perspectives</w:t>
      </w:r>
      <w:r w:rsidRPr="00C45B84">
        <w:t xml:space="preserve"> </w:t>
      </w:r>
      <w:r>
        <w:t xml:space="preserve">to ensure an effective and efficient implementation of DNSH simplified and detailed assessments. </w:t>
      </w:r>
    </w:p>
    <w:p w14:paraId="36F7C007" w14:textId="77777777" w:rsidR="00666175" w:rsidRDefault="00666175" w:rsidP="004443A0"/>
    <w:p w14:paraId="5C17B059" w14:textId="77777777" w:rsidR="00D159E4" w:rsidRPr="00840648" w:rsidRDefault="00D159E4" w:rsidP="00D159E4">
      <w:pPr>
        <w:pStyle w:val="Nadpis4"/>
        <w:ind w:firstLine="0"/>
      </w:pPr>
      <w:r>
        <w:t>Programme</w:t>
      </w:r>
    </w:p>
    <w:tbl>
      <w:tblPr>
        <w:tblStyle w:val="Mkatabulky"/>
        <w:tblW w:w="0" w:type="auto"/>
        <w:tblLook w:val="04A0" w:firstRow="1" w:lastRow="0" w:firstColumn="1" w:lastColumn="0" w:noHBand="0" w:noVBand="1"/>
      </w:tblPr>
      <w:tblGrid>
        <w:gridCol w:w="1271"/>
        <w:gridCol w:w="4820"/>
        <w:gridCol w:w="2687"/>
      </w:tblGrid>
      <w:tr w:rsidR="00D159E4" w:rsidRPr="00FE6237" w14:paraId="7342BE04" w14:textId="77777777">
        <w:trPr>
          <w:trHeight w:val="20"/>
        </w:trPr>
        <w:tc>
          <w:tcPr>
            <w:tcW w:w="0" w:type="auto"/>
            <w:gridSpan w:val="3"/>
            <w:shd w:val="clear" w:color="auto" w:fill="005962" w:themeFill="accent1"/>
            <w:vAlign w:val="center"/>
          </w:tcPr>
          <w:p w14:paraId="13D526EB" w14:textId="77777777" w:rsidR="00D159E4" w:rsidRPr="008E434A" w:rsidRDefault="00D159E4" w:rsidP="00666175">
            <w:pPr>
              <w:spacing w:line="260" w:lineRule="atLeast"/>
              <w:ind w:left="0"/>
              <w:rPr>
                <w:b/>
                <w:bCs/>
                <w:color w:val="FFFFFF" w:themeColor="background1"/>
                <w:szCs w:val="18"/>
              </w:rPr>
            </w:pPr>
            <w:r w:rsidRPr="008E434A">
              <w:rPr>
                <w:b/>
                <w:bCs/>
                <w:color w:val="FFFFFF" w:themeColor="background1"/>
                <w:szCs w:val="18"/>
              </w:rPr>
              <w:t>Part I: Introduction and setting the scene</w:t>
            </w:r>
          </w:p>
        </w:tc>
      </w:tr>
      <w:tr w:rsidR="00D159E4" w:rsidRPr="00820A53" w14:paraId="77916EC8" w14:textId="77777777">
        <w:trPr>
          <w:trHeight w:val="439"/>
        </w:trPr>
        <w:tc>
          <w:tcPr>
            <w:tcW w:w="8778" w:type="dxa"/>
            <w:gridSpan w:val="3"/>
            <w:tcMar>
              <w:right w:w="57" w:type="dxa"/>
            </w:tcMar>
            <w:vAlign w:val="center"/>
          </w:tcPr>
          <w:p w14:paraId="62808594" w14:textId="77777777" w:rsidR="00D159E4" w:rsidRPr="00B546EF" w:rsidRDefault="00D159E4" w:rsidP="00666175">
            <w:pPr>
              <w:spacing w:line="260" w:lineRule="atLeast"/>
              <w:ind w:left="0"/>
              <w:rPr>
                <w:szCs w:val="18"/>
                <w:lang w:val="nl-NL"/>
              </w:rPr>
            </w:pPr>
            <w:r w:rsidRPr="00B546EF">
              <w:rPr>
                <w:b/>
                <w:bCs/>
                <w:szCs w:val="18"/>
                <w:lang w:val="nl-NL"/>
              </w:rPr>
              <w:t>Moderator:</w:t>
            </w:r>
            <w:r w:rsidRPr="00B546EF">
              <w:rPr>
                <w:szCs w:val="18"/>
                <w:lang w:val="nl-NL"/>
              </w:rPr>
              <w:t xml:space="preserve"> Jeroen van der </w:t>
            </w:r>
            <w:r>
              <w:rPr>
                <w:szCs w:val="18"/>
                <w:lang w:val="nl-NL"/>
              </w:rPr>
              <w:t>Laan (Trinomics)</w:t>
            </w:r>
          </w:p>
        </w:tc>
      </w:tr>
      <w:tr w:rsidR="00D159E4" w:rsidRPr="00FE6237" w14:paraId="2809DB3F" w14:textId="77777777">
        <w:trPr>
          <w:trHeight w:val="573"/>
        </w:trPr>
        <w:tc>
          <w:tcPr>
            <w:tcW w:w="1271" w:type="dxa"/>
            <w:tcMar>
              <w:right w:w="57" w:type="dxa"/>
            </w:tcMar>
          </w:tcPr>
          <w:p w14:paraId="2153DDB4" w14:textId="77777777" w:rsidR="00D159E4" w:rsidRPr="00FE6237" w:rsidRDefault="00D159E4" w:rsidP="00666175">
            <w:pPr>
              <w:spacing w:line="260" w:lineRule="atLeast"/>
              <w:ind w:left="0"/>
              <w:rPr>
                <w:szCs w:val="18"/>
              </w:rPr>
            </w:pPr>
            <w:r w:rsidRPr="00FE6237">
              <w:rPr>
                <w:szCs w:val="18"/>
              </w:rPr>
              <w:t>10.00</w:t>
            </w:r>
            <w:r>
              <w:rPr>
                <w:szCs w:val="18"/>
              </w:rPr>
              <w:t xml:space="preserve"> – 10.05</w:t>
            </w:r>
          </w:p>
        </w:tc>
        <w:tc>
          <w:tcPr>
            <w:tcW w:w="4820" w:type="dxa"/>
          </w:tcPr>
          <w:p w14:paraId="296CFD5C" w14:textId="77777777" w:rsidR="00D159E4" w:rsidRPr="00514B02" w:rsidRDefault="00D159E4" w:rsidP="00666175">
            <w:pPr>
              <w:spacing w:line="260" w:lineRule="atLeast"/>
              <w:ind w:left="0"/>
              <w:rPr>
                <w:szCs w:val="18"/>
              </w:rPr>
            </w:pPr>
            <w:r w:rsidRPr="003A3C4E">
              <w:rPr>
                <w:b/>
                <w:bCs/>
                <w:szCs w:val="18"/>
                <w:lang w:val="en-IE"/>
              </w:rPr>
              <w:t>Welcome</w:t>
            </w:r>
            <w:r w:rsidRPr="00514B02">
              <w:rPr>
                <w:szCs w:val="18"/>
                <w:lang w:val="en-IE"/>
              </w:rPr>
              <w:t xml:space="preserve">: presentation of the agenda, introduction to the project, and expected outcomes of the </w:t>
            </w:r>
            <w:r>
              <w:rPr>
                <w:szCs w:val="18"/>
                <w:lang w:val="en-IE"/>
              </w:rPr>
              <w:t>webinar</w:t>
            </w:r>
          </w:p>
        </w:tc>
        <w:tc>
          <w:tcPr>
            <w:tcW w:w="2687" w:type="dxa"/>
          </w:tcPr>
          <w:p w14:paraId="55408A63" w14:textId="77777777" w:rsidR="00D159E4" w:rsidRPr="00FE6237" w:rsidRDefault="00D159E4" w:rsidP="00666175">
            <w:pPr>
              <w:spacing w:line="260" w:lineRule="atLeast"/>
              <w:ind w:left="0"/>
              <w:rPr>
                <w:szCs w:val="18"/>
              </w:rPr>
            </w:pPr>
            <w:r w:rsidRPr="00B53451">
              <w:rPr>
                <w:szCs w:val="18"/>
              </w:rPr>
              <w:t>Nikola Blokešová</w:t>
            </w:r>
            <w:r>
              <w:rPr>
                <w:szCs w:val="18"/>
              </w:rPr>
              <w:t>, Office of the Government (Czechia)</w:t>
            </w:r>
          </w:p>
        </w:tc>
      </w:tr>
      <w:tr w:rsidR="00D159E4" w:rsidRPr="00AE38FD" w14:paraId="77AC7A5E" w14:textId="77777777">
        <w:trPr>
          <w:trHeight w:val="20"/>
        </w:trPr>
        <w:tc>
          <w:tcPr>
            <w:tcW w:w="1271" w:type="dxa"/>
            <w:tcMar>
              <w:right w:w="57" w:type="dxa"/>
            </w:tcMar>
          </w:tcPr>
          <w:p w14:paraId="1D2CCD37" w14:textId="77777777" w:rsidR="00D159E4" w:rsidRPr="00FE6237" w:rsidRDefault="00D159E4" w:rsidP="00666175">
            <w:pPr>
              <w:spacing w:line="260" w:lineRule="atLeast"/>
              <w:ind w:left="0"/>
              <w:rPr>
                <w:szCs w:val="18"/>
              </w:rPr>
            </w:pPr>
            <w:r w:rsidRPr="00FE6237">
              <w:rPr>
                <w:szCs w:val="18"/>
              </w:rPr>
              <w:t>10.</w:t>
            </w:r>
            <w:r>
              <w:rPr>
                <w:szCs w:val="18"/>
              </w:rPr>
              <w:t>05</w:t>
            </w:r>
            <w:r w:rsidRPr="00FE6237">
              <w:rPr>
                <w:szCs w:val="18"/>
              </w:rPr>
              <w:t xml:space="preserve"> – 1</w:t>
            </w:r>
            <w:r>
              <w:rPr>
                <w:szCs w:val="18"/>
              </w:rPr>
              <w:t>0.15</w:t>
            </w:r>
          </w:p>
        </w:tc>
        <w:tc>
          <w:tcPr>
            <w:tcW w:w="4820" w:type="dxa"/>
          </w:tcPr>
          <w:p w14:paraId="5AC97BD7" w14:textId="77777777" w:rsidR="00D159E4" w:rsidRPr="00FE6237" w:rsidRDefault="00D159E4" w:rsidP="00666175">
            <w:pPr>
              <w:spacing w:line="260" w:lineRule="atLeast"/>
              <w:ind w:left="0"/>
              <w:rPr>
                <w:szCs w:val="18"/>
              </w:rPr>
            </w:pPr>
            <w:r w:rsidRPr="003A3C4E">
              <w:rPr>
                <w:b/>
                <w:bCs/>
                <w:szCs w:val="18"/>
              </w:rPr>
              <w:t>Setting the scene</w:t>
            </w:r>
            <w:r>
              <w:rPr>
                <w:szCs w:val="18"/>
              </w:rPr>
              <w:t>: introducing the challenges related to the implementation of simplified and detailed DNSH assessments</w:t>
            </w:r>
          </w:p>
        </w:tc>
        <w:tc>
          <w:tcPr>
            <w:tcW w:w="2687" w:type="dxa"/>
          </w:tcPr>
          <w:p w14:paraId="7EA0BE2B" w14:textId="77777777" w:rsidR="00D159E4" w:rsidRPr="004656BE" w:rsidRDefault="00D159E4" w:rsidP="00666175">
            <w:pPr>
              <w:spacing w:line="260" w:lineRule="atLeast"/>
              <w:ind w:left="0"/>
              <w:rPr>
                <w:szCs w:val="18"/>
                <w:lang w:val="nl-NL"/>
              </w:rPr>
            </w:pPr>
            <w:r>
              <w:rPr>
                <w:szCs w:val="18"/>
                <w:lang w:val="nl-NL"/>
              </w:rPr>
              <w:t>Peter Janoska</w:t>
            </w:r>
            <w:r w:rsidRPr="004656BE">
              <w:rPr>
                <w:szCs w:val="18"/>
                <w:lang w:val="nl-NL"/>
              </w:rPr>
              <w:t xml:space="preserve"> (</w:t>
            </w:r>
            <w:r>
              <w:rPr>
                <w:szCs w:val="18"/>
                <w:lang w:val="nl-NL"/>
              </w:rPr>
              <w:t>Trinomics</w:t>
            </w:r>
            <w:r w:rsidRPr="004656BE">
              <w:rPr>
                <w:szCs w:val="18"/>
                <w:lang w:val="nl-NL"/>
              </w:rPr>
              <w:t>)</w:t>
            </w:r>
          </w:p>
        </w:tc>
      </w:tr>
      <w:tr w:rsidR="00D159E4" w:rsidRPr="00820A53" w14:paraId="37275B9A" w14:textId="77777777">
        <w:trPr>
          <w:trHeight w:val="20"/>
        </w:trPr>
        <w:tc>
          <w:tcPr>
            <w:tcW w:w="1271" w:type="dxa"/>
            <w:tcMar>
              <w:right w:w="57" w:type="dxa"/>
            </w:tcMar>
          </w:tcPr>
          <w:p w14:paraId="2EDF6701" w14:textId="77777777" w:rsidR="00D159E4" w:rsidRPr="00FE6237" w:rsidRDefault="00D159E4" w:rsidP="00666175">
            <w:pPr>
              <w:spacing w:line="260" w:lineRule="atLeast"/>
              <w:ind w:left="0"/>
              <w:rPr>
                <w:szCs w:val="18"/>
              </w:rPr>
            </w:pPr>
            <w:r w:rsidRPr="00FE6237">
              <w:rPr>
                <w:szCs w:val="18"/>
              </w:rPr>
              <w:t>10.</w:t>
            </w:r>
            <w:r>
              <w:rPr>
                <w:szCs w:val="18"/>
              </w:rPr>
              <w:t>15</w:t>
            </w:r>
            <w:r w:rsidRPr="00FE6237">
              <w:rPr>
                <w:szCs w:val="18"/>
              </w:rPr>
              <w:t xml:space="preserve"> - 1</w:t>
            </w:r>
            <w:r>
              <w:rPr>
                <w:szCs w:val="18"/>
              </w:rPr>
              <w:t>0</w:t>
            </w:r>
            <w:r w:rsidRPr="00FE6237">
              <w:rPr>
                <w:szCs w:val="18"/>
              </w:rPr>
              <w:t>.</w:t>
            </w:r>
            <w:r>
              <w:rPr>
                <w:szCs w:val="18"/>
              </w:rPr>
              <w:t>30</w:t>
            </w:r>
          </w:p>
        </w:tc>
        <w:tc>
          <w:tcPr>
            <w:tcW w:w="4820" w:type="dxa"/>
          </w:tcPr>
          <w:p w14:paraId="4B7F58C5" w14:textId="77777777" w:rsidR="00D159E4" w:rsidRPr="00FE6237" w:rsidRDefault="00D159E4" w:rsidP="00666175">
            <w:pPr>
              <w:spacing w:line="260" w:lineRule="atLeast"/>
              <w:ind w:left="0"/>
              <w:rPr>
                <w:szCs w:val="18"/>
              </w:rPr>
            </w:pPr>
            <w:r w:rsidRPr="00AE49D6">
              <w:rPr>
                <w:b/>
                <w:bCs/>
                <w:szCs w:val="18"/>
              </w:rPr>
              <w:t>Context in Czechia</w:t>
            </w:r>
            <w:r>
              <w:rPr>
                <w:szCs w:val="18"/>
              </w:rPr>
              <w:t>: introducing the practice of Operation</w:t>
            </w:r>
            <w:r w:rsidRPr="006C2925">
              <w:rPr>
                <w:szCs w:val="18"/>
                <w:lang w:val="en-GB"/>
              </w:rPr>
              <w:t xml:space="preserve"> programme Just Transition for simplifying and categorising</w:t>
            </w:r>
            <w:r>
              <w:rPr>
                <w:szCs w:val="18"/>
              </w:rPr>
              <w:t xml:space="preserve"> DNSH assessments</w:t>
            </w:r>
          </w:p>
        </w:tc>
        <w:tc>
          <w:tcPr>
            <w:tcW w:w="2687" w:type="dxa"/>
          </w:tcPr>
          <w:p w14:paraId="6F7D5B60" w14:textId="77777777" w:rsidR="00D159E4" w:rsidRPr="00DC408D" w:rsidRDefault="00D159E4" w:rsidP="00DB1B88">
            <w:pPr>
              <w:spacing w:line="260" w:lineRule="atLeast"/>
              <w:ind w:left="0"/>
              <w:rPr>
                <w:szCs w:val="18"/>
                <w:lang w:val="nl-NL"/>
              </w:rPr>
            </w:pPr>
            <w:r w:rsidRPr="00DC408D">
              <w:rPr>
                <w:szCs w:val="18"/>
                <w:lang w:val="nl-NL"/>
              </w:rPr>
              <w:t xml:space="preserve">Jan </w:t>
            </w:r>
            <w:r w:rsidRPr="00DC408D">
              <w:rPr>
                <w:lang w:val="nl-NL"/>
              </w:rPr>
              <w:t>Hlaváček, OP JTF</w:t>
            </w:r>
            <w:r w:rsidRPr="00DC408D">
              <w:rPr>
                <w:szCs w:val="18"/>
                <w:lang w:val="nl-NL"/>
              </w:rPr>
              <w:t xml:space="preserve"> (Czechia)</w:t>
            </w:r>
          </w:p>
        </w:tc>
      </w:tr>
      <w:tr w:rsidR="00D159E4" w:rsidRPr="00FE6237" w14:paraId="71C42A45" w14:textId="77777777">
        <w:trPr>
          <w:trHeight w:val="20"/>
        </w:trPr>
        <w:tc>
          <w:tcPr>
            <w:tcW w:w="1271" w:type="dxa"/>
            <w:tcMar>
              <w:right w:w="57" w:type="dxa"/>
            </w:tcMar>
          </w:tcPr>
          <w:p w14:paraId="7BF1E1CF" w14:textId="77777777" w:rsidR="00D159E4" w:rsidRPr="00FE6237" w:rsidRDefault="00D159E4" w:rsidP="00666175">
            <w:pPr>
              <w:spacing w:line="260" w:lineRule="atLeast"/>
              <w:ind w:left="0"/>
              <w:rPr>
                <w:szCs w:val="18"/>
              </w:rPr>
            </w:pPr>
            <w:r w:rsidRPr="00FE6237">
              <w:rPr>
                <w:szCs w:val="18"/>
              </w:rPr>
              <w:t>1</w:t>
            </w:r>
            <w:r>
              <w:rPr>
                <w:szCs w:val="18"/>
              </w:rPr>
              <w:t>0</w:t>
            </w:r>
            <w:r w:rsidRPr="00FE6237">
              <w:rPr>
                <w:szCs w:val="18"/>
              </w:rPr>
              <w:t>.</w:t>
            </w:r>
            <w:r>
              <w:rPr>
                <w:szCs w:val="18"/>
              </w:rPr>
              <w:t>30</w:t>
            </w:r>
            <w:r w:rsidRPr="00FE6237">
              <w:rPr>
                <w:szCs w:val="18"/>
              </w:rPr>
              <w:t xml:space="preserve"> – 1</w:t>
            </w:r>
            <w:r>
              <w:rPr>
                <w:szCs w:val="18"/>
              </w:rPr>
              <w:t>0</w:t>
            </w:r>
            <w:r w:rsidRPr="00FE6237">
              <w:rPr>
                <w:szCs w:val="18"/>
              </w:rPr>
              <w:t>.</w:t>
            </w:r>
            <w:r>
              <w:rPr>
                <w:szCs w:val="18"/>
              </w:rPr>
              <w:t>45</w:t>
            </w:r>
          </w:p>
        </w:tc>
        <w:tc>
          <w:tcPr>
            <w:tcW w:w="4820" w:type="dxa"/>
          </w:tcPr>
          <w:p w14:paraId="0970AB41" w14:textId="77777777" w:rsidR="00D159E4" w:rsidRPr="00FE6237" w:rsidRDefault="00D159E4" w:rsidP="00666175">
            <w:pPr>
              <w:spacing w:line="260" w:lineRule="atLeast"/>
              <w:ind w:left="0"/>
            </w:pPr>
            <w:r w:rsidRPr="002B7EED">
              <w:rPr>
                <w:b/>
                <w:bCs/>
              </w:rPr>
              <w:t>Focus case 1</w:t>
            </w:r>
            <w:r w:rsidRPr="004177AD">
              <w:t xml:space="preserve">: </w:t>
            </w:r>
            <w:r w:rsidRPr="00B546EF">
              <w:rPr>
                <w:color w:val="000000" w:themeColor="text1"/>
              </w:rPr>
              <w:t>DNSH assessment guidelines for Buildings in Slovakia</w:t>
            </w:r>
          </w:p>
        </w:tc>
        <w:tc>
          <w:tcPr>
            <w:tcW w:w="2687" w:type="dxa"/>
          </w:tcPr>
          <w:p w14:paraId="42668334" w14:textId="77777777" w:rsidR="00D159E4" w:rsidRPr="00FE6237" w:rsidRDefault="00D159E4" w:rsidP="00DB1B88">
            <w:pPr>
              <w:spacing w:line="260" w:lineRule="atLeast"/>
              <w:ind w:left="0"/>
              <w:rPr>
                <w:szCs w:val="18"/>
              </w:rPr>
            </w:pPr>
            <w:r w:rsidRPr="004E5F29">
              <w:rPr>
                <w:szCs w:val="18"/>
              </w:rPr>
              <w:t>Kristína Korčeková</w:t>
            </w:r>
            <w:r>
              <w:rPr>
                <w:szCs w:val="18"/>
              </w:rPr>
              <w:t xml:space="preserve">, </w:t>
            </w:r>
            <w:r w:rsidRPr="00E04A39">
              <w:rPr>
                <w:szCs w:val="18"/>
              </w:rPr>
              <w:t>Office of the Government of the Slovak Republic</w:t>
            </w:r>
            <w:r>
              <w:rPr>
                <w:szCs w:val="18"/>
              </w:rPr>
              <w:t xml:space="preserve"> (Slovakia</w:t>
            </w:r>
            <w:r w:rsidRPr="000F77F4">
              <w:rPr>
                <w:szCs w:val="18"/>
              </w:rPr>
              <w:t>)</w:t>
            </w:r>
          </w:p>
        </w:tc>
      </w:tr>
      <w:tr w:rsidR="00D159E4" w:rsidRPr="00FE6237" w14:paraId="3853B448" w14:textId="77777777">
        <w:trPr>
          <w:trHeight w:val="20"/>
        </w:trPr>
        <w:tc>
          <w:tcPr>
            <w:tcW w:w="1271" w:type="dxa"/>
            <w:tcMar>
              <w:right w:w="57" w:type="dxa"/>
            </w:tcMar>
          </w:tcPr>
          <w:p w14:paraId="0D9684BE" w14:textId="77777777" w:rsidR="00D159E4" w:rsidRPr="00FE6237" w:rsidRDefault="00D159E4" w:rsidP="00DB1B88">
            <w:pPr>
              <w:spacing w:line="260" w:lineRule="atLeast"/>
              <w:ind w:left="0"/>
              <w:rPr>
                <w:szCs w:val="18"/>
              </w:rPr>
            </w:pPr>
            <w:r w:rsidRPr="00FE6237">
              <w:rPr>
                <w:szCs w:val="18"/>
              </w:rPr>
              <w:t>1</w:t>
            </w:r>
            <w:r>
              <w:rPr>
                <w:szCs w:val="18"/>
              </w:rPr>
              <w:t>0.45</w:t>
            </w:r>
            <w:r w:rsidRPr="00FE6237">
              <w:rPr>
                <w:szCs w:val="18"/>
              </w:rPr>
              <w:t xml:space="preserve"> - 1</w:t>
            </w:r>
            <w:r>
              <w:rPr>
                <w:szCs w:val="18"/>
              </w:rPr>
              <w:t>1</w:t>
            </w:r>
            <w:r w:rsidRPr="00FE6237">
              <w:rPr>
                <w:szCs w:val="18"/>
              </w:rPr>
              <w:t>.</w:t>
            </w:r>
            <w:r>
              <w:rPr>
                <w:szCs w:val="18"/>
              </w:rPr>
              <w:t>00</w:t>
            </w:r>
          </w:p>
        </w:tc>
        <w:tc>
          <w:tcPr>
            <w:tcW w:w="4820" w:type="dxa"/>
          </w:tcPr>
          <w:p w14:paraId="626F213F" w14:textId="77777777" w:rsidR="00D159E4" w:rsidRPr="00FE6237" w:rsidRDefault="00D159E4" w:rsidP="00DB1B88">
            <w:pPr>
              <w:spacing w:line="260" w:lineRule="atLeast"/>
              <w:ind w:left="0"/>
            </w:pPr>
            <w:r w:rsidRPr="00CB0690">
              <w:rPr>
                <w:b/>
                <w:bCs/>
              </w:rPr>
              <w:t>Focus case 2</w:t>
            </w:r>
            <w:r w:rsidRPr="004177AD">
              <w:t xml:space="preserve">: </w:t>
            </w:r>
            <w:r>
              <w:t>Priority order law for environmental permitting in Finland</w:t>
            </w:r>
          </w:p>
        </w:tc>
        <w:tc>
          <w:tcPr>
            <w:tcW w:w="2687" w:type="dxa"/>
          </w:tcPr>
          <w:p w14:paraId="5C5B5EE1" w14:textId="77777777" w:rsidR="00D159E4" w:rsidRPr="00FE6237" w:rsidRDefault="00D159E4" w:rsidP="00DB1B88">
            <w:pPr>
              <w:spacing w:line="260" w:lineRule="atLeast"/>
              <w:ind w:left="0"/>
              <w:rPr>
                <w:szCs w:val="18"/>
              </w:rPr>
            </w:pPr>
            <w:r>
              <w:rPr>
                <w:szCs w:val="18"/>
              </w:rPr>
              <w:t>Emma Terämä, Ministry of the Environment (Finland)</w:t>
            </w:r>
          </w:p>
        </w:tc>
      </w:tr>
      <w:tr w:rsidR="00D159E4" w:rsidRPr="00CB0690" w14:paraId="0519A8A6" w14:textId="77777777">
        <w:trPr>
          <w:trHeight w:val="20"/>
        </w:trPr>
        <w:tc>
          <w:tcPr>
            <w:tcW w:w="1271" w:type="dxa"/>
            <w:tcMar>
              <w:right w:w="57" w:type="dxa"/>
            </w:tcMar>
            <w:vAlign w:val="center"/>
          </w:tcPr>
          <w:p w14:paraId="7E380020" w14:textId="77777777" w:rsidR="00D159E4" w:rsidRPr="00CB0690" w:rsidRDefault="00D159E4" w:rsidP="00DB1B88">
            <w:pPr>
              <w:spacing w:line="260" w:lineRule="atLeast"/>
              <w:ind w:left="0"/>
              <w:rPr>
                <w:i/>
                <w:iCs/>
                <w:szCs w:val="18"/>
              </w:rPr>
            </w:pPr>
            <w:r w:rsidRPr="00CB0690">
              <w:rPr>
                <w:i/>
                <w:iCs/>
                <w:szCs w:val="18"/>
              </w:rPr>
              <w:t>11.</w:t>
            </w:r>
            <w:r>
              <w:rPr>
                <w:i/>
                <w:iCs/>
                <w:szCs w:val="18"/>
              </w:rPr>
              <w:t>00</w:t>
            </w:r>
            <w:r w:rsidRPr="00CB0690">
              <w:rPr>
                <w:i/>
                <w:iCs/>
                <w:szCs w:val="18"/>
              </w:rPr>
              <w:t xml:space="preserve"> – 11.</w:t>
            </w:r>
            <w:r>
              <w:rPr>
                <w:i/>
                <w:iCs/>
                <w:szCs w:val="18"/>
              </w:rPr>
              <w:t>15</w:t>
            </w:r>
          </w:p>
        </w:tc>
        <w:tc>
          <w:tcPr>
            <w:tcW w:w="7507" w:type="dxa"/>
            <w:gridSpan w:val="2"/>
            <w:vAlign w:val="center"/>
          </w:tcPr>
          <w:p w14:paraId="4569C0E3" w14:textId="77777777" w:rsidR="00D159E4" w:rsidRPr="00CB0690" w:rsidRDefault="00D159E4" w:rsidP="00DB1B88">
            <w:pPr>
              <w:spacing w:line="260" w:lineRule="atLeast"/>
              <w:ind w:left="0"/>
              <w:rPr>
                <w:i/>
                <w:iCs/>
                <w:szCs w:val="18"/>
              </w:rPr>
            </w:pPr>
            <w:r w:rsidRPr="00CB0690">
              <w:rPr>
                <w:i/>
                <w:iCs/>
                <w:szCs w:val="18"/>
              </w:rPr>
              <w:t>Coffee break</w:t>
            </w:r>
          </w:p>
        </w:tc>
      </w:tr>
      <w:tr w:rsidR="00D159E4" w:rsidRPr="00FE6237" w14:paraId="54F88307" w14:textId="77777777">
        <w:trPr>
          <w:trHeight w:val="20"/>
        </w:trPr>
        <w:tc>
          <w:tcPr>
            <w:tcW w:w="0" w:type="auto"/>
            <w:gridSpan w:val="3"/>
            <w:shd w:val="clear" w:color="auto" w:fill="005962" w:themeFill="accent1"/>
            <w:tcMar>
              <w:right w:w="57" w:type="dxa"/>
            </w:tcMar>
            <w:vAlign w:val="center"/>
          </w:tcPr>
          <w:p w14:paraId="44679629" w14:textId="77777777" w:rsidR="00D159E4" w:rsidRPr="008E434A" w:rsidRDefault="00D159E4" w:rsidP="00DB1B88">
            <w:pPr>
              <w:spacing w:line="260" w:lineRule="atLeast"/>
              <w:ind w:left="0"/>
              <w:rPr>
                <w:b/>
                <w:bCs/>
                <w:color w:val="FFFFFF" w:themeColor="background1"/>
                <w:szCs w:val="18"/>
              </w:rPr>
            </w:pPr>
            <w:r w:rsidRPr="008E434A">
              <w:rPr>
                <w:b/>
                <w:bCs/>
                <w:color w:val="FFFFFF" w:themeColor="background1"/>
                <w:szCs w:val="18"/>
              </w:rPr>
              <w:t xml:space="preserve">Part II: Panel discussion </w:t>
            </w:r>
            <w:r>
              <w:rPr>
                <w:b/>
                <w:bCs/>
                <w:color w:val="FFFFFF" w:themeColor="background1"/>
                <w:szCs w:val="18"/>
              </w:rPr>
              <w:t>–</w:t>
            </w:r>
            <w:r w:rsidRPr="008E434A">
              <w:rPr>
                <w:b/>
                <w:bCs/>
                <w:color w:val="FFFFFF" w:themeColor="background1"/>
                <w:szCs w:val="18"/>
              </w:rPr>
              <w:t xml:space="preserve"> </w:t>
            </w:r>
            <w:r w:rsidRPr="00336C1F">
              <w:rPr>
                <w:b/>
                <w:bCs/>
                <w:color w:val="FFFFFF" w:themeColor="background1"/>
                <w:szCs w:val="18"/>
              </w:rPr>
              <w:t xml:space="preserve">Implementation of simplified and </w:t>
            </w:r>
            <w:r>
              <w:rPr>
                <w:b/>
                <w:bCs/>
                <w:color w:val="FFFFFF" w:themeColor="background1"/>
                <w:szCs w:val="18"/>
              </w:rPr>
              <w:t>detailed</w:t>
            </w:r>
            <w:r w:rsidRPr="00336C1F">
              <w:rPr>
                <w:b/>
                <w:bCs/>
                <w:color w:val="FFFFFF" w:themeColor="background1"/>
                <w:szCs w:val="18"/>
              </w:rPr>
              <w:t xml:space="preserve"> DNSH assessments</w:t>
            </w:r>
          </w:p>
        </w:tc>
      </w:tr>
      <w:tr w:rsidR="00D159E4" w:rsidRPr="000A6FA4" w14:paraId="27673DAE" w14:textId="77777777">
        <w:trPr>
          <w:trHeight w:val="20"/>
        </w:trPr>
        <w:tc>
          <w:tcPr>
            <w:tcW w:w="1271" w:type="dxa"/>
            <w:tcMar>
              <w:right w:w="57" w:type="dxa"/>
            </w:tcMar>
          </w:tcPr>
          <w:p w14:paraId="5CC77F1B" w14:textId="77777777" w:rsidR="00D159E4" w:rsidRPr="00FE6237" w:rsidRDefault="00D159E4" w:rsidP="00DB1B88">
            <w:pPr>
              <w:spacing w:line="260" w:lineRule="atLeast"/>
              <w:ind w:left="0"/>
              <w:rPr>
                <w:szCs w:val="18"/>
              </w:rPr>
            </w:pPr>
            <w:r w:rsidRPr="00FE6237">
              <w:rPr>
                <w:szCs w:val="18"/>
              </w:rPr>
              <w:t>1</w:t>
            </w:r>
            <w:r>
              <w:rPr>
                <w:szCs w:val="18"/>
              </w:rPr>
              <w:t>1</w:t>
            </w:r>
            <w:r w:rsidRPr="00FE6237">
              <w:rPr>
                <w:szCs w:val="18"/>
              </w:rPr>
              <w:t>.</w:t>
            </w:r>
            <w:r>
              <w:rPr>
                <w:szCs w:val="18"/>
              </w:rPr>
              <w:t>15</w:t>
            </w:r>
            <w:r w:rsidRPr="00FE6237">
              <w:rPr>
                <w:szCs w:val="18"/>
              </w:rPr>
              <w:t xml:space="preserve"> – 12.</w:t>
            </w:r>
            <w:r>
              <w:rPr>
                <w:szCs w:val="18"/>
              </w:rPr>
              <w:t>20</w:t>
            </w:r>
          </w:p>
        </w:tc>
        <w:tc>
          <w:tcPr>
            <w:tcW w:w="7507" w:type="dxa"/>
            <w:gridSpan w:val="2"/>
          </w:tcPr>
          <w:p w14:paraId="6C64074C" w14:textId="77777777" w:rsidR="00D159E4" w:rsidRPr="000F77F4" w:rsidRDefault="00D159E4" w:rsidP="00DB1B88">
            <w:pPr>
              <w:spacing w:line="260" w:lineRule="atLeast"/>
              <w:ind w:left="0"/>
            </w:pPr>
            <w:r w:rsidRPr="0C695760">
              <w:rPr>
                <w:b/>
              </w:rPr>
              <w:t>Moderator</w:t>
            </w:r>
            <w:r w:rsidRPr="0C695760">
              <w:t xml:space="preserve">: </w:t>
            </w:r>
            <w:r>
              <w:t>Linda Zeilina</w:t>
            </w:r>
            <w:r w:rsidRPr="0C695760">
              <w:t xml:space="preserve"> (ISFC)</w:t>
            </w:r>
          </w:p>
          <w:p w14:paraId="5478DC4E" w14:textId="77777777" w:rsidR="00D159E4" w:rsidRPr="000F77F4" w:rsidRDefault="00D159E4" w:rsidP="00DB1B88">
            <w:pPr>
              <w:spacing w:line="260" w:lineRule="atLeast"/>
              <w:ind w:left="0"/>
              <w:rPr>
                <w:szCs w:val="18"/>
              </w:rPr>
            </w:pPr>
            <w:r w:rsidRPr="000F77F4">
              <w:rPr>
                <w:b/>
                <w:bCs/>
                <w:szCs w:val="18"/>
              </w:rPr>
              <w:t>Panel Members</w:t>
            </w:r>
            <w:r w:rsidRPr="000F77F4">
              <w:rPr>
                <w:szCs w:val="18"/>
              </w:rPr>
              <w:t xml:space="preserve">: </w:t>
            </w:r>
          </w:p>
          <w:p w14:paraId="3BA8732E" w14:textId="77777777" w:rsidR="00D159E4" w:rsidRPr="008E1AA8" w:rsidRDefault="00D159E4" w:rsidP="00BC1B18">
            <w:pPr>
              <w:pStyle w:val="Odstavecseseznamem"/>
              <w:numPr>
                <w:ilvl w:val="0"/>
                <w:numId w:val="17"/>
              </w:numPr>
              <w:tabs>
                <w:tab w:val="clear" w:pos="851"/>
                <w:tab w:val="left" w:pos="312"/>
              </w:tabs>
              <w:spacing w:line="260" w:lineRule="atLeast"/>
              <w:ind w:left="312" w:hanging="283"/>
              <w:rPr>
                <w:szCs w:val="18"/>
              </w:rPr>
            </w:pPr>
            <w:r w:rsidRPr="75943A16">
              <w:rPr>
                <w:lang w:val="en-US"/>
              </w:rPr>
              <w:t xml:space="preserve">Jan </w:t>
            </w:r>
            <w:r w:rsidRPr="008E1AA8">
              <w:rPr>
                <w:lang w:val="en-US"/>
              </w:rPr>
              <w:t>Hlaváček</w:t>
            </w:r>
            <w:r>
              <w:rPr>
                <w:lang w:val="en-US"/>
              </w:rPr>
              <w:t>, Operation</w:t>
            </w:r>
            <w:r w:rsidRPr="006C2925">
              <w:t xml:space="preserve"> programme Just Transition</w:t>
            </w:r>
            <w:r>
              <w:t xml:space="preserve"> (Czechia)</w:t>
            </w:r>
          </w:p>
          <w:p w14:paraId="48577331" w14:textId="77777777" w:rsidR="00D159E4" w:rsidRPr="008E1AA8" w:rsidRDefault="00D159E4" w:rsidP="00BC1B18">
            <w:pPr>
              <w:pStyle w:val="Odstavecseseznamem"/>
              <w:numPr>
                <w:ilvl w:val="0"/>
                <w:numId w:val="17"/>
              </w:numPr>
              <w:tabs>
                <w:tab w:val="clear" w:pos="851"/>
                <w:tab w:val="left" w:pos="312"/>
              </w:tabs>
              <w:spacing w:line="260" w:lineRule="atLeast"/>
              <w:ind w:hanging="691"/>
              <w:rPr>
                <w:szCs w:val="18"/>
              </w:rPr>
            </w:pPr>
            <w:r>
              <w:t>Kristína Korčeková, Office of the Government of the Slovak Republic (Slovakia)</w:t>
            </w:r>
          </w:p>
          <w:p w14:paraId="5DEB0394" w14:textId="77777777" w:rsidR="00D159E4" w:rsidRPr="008E1AA8" w:rsidRDefault="00D159E4" w:rsidP="00BC1B18">
            <w:pPr>
              <w:pStyle w:val="Odstavecseseznamem"/>
              <w:numPr>
                <w:ilvl w:val="0"/>
                <w:numId w:val="17"/>
              </w:numPr>
              <w:tabs>
                <w:tab w:val="clear" w:pos="851"/>
                <w:tab w:val="left" w:pos="312"/>
              </w:tabs>
              <w:spacing w:line="260" w:lineRule="atLeast"/>
              <w:ind w:hanging="691"/>
              <w:rPr>
                <w:szCs w:val="18"/>
              </w:rPr>
            </w:pPr>
            <w:r>
              <w:t>Emma Terämä, Ministry of the Environment (Finland)</w:t>
            </w:r>
          </w:p>
          <w:p w14:paraId="1BF52A5F" w14:textId="77777777" w:rsidR="00D159E4" w:rsidRPr="000A6FA4" w:rsidRDefault="00D159E4" w:rsidP="00BC1B18">
            <w:pPr>
              <w:pStyle w:val="Odstavecseseznamem"/>
              <w:numPr>
                <w:ilvl w:val="0"/>
                <w:numId w:val="17"/>
              </w:numPr>
              <w:tabs>
                <w:tab w:val="clear" w:pos="851"/>
                <w:tab w:val="left" w:pos="312"/>
              </w:tabs>
              <w:spacing w:line="260" w:lineRule="atLeast"/>
              <w:ind w:hanging="691"/>
              <w:rPr>
                <w:lang w:val="en-US"/>
              </w:rPr>
            </w:pPr>
            <w:r w:rsidRPr="008E1AA8">
              <w:rPr>
                <w:lang w:val="en-US"/>
              </w:rPr>
              <w:t>Moritz Schwarz (Austria) [to be confirmed]</w:t>
            </w:r>
          </w:p>
        </w:tc>
      </w:tr>
      <w:tr w:rsidR="00D159E4" w:rsidRPr="00820A53" w14:paraId="50D426D0" w14:textId="77777777">
        <w:trPr>
          <w:trHeight w:val="20"/>
        </w:trPr>
        <w:tc>
          <w:tcPr>
            <w:tcW w:w="1271" w:type="dxa"/>
            <w:tcMar>
              <w:right w:w="57" w:type="dxa"/>
            </w:tcMar>
          </w:tcPr>
          <w:p w14:paraId="3EB5F468" w14:textId="77777777" w:rsidR="00D159E4" w:rsidRPr="00FE6237" w:rsidRDefault="00D159E4" w:rsidP="00DB1B88">
            <w:pPr>
              <w:spacing w:line="260" w:lineRule="atLeast"/>
              <w:ind w:left="0"/>
              <w:rPr>
                <w:szCs w:val="18"/>
              </w:rPr>
            </w:pPr>
            <w:r w:rsidRPr="00FE6237">
              <w:rPr>
                <w:szCs w:val="18"/>
              </w:rPr>
              <w:t>12.</w:t>
            </w:r>
            <w:r>
              <w:rPr>
                <w:szCs w:val="18"/>
              </w:rPr>
              <w:t>20 – 12.25</w:t>
            </w:r>
          </w:p>
        </w:tc>
        <w:tc>
          <w:tcPr>
            <w:tcW w:w="4820" w:type="dxa"/>
          </w:tcPr>
          <w:p w14:paraId="656E1C76" w14:textId="77777777" w:rsidR="00D159E4" w:rsidRPr="000F77F4" w:rsidRDefault="00D159E4" w:rsidP="00DB1B88">
            <w:pPr>
              <w:spacing w:line="260" w:lineRule="atLeast"/>
              <w:ind w:left="0"/>
              <w:rPr>
                <w:szCs w:val="18"/>
              </w:rPr>
            </w:pPr>
            <w:r w:rsidRPr="000F77F4">
              <w:rPr>
                <w:szCs w:val="18"/>
              </w:rPr>
              <w:t>Reflection on main takeaways</w:t>
            </w:r>
            <w:r>
              <w:rPr>
                <w:szCs w:val="18"/>
              </w:rPr>
              <w:t xml:space="preserve"> panel discussion</w:t>
            </w:r>
          </w:p>
        </w:tc>
        <w:tc>
          <w:tcPr>
            <w:tcW w:w="2687" w:type="dxa"/>
          </w:tcPr>
          <w:p w14:paraId="4C46BD2C" w14:textId="77777777" w:rsidR="00D159E4" w:rsidRPr="00937317" w:rsidRDefault="00D159E4" w:rsidP="00DB1B88">
            <w:pPr>
              <w:spacing w:line="260" w:lineRule="atLeast"/>
              <w:ind w:left="0"/>
              <w:rPr>
                <w:szCs w:val="18"/>
                <w:lang w:val="nl-NL"/>
              </w:rPr>
            </w:pPr>
            <w:r w:rsidRPr="00937317">
              <w:rPr>
                <w:szCs w:val="18"/>
                <w:lang w:val="nl-NL"/>
              </w:rPr>
              <w:t>Jeroen van der Laan</w:t>
            </w:r>
            <w:r>
              <w:rPr>
                <w:szCs w:val="18"/>
                <w:lang w:val="nl-NL"/>
              </w:rPr>
              <w:t xml:space="preserve"> (</w:t>
            </w:r>
            <w:r w:rsidRPr="00937317">
              <w:rPr>
                <w:szCs w:val="18"/>
                <w:lang w:val="nl-NL"/>
              </w:rPr>
              <w:t>Trinomics</w:t>
            </w:r>
            <w:r>
              <w:rPr>
                <w:szCs w:val="18"/>
                <w:lang w:val="nl-NL"/>
              </w:rPr>
              <w:t>)</w:t>
            </w:r>
          </w:p>
        </w:tc>
      </w:tr>
      <w:tr w:rsidR="00D159E4" w:rsidRPr="00FE6237" w14:paraId="24B294F2" w14:textId="77777777">
        <w:trPr>
          <w:trHeight w:val="20"/>
        </w:trPr>
        <w:tc>
          <w:tcPr>
            <w:tcW w:w="1271" w:type="dxa"/>
            <w:tcMar>
              <w:right w:w="57" w:type="dxa"/>
            </w:tcMar>
          </w:tcPr>
          <w:p w14:paraId="75E1CDA1" w14:textId="77777777" w:rsidR="00D159E4" w:rsidRPr="00FE6237" w:rsidRDefault="00D159E4" w:rsidP="00DB1B88">
            <w:pPr>
              <w:spacing w:line="260" w:lineRule="atLeast"/>
              <w:ind w:left="0"/>
              <w:rPr>
                <w:szCs w:val="18"/>
              </w:rPr>
            </w:pPr>
            <w:r w:rsidRPr="00FE6237">
              <w:rPr>
                <w:szCs w:val="18"/>
              </w:rPr>
              <w:t>1</w:t>
            </w:r>
            <w:r>
              <w:rPr>
                <w:szCs w:val="18"/>
              </w:rPr>
              <w:t>2</w:t>
            </w:r>
            <w:r w:rsidRPr="00FE6237">
              <w:rPr>
                <w:szCs w:val="18"/>
              </w:rPr>
              <w:t>.</w:t>
            </w:r>
            <w:r>
              <w:rPr>
                <w:szCs w:val="18"/>
              </w:rPr>
              <w:t>25 – 12.30</w:t>
            </w:r>
          </w:p>
        </w:tc>
        <w:tc>
          <w:tcPr>
            <w:tcW w:w="4820" w:type="dxa"/>
          </w:tcPr>
          <w:p w14:paraId="729A920C" w14:textId="77777777" w:rsidR="00D159E4" w:rsidRPr="00FE6237" w:rsidRDefault="00D159E4" w:rsidP="00DB1B88">
            <w:pPr>
              <w:spacing w:line="260" w:lineRule="atLeast"/>
              <w:ind w:left="0"/>
              <w:rPr>
                <w:szCs w:val="18"/>
              </w:rPr>
            </w:pPr>
            <w:r>
              <w:rPr>
                <w:szCs w:val="18"/>
              </w:rPr>
              <w:t>Wrap-up and closing</w:t>
            </w:r>
          </w:p>
        </w:tc>
        <w:tc>
          <w:tcPr>
            <w:tcW w:w="2687" w:type="dxa"/>
          </w:tcPr>
          <w:p w14:paraId="2EE1BA3D" w14:textId="77777777" w:rsidR="00D159E4" w:rsidRPr="00FE6237" w:rsidRDefault="00D159E4" w:rsidP="00DB1B88">
            <w:pPr>
              <w:spacing w:line="260" w:lineRule="atLeast"/>
              <w:ind w:left="0"/>
              <w:rPr>
                <w:szCs w:val="18"/>
              </w:rPr>
            </w:pPr>
            <w:r>
              <w:rPr>
                <w:szCs w:val="18"/>
              </w:rPr>
              <w:t>Riikka Torppa (European Commission, DG REFORM)</w:t>
            </w:r>
          </w:p>
        </w:tc>
      </w:tr>
    </w:tbl>
    <w:p w14:paraId="7208D922" w14:textId="6F8F5964" w:rsidR="00D159E4" w:rsidRDefault="00D159E4" w:rsidP="00D159E4"/>
    <w:p w14:paraId="587EE9A8" w14:textId="77777777" w:rsidR="00D159E4" w:rsidRPr="00840648" w:rsidRDefault="00D159E4" w:rsidP="00D159E4">
      <w:pPr>
        <w:pStyle w:val="Nadpis4"/>
        <w:ind w:firstLine="0"/>
      </w:pPr>
      <w:r>
        <w:lastRenderedPageBreak/>
        <w:t>Guiding questions for the p</w:t>
      </w:r>
      <w:r w:rsidRPr="00B85A66">
        <w:t>anel discussion</w:t>
      </w:r>
    </w:p>
    <w:tbl>
      <w:tblPr>
        <w:tblStyle w:val="Table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3A5" w:themeFill="accent4"/>
        <w:tblLook w:val="04A0" w:firstRow="1" w:lastRow="0" w:firstColumn="1" w:lastColumn="0" w:noHBand="0" w:noVBand="1"/>
      </w:tblPr>
      <w:tblGrid>
        <w:gridCol w:w="8778"/>
      </w:tblGrid>
      <w:tr w:rsidR="00D159E4" w:rsidRPr="00BC5A68" w14:paraId="5189A7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shd w:val="clear" w:color="auto" w:fill="FFE3A5" w:themeFill="accent4"/>
          </w:tcPr>
          <w:p w14:paraId="17D6B90F" w14:textId="77777777" w:rsidR="00D159E4" w:rsidRPr="00D9451A" w:rsidRDefault="00D159E4" w:rsidP="00DB1B88">
            <w:pPr>
              <w:spacing w:line="280" w:lineRule="atLeast"/>
              <w:ind w:left="0"/>
              <w:jc w:val="left"/>
              <w:rPr>
                <w:color w:val="005962"/>
                <w:szCs w:val="16"/>
              </w:rPr>
            </w:pPr>
            <w:r w:rsidRPr="00D9451A">
              <w:rPr>
                <w:color w:val="005962"/>
                <w:szCs w:val="16"/>
              </w:rPr>
              <w:t>On the balance between efficiency and effectiveness of DNSH assessments</w:t>
            </w:r>
          </w:p>
          <w:p w14:paraId="238644ED" w14:textId="77777777" w:rsidR="00D159E4" w:rsidRPr="00D17CA8" w:rsidRDefault="00D159E4" w:rsidP="00BC1B18">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rPr>
            </w:pPr>
            <w:r>
              <w:rPr>
                <w:b w:val="0"/>
                <w:bCs/>
                <w:color w:val="000000" w:themeColor="text1"/>
                <w:szCs w:val="18"/>
              </w:rPr>
              <w:t>What are the practices to simplify and standardise DNSH assessments – beyond those discussed previously (e.g., methodologies, format of the forms, etc)</w:t>
            </w:r>
            <w:r w:rsidRPr="00A21ABC">
              <w:rPr>
                <w:b w:val="0"/>
                <w:bCs/>
                <w:color w:val="000000" w:themeColor="text1"/>
                <w:szCs w:val="18"/>
              </w:rPr>
              <w:t>?</w:t>
            </w:r>
          </w:p>
          <w:p w14:paraId="710EEEB8" w14:textId="77777777" w:rsidR="00D159E4" w:rsidRPr="00D17CA8" w:rsidRDefault="00D159E4" w:rsidP="00BC1B18">
            <w:pPr>
              <w:pStyle w:val="Odstavecseseznamem"/>
              <w:numPr>
                <w:ilvl w:val="1"/>
                <w:numId w:val="13"/>
              </w:numPr>
              <w:tabs>
                <w:tab w:val="clear" w:pos="851"/>
                <w:tab w:val="left" w:pos="321"/>
              </w:tabs>
              <w:spacing w:after="120" w:line="280" w:lineRule="atLeast"/>
              <w:jc w:val="left"/>
              <w:rPr>
                <w:b w:val="0"/>
                <w:bCs/>
                <w:color w:val="auto"/>
                <w:szCs w:val="18"/>
              </w:rPr>
            </w:pPr>
            <w:r w:rsidRPr="00D17CA8">
              <w:rPr>
                <w:b w:val="0"/>
                <w:bCs/>
                <w:color w:val="auto"/>
                <w:szCs w:val="18"/>
              </w:rPr>
              <w:t>Are there other methods, solutions to improve the situation? E.g., specific project call, evaluation…</w:t>
            </w:r>
          </w:p>
          <w:p w14:paraId="64E8F2A4" w14:textId="77777777" w:rsidR="00D159E4" w:rsidRPr="004D58FE" w:rsidRDefault="00D159E4" w:rsidP="00BC1B18">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rPr>
            </w:pPr>
            <w:r>
              <w:rPr>
                <w:b w:val="0"/>
                <w:bCs/>
                <w:color w:val="000000" w:themeColor="text1"/>
                <w:szCs w:val="18"/>
              </w:rPr>
              <w:t>What are the practices to avoid the administrative burden on project proponents, while ensuring strong safeguards on the application of the DNSH principle</w:t>
            </w:r>
            <w:r w:rsidRPr="00A21ABC">
              <w:rPr>
                <w:b w:val="0"/>
                <w:bCs/>
                <w:color w:val="000000" w:themeColor="text1"/>
                <w:szCs w:val="18"/>
              </w:rPr>
              <w:t>?</w:t>
            </w:r>
          </w:p>
          <w:p w14:paraId="57B169B3" w14:textId="77777777" w:rsidR="00D159E4" w:rsidRPr="00F4394A" w:rsidRDefault="00D159E4" w:rsidP="00BC1B18">
            <w:pPr>
              <w:pStyle w:val="Odstavecseseznamem"/>
              <w:numPr>
                <w:ilvl w:val="0"/>
                <w:numId w:val="13"/>
              </w:numPr>
              <w:tabs>
                <w:tab w:val="clear" w:pos="851"/>
                <w:tab w:val="left" w:pos="321"/>
              </w:tabs>
              <w:spacing w:after="120" w:line="280" w:lineRule="atLeast"/>
              <w:ind w:left="321" w:hanging="284"/>
              <w:jc w:val="left"/>
              <w:rPr>
                <w:b w:val="0"/>
                <w:color w:val="auto"/>
                <w:szCs w:val="18"/>
              </w:rPr>
            </w:pPr>
            <w:r w:rsidRPr="00F4394A">
              <w:rPr>
                <w:b w:val="0"/>
                <w:color w:val="auto"/>
                <w:szCs w:val="18"/>
              </w:rPr>
              <w:t>How relevant is the definition of a threshold of “significant harm” in ensuring that environmental integrity is not breached for all projects (including for simplified assessments)? Do you face challenges regarding this? Have you identified good practices?</w:t>
            </w:r>
          </w:p>
          <w:p w14:paraId="4C30D5FD" w14:textId="77777777" w:rsidR="00D159E4" w:rsidRPr="00A45E39" w:rsidRDefault="00D159E4" w:rsidP="00BC1B18">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rPr>
            </w:pPr>
            <w:r>
              <w:rPr>
                <w:b w:val="0"/>
                <w:bCs/>
                <w:color w:val="000000" w:themeColor="text1"/>
                <w:szCs w:val="18"/>
              </w:rPr>
              <w:t>(How) do you differentiate between sectors when conducting detailed DNSH assessments, beyond regulatory requirements (e.g., specific methodologies and criteria)?</w:t>
            </w:r>
          </w:p>
          <w:p w14:paraId="088E1C36" w14:textId="77777777" w:rsidR="00D159E4" w:rsidRPr="00D9451A" w:rsidRDefault="00D159E4" w:rsidP="00DB1B88">
            <w:pPr>
              <w:tabs>
                <w:tab w:val="left" w:pos="321"/>
              </w:tabs>
              <w:spacing w:line="280" w:lineRule="atLeast"/>
              <w:ind w:left="37"/>
              <w:jc w:val="left"/>
              <w:rPr>
                <w:bCs/>
                <w:color w:val="005962"/>
                <w:szCs w:val="18"/>
              </w:rPr>
            </w:pPr>
            <w:r w:rsidRPr="00D9451A">
              <w:rPr>
                <w:color w:val="005962"/>
                <w:szCs w:val="18"/>
              </w:rPr>
              <w:t>On the relationship between the application of the DNSH principle and legislative frameworks</w:t>
            </w:r>
          </w:p>
          <w:p w14:paraId="4EDCFA2A" w14:textId="77777777" w:rsidR="00D159E4" w:rsidRPr="00A21ABC" w:rsidRDefault="00D159E4" w:rsidP="00BC1B18">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rPr>
            </w:pPr>
            <w:r>
              <w:rPr>
                <w:b w:val="0"/>
                <w:bCs/>
                <w:color w:val="000000" w:themeColor="text1"/>
                <w:szCs w:val="18"/>
              </w:rPr>
              <w:t>Does your Member State consider legislative amendments to better integrate the DNSH principle in environmental law</w:t>
            </w:r>
            <w:r w:rsidRPr="00A21ABC">
              <w:rPr>
                <w:b w:val="0"/>
                <w:bCs/>
                <w:color w:val="000000" w:themeColor="text1"/>
                <w:szCs w:val="18"/>
              </w:rPr>
              <w:t>?</w:t>
            </w:r>
          </w:p>
          <w:p w14:paraId="0E760017" w14:textId="77777777" w:rsidR="00D159E4" w:rsidRPr="00D9451A" w:rsidRDefault="00D159E4" w:rsidP="00DB1B88">
            <w:pPr>
              <w:tabs>
                <w:tab w:val="left" w:pos="321"/>
              </w:tabs>
              <w:spacing w:line="280" w:lineRule="atLeast"/>
              <w:ind w:left="37"/>
              <w:jc w:val="left"/>
              <w:rPr>
                <w:bCs/>
                <w:color w:val="005962"/>
                <w:szCs w:val="18"/>
              </w:rPr>
            </w:pPr>
            <w:r w:rsidRPr="00D9451A">
              <w:rPr>
                <w:color w:val="005962"/>
                <w:szCs w:val="18"/>
              </w:rPr>
              <w:t>On the different stages of DNSH application</w:t>
            </w:r>
          </w:p>
          <w:p w14:paraId="5FEE3C3C" w14:textId="77777777" w:rsidR="00D159E4" w:rsidRPr="00F4394A" w:rsidRDefault="00D159E4" w:rsidP="00BC1B18">
            <w:pPr>
              <w:pStyle w:val="Odstavecseseznamem"/>
              <w:numPr>
                <w:ilvl w:val="0"/>
                <w:numId w:val="13"/>
              </w:numPr>
              <w:tabs>
                <w:tab w:val="clear" w:pos="851"/>
                <w:tab w:val="left" w:pos="321"/>
              </w:tabs>
              <w:spacing w:after="120" w:line="280" w:lineRule="atLeast"/>
              <w:ind w:left="321" w:hanging="284"/>
              <w:jc w:val="left"/>
              <w:rPr>
                <w:b w:val="0"/>
                <w:bCs/>
                <w:color w:val="000000" w:themeColor="text1"/>
                <w:szCs w:val="18"/>
              </w:rPr>
            </w:pPr>
            <w:r w:rsidRPr="00F4394A">
              <w:rPr>
                <w:b w:val="0"/>
                <w:bCs/>
                <w:color w:val="auto"/>
                <w:szCs w:val="18"/>
              </w:rPr>
              <w:t xml:space="preserve">Have you developed any measure to monitor the application of the DNSH principle, beyond requirements in your national RRP? Which challenges are you facing (e.g., timeline and frequency for monitoring)? What are the lessons learnt so far? </w:t>
            </w:r>
          </w:p>
        </w:tc>
      </w:tr>
    </w:tbl>
    <w:p w14:paraId="0BC1D5A3" w14:textId="77777777" w:rsidR="00D159E4" w:rsidRDefault="00D159E4" w:rsidP="00D159E4"/>
    <w:p w14:paraId="2B3578D1" w14:textId="35F45A21" w:rsidR="004443A0" w:rsidRDefault="004443A0">
      <w:pPr>
        <w:spacing w:after="200" w:line="276" w:lineRule="auto"/>
        <w:ind w:left="0"/>
      </w:pPr>
      <w:r>
        <w:br w:type="page"/>
      </w:r>
    </w:p>
    <w:p w14:paraId="7AA13EEE" w14:textId="5D8ECB04" w:rsidR="004443A0" w:rsidRDefault="004443A0" w:rsidP="004443A0">
      <w:pPr>
        <w:pStyle w:val="Nadpis3"/>
      </w:pPr>
      <w:bookmarkStart w:id="87" w:name="_Toc128382414"/>
      <w:bookmarkStart w:id="88" w:name="_Toc131757473"/>
      <w:bookmarkStart w:id="89" w:name="_Toc131775866"/>
      <w:r>
        <w:lastRenderedPageBreak/>
        <w:t>Webinar 3</w:t>
      </w:r>
      <w:bookmarkEnd w:id="87"/>
      <w:bookmarkEnd w:id="88"/>
      <w:bookmarkEnd w:id="89"/>
    </w:p>
    <w:p w14:paraId="72C8C868" w14:textId="0B69AA54" w:rsidR="004443A0" w:rsidRDefault="004443A0" w:rsidP="004443A0">
      <w:pPr>
        <w:pStyle w:val="Nadpis1"/>
        <w:numPr>
          <w:ilvl w:val="0"/>
          <w:numId w:val="0"/>
        </w:numPr>
        <w:spacing w:after="0" w:line="240" w:lineRule="auto"/>
        <w:ind w:left="567" w:hanging="567"/>
        <w:jc w:val="center"/>
      </w:pPr>
      <w:bookmarkStart w:id="90" w:name="_Toc128382415"/>
      <w:bookmarkStart w:id="91" w:name="_Toc131757474"/>
      <w:bookmarkStart w:id="92" w:name="_Toc131775867"/>
      <w:r>
        <w:t>Peer learning exchange on existing practices on the application of the DNSH principle</w:t>
      </w:r>
      <w:r w:rsidR="00A732E1">
        <w:t xml:space="preserve"> (III)</w:t>
      </w:r>
      <w:bookmarkEnd w:id="90"/>
      <w:bookmarkEnd w:id="91"/>
      <w:bookmarkEnd w:id="92"/>
    </w:p>
    <w:p w14:paraId="1BBD276F" w14:textId="77777777" w:rsidR="004443A0" w:rsidRPr="004443A0" w:rsidRDefault="004443A0" w:rsidP="004443A0">
      <w:pPr>
        <w:spacing w:line="240" w:lineRule="auto"/>
        <w:rPr>
          <w:b/>
          <w:bCs/>
          <w:color w:val="005962" w:themeColor="accent1"/>
          <w:sz w:val="20"/>
          <w:szCs w:val="20"/>
          <w:lang w:val="en-GB"/>
        </w:rPr>
      </w:pPr>
    </w:p>
    <w:p w14:paraId="429E854C" w14:textId="77777777" w:rsidR="004443A0" w:rsidRDefault="004443A0" w:rsidP="004443A0">
      <w:pPr>
        <w:spacing w:line="240" w:lineRule="auto"/>
        <w:ind w:left="0"/>
        <w:rPr>
          <w:b/>
          <w:bCs/>
          <w:color w:val="005962" w:themeColor="accent1"/>
          <w:sz w:val="20"/>
          <w:szCs w:val="20"/>
        </w:rPr>
      </w:pPr>
      <w:r>
        <w:rPr>
          <w:b/>
          <w:bCs/>
          <w:color w:val="005962" w:themeColor="accent1"/>
          <w:sz w:val="20"/>
          <w:szCs w:val="20"/>
        </w:rPr>
        <w:t>Webinar (MS Teams)</w:t>
      </w:r>
      <w:r w:rsidRPr="00F77F04">
        <w:rPr>
          <w:b/>
          <w:bCs/>
          <w:color w:val="005962" w:themeColor="accent1"/>
          <w:sz w:val="20"/>
          <w:szCs w:val="20"/>
        </w:rPr>
        <w:t xml:space="preserve">: </w:t>
      </w:r>
      <w:r w:rsidRPr="00295018">
        <w:rPr>
          <w:b/>
          <w:bCs/>
          <w:color w:val="005962" w:themeColor="accent1"/>
          <w:sz w:val="20"/>
          <w:szCs w:val="20"/>
        </w:rPr>
        <w:t xml:space="preserve">Application of the DNSH principle to </w:t>
      </w:r>
      <w:r>
        <w:rPr>
          <w:b/>
          <w:bCs/>
          <w:color w:val="005962" w:themeColor="accent1"/>
          <w:sz w:val="20"/>
          <w:szCs w:val="20"/>
        </w:rPr>
        <w:t xml:space="preserve">R&amp;D and green </w:t>
      </w:r>
      <w:r w:rsidRPr="00295018">
        <w:rPr>
          <w:b/>
          <w:bCs/>
          <w:color w:val="005962" w:themeColor="accent1"/>
          <w:sz w:val="20"/>
          <w:szCs w:val="20"/>
        </w:rPr>
        <w:t>innovati</w:t>
      </w:r>
      <w:r>
        <w:rPr>
          <w:b/>
          <w:bCs/>
          <w:color w:val="005962" w:themeColor="accent1"/>
          <w:sz w:val="20"/>
          <w:szCs w:val="20"/>
        </w:rPr>
        <w:t>on projects</w:t>
      </w:r>
    </w:p>
    <w:p w14:paraId="566C8262" w14:textId="77777777" w:rsidR="004443A0" w:rsidRPr="00F77F04" w:rsidRDefault="004443A0" w:rsidP="004443A0">
      <w:pPr>
        <w:spacing w:line="240" w:lineRule="auto"/>
        <w:rPr>
          <w:color w:val="005962" w:themeColor="accent1"/>
          <w:sz w:val="20"/>
          <w:szCs w:val="20"/>
        </w:rPr>
      </w:pPr>
    </w:p>
    <w:tbl>
      <w:tblPr>
        <w:tblStyle w:val="Mkatabulky"/>
        <w:tblW w:w="0" w:type="auto"/>
        <w:tblLook w:val="04A0" w:firstRow="1" w:lastRow="0" w:firstColumn="1" w:lastColumn="0" w:noHBand="0" w:noVBand="1"/>
      </w:tblPr>
      <w:tblGrid>
        <w:gridCol w:w="1696"/>
        <w:gridCol w:w="2410"/>
        <w:gridCol w:w="4672"/>
      </w:tblGrid>
      <w:tr w:rsidR="004443A0" w14:paraId="00FD6D2F" w14:textId="77777777" w:rsidTr="00EA2D8D">
        <w:trPr>
          <w:trHeight w:val="255"/>
        </w:trPr>
        <w:tc>
          <w:tcPr>
            <w:tcW w:w="1696" w:type="dxa"/>
            <w:shd w:val="clear" w:color="auto" w:fill="auto"/>
          </w:tcPr>
          <w:p w14:paraId="1BD2D846" w14:textId="77777777" w:rsidR="004443A0" w:rsidRDefault="004443A0" w:rsidP="004443A0">
            <w:pPr>
              <w:spacing w:line="240" w:lineRule="auto"/>
              <w:ind w:left="0"/>
              <w:rPr>
                <w:color w:val="005962" w:themeColor="accent1"/>
              </w:rPr>
            </w:pPr>
            <w:r w:rsidRPr="008D0254">
              <w:rPr>
                <w:b/>
                <w:bCs/>
                <w:color w:val="005962" w:themeColor="accent1"/>
              </w:rPr>
              <w:t>Date:</w:t>
            </w:r>
            <w:r>
              <w:rPr>
                <w:color w:val="005962" w:themeColor="accent1"/>
              </w:rPr>
              <w:t xml:space="preserve"> </w:t>
            </w:r>
            <w:r w:rsidRPr="00880DA3">
              <w:rPr>
                <w:color w:val="005962" w:themeColor="accent1"/>
              </w:rPr>
              <w:t>16</w:t>
            </w:r>
            <w:r>
              <w:rPr>
                <w:color w:val="005962" w:themeColor="accent1"/>
              </w:rPr>
              <w:t>/02/2023</w:t>
            </w:r>
          </w:p>
        </w:tc>
        <w:tc>
          <w:tcPr>
            <w:tcW w:w="2410" w:type="dxa"/>
            <w:shd w:val="clear" w:color="auto" w:fill="auto"/>
          </w:tcPr>
          <w:p w14:paraId="02BFB3C6" w14:textId="736F7D76" w:rsidR="004443A0" w:rsidRDefault="004443A0" w:rsidP="004443A0">
            <w:pPr>
              <w:spacing w:line="240" w:lineRule="auto"/>
              <w:ind w:left="0"/>
              <w:rPr>
                <w:color w:val="005962" w:themeColor="accent1"/>
              </w:rPr>
            </w:pPr>
            <w:r w:rsidRPr="008D0254">
              <w:rPr>
                <w:b/>
                <w:bCs/>
                <w:color w:val="005962" w:themeColor="accent1"/>
              </w:rPr>
              <w:t>Time:</w:t>
            </w:r>
            <w:r>
              <w:rPr>
                <w:color w:val="005962" w:themeColor="accent1"/>
              </w:rPr>
              <w:t xml:space="preserve"> </w:t>
            </w:r>
            <w:r w:rsidRPr="00880DA3">
              <w:rPr>
                <w:color w:val="005962" w:themeColor="accent1"/>
              </w:rPr>
              <w:t>10.00</w:t>
            </w:r>
            <w:r w:rsidR="00901703">
              <w:rPr>
                <w:color w:val="005962" w:themeColor="accent1"/>
              </w:rPr>
              <w:t xml:space="preserve"> </w:t>
            </w:r>
            <w:r w:rsidRPr="00880DA3">
              <w:rPr>
                <w:color w:val="005962" w:themeColor="accent1"/>
              </w:rPr>
              <w:t>-</w:t>
            </w:r>
            <w:r w:rsidR="00901703">
              <w:rPr>
                <w:color w:val="005962" w:themeColor="accent1"/>
              </w:rPr>
              <w:t xml:space="preserve"> </w:t>
            </w:r>
            <w:r w:rsidRPr="00880DA3">
              <w:rPr>
                <w:color w:val="005962" w:themeColor="accent1"/>
              </w:rPr>
              <w:t>12.30h</w:t>
            </w:r>
            <w:r>
              <w:rPr>
                <w:color w:val="005962" w:themeColor="accent1"/>
              </w:rPr>
              <w:t xml:space="preserve"> CET</w:t>
            </w:r>
          </w:p>
        </w:tc>
        <w:tc>
          <w:tcPr>
            <w:tcW w:w="4672" w:type="dxa"/>
          </w:tcPr>
          <w:p w14:paraId="0F606B34" w14:textId="77777777" w:rsidR="004443A0" w:rsidRDefault="004443A0" w:rsidP="004443A0">
            <w:pPr>
              <w:spacing w:line="240" w:lineRule="auto"/>
              <w:ind w:left="0"/>
              <w:rPr>
                <w:color w:val="005962" w:themeColor="accent1"/>
              </w:rPr>
            </w:pPr>
            <w:r w:rsidRPr="008D0254">
              <w:rPr>
                <w:b/>
                <w:bCs/>
                <w:color w:val="005962" w:themeColor="accent1"/>
              </w:rPr>
              <w:t>Location</w:t>
            </w:r>
            <w:r>
              <w:rPr>
                <w:color w:val="005962" w:themeColor="accent1"/>
              </w:rPr>
              <w:t xml:space="preserve">: MS Teams. </w:t>
            </w:r>
            <w:r w:rsidRPr="00EE3344">
              <w:rPr>
                <w:color w:val="005962" w:themeColor="accent1"/>
              </w:rPr>
              <w:t xml:space="preserve">The link for connection is edited automatically after the participant registered </w:t>
            </w:r>
            <w:hyperlink r:id="rId24" w:history="1">
              <w:r w:rsidRPr="0001057B">
                <w:rPr>
                  <w:rStyle w:val="Hypertextovodkaz"/>
                </w:rPr>
                <w:t>here</w:t>
              </w:r>
            </w:hyperlink>
          </w:p>
        </w:tc>
      </w:tr>
    </w:tbl>
    <w:p w14:paraId="15524C8A" w14:textId="77777777" w:rsidR="004443A0" w:rsidRDefault="004443A0" w:rsidP="004443A0">
      <w:pPr>
        <w:jc w:val="both"/>
      </w:pPr>
    </w:p>
    <w:p w14:paraId="114F00E9" w14:textId="77777777" w:rsidR="004443A0" w:rsidRPr="002E516E" w:rsidRDefault="004443A0" w:rsidP="004443A0">
      <w:pPr>
        <w:pStyle w:val="Nadpis2"/>
        <w:numPr>
          <w:ilvl w:val="0"/>
          <w:numId w:val="0"/>
        </w:numPr>
      </w:pPr>
      <w:bookmarkStart w:id="93" w:name="_Toc128382416"/>
      <w:bookmarkStart w:id="94" w:name="_Toc131757475"/>
      <w:bookmarkStart w:id="95" w:name="_Toc131775868"/>
      <w:r>
        <w:t>About the p</w:t>
      </w:r>
      <w:r w:rsidRPr="009C3688">
        <w:t>eer-learning exchange</w:t>
      </w:r>
      <w:bookmarkEnd w:id="93"/>
      <w:bookmarkEnd w:id="94"/>
      <w:bookmarkEnd w:id="95"/>
    </w:p>
    <w:p w14:paraId="53BA502E" w14:textId="6B94CAF6" w:rsidR="00901703" w:rsidRPr="009C3688" w:rsidRDefault="00901703" w:rsidP="004443A0">
      <w:pPr>
        <w:spacing w:line="240" w:lineRule="auto"/>
        <w:ind w:left="0"/>
        <w:rPr>
          <w:b/>
          <w:bCs/>
          <w:color w:val="F04E30" w:themeColor="accent2"/>
        </w:rPr>
      </w:pPr>
      <w:r>
        <w:rPr>
          <w:lang w:val="en-GB"/>
        </w:rPr>
        <w:t>Please refer to this section under concept note for Webinar 1.</w:t>
      </w:r>
    </w:p>
    <w:p w14:paraId="5D9BF335" w14:textId="77777777" w:rsidR="004443A0" w:rsidRDefault="004443A0" w:rsidP="004443A0">
      <w:pPr>
        <w:jc w:val="both"/>
      </w:pPr>
    </w:p>
    <w:p w14:paraId="42CE304A" w14:textId="77777777" w:rsidR="004443A0" w:rsidRDefault="004443A0" w:rsidP="004443A0">
      <w:pPr>
        <w:ind w:left="0"/>
        <w:rPr>
          <w:b/>
          <w:color w:val="005962"/>
          <w:sz w:val="24"/>
        </w:rPr>
      </w:pPr>
      <w:r w:rsidRPr="00A55C94">
        <w:rPr>
          <w:b/>
          <w:color w:val="005962"/>
          <w:sz w:val="24"/>
        </w:rPr>
        <w:t xml:space="preserve">Webinar 3: Application of the DNSH principle to </w:t>
      </w:r>
      <w:r>
        <w:rPr>
          <w:b/>
          <w:color w:val="005962"/>
          <w:sz w:val="24"/>
        </w:rPr>
        <w:t xml:space="preserve">R&amp;D and green </w:t>
      </w:r>
      <w:r w:rsidRPr="00A55C94">
        <w:rPr>
          <w:b/>
          <w:color w:val="005962"/>
          <w:sz w:val="24"/>
        </w:rPr>
        <w:t>innovati</w:t>
      </w:r>
      <w:r>
        <w:rPr>
          <w:b/>
          <w:color w:val="005962"/>
          <w:sz w:val="24"/>
        </w:rPr>
        <w:t>on projects</w:t>
      </w:r>
    </w:p>
    <w:p w14:paraId="7B1F6045" w14:textId="77777777" w:rsidR="004443A0" w:rsidRPr="006317C2" w:rsidRDefault="004443A0" w:rsidP="004443A0">
      <w:pPr>
        <w:ind w:left="0"/>
        <w:rPr>
          <w:b/>
          <w:bCs/>
          <w:color w:val="F04E30" w:themeColor="accent2"/>
        </w:rPr>
      </w:pPr>
      <w:r>
        <w:rPr>
          <w:b/>
          <w:bCs/>
          <w:color w:val="F04E30" w:themeColor="accent2"/>
        </w:rPr>
        <w:t xml:space="preserve">About the challenge </w:t>
      </w:r>
    </w:p>
    <w:p w14:paraId="7DBD2BA7" w14:textId="77777777" w:rsidR="004443A0" w:rsidRDefault="004443A0" w:rsidP="004443A0">
      <w:pPr>
        <w:ind w:left="0"/>
        <w:jc w:val="both"/>
      </w:pPr>
      <w:r w:rsidRPr="0082334B">
        <w:t xml:space="preserve">Building on technical consultations with stakeholders in Czechia and other EU Member States, this </w:t>
      </w:r>
      <w:r w:rsidRPr="00AD5D9F">
        <w:rPr>
          <w:b/>
        </w:rPr>
        <w:t>third and last webinar</w:t>
      </w:r>
      <w:r w:rsidRPr="0082334B">
        <w:t xml:space="preserve"> of th</w:t>
      </w:r>
      <w:r>
        <w:t>e</w:t>
      </w:r>
      <w:r w:rsidRPr="0082334B">
        <w:t xml:space="preserve"> peer-learning exercise will focus on the experiences and practices of selected Member States in </w:t>
      </w:r>
      <w:r w:rsidRPr="00AD5D9F">
        <w:rPr>
          <w:b/>
        </w:rPr>
        <w:t>applying DNSH to programs and projects that lack technical guidance due to (</w:t>
      </w:r>
      <w:r>
        <w:rPr>
          <w:b/>
        </w:rPr>
        <w:t>early-stage) inn</w:t>
      </w:r>
      <w:r w:rsidRPr="00AD5D9F">
        <w:rPr>
          <w:b/>
        </w:rPr>
        <w:t xml:space="preserve">ovation activities currently not being </w:t>
      </w:r>
      <w:r w:rsidRPr="00AD5D9F">
        <w:rPr>
          <w:b/>
          <w:bCs/>
        </w:rPr>
        <w:t>covered</w:t>
      </w:r>
      <w:r w:rsidRPr="00AD5D9F" w:rsidDel="000D27D9">
        <w:rPr>
          <w:b/>
        </w:rPr>
        <w:t xml:space="preserve"> </w:t>
      </w:r>
      <w:r w:rsidRPr="00AD5D9F">
        <w:rPr>
          <w:b/>
        </w:rPr>
        <w:t>under the Taxonomy Delegated Acts</w:t>
      </w:r>
      <w:r w:rsidRPr="0082334B">
        <w:t xml:space="preserve">. In particular, the webinar will focus </w:t>
      </w:r>
      <w:r>
        <w:t>on DNSH assessments for</w:t>
      </w:r>
      <w:r w:rsidRPr="0082334B">
        <w:t xml:space="preserve"> </w:t>
      </w:r>
      <w:r>
        <w:rPr>
          <w:b/>
        </w:rPr>
        <w:t>R&amp;D and g</w:t>
      </w:r>
      <w:r w:rsidRPr="00E52264">
        <w:rPr>
          <w:b/>
        </w:rPr>
        <w:t xml:space="preserve">reen </w:t>
      </w:r>
      <w:r>
        <w:rPr>
          <w:b/>
          <w:bCs/>
        </w:rPr>
        <w:t xml:space="preserve">(innovative) </w:t>
      </w:r>
      <w:r w:rsidRPr="00E52264">
        <w:rPr>
          <w:b/>
        </w:rPr>
        <w:t>technology investments</w:t>
      </w:r>
      <w:r>
        <w:t>. W</w:t>
      </w:r>
      <w:r w:rsidRPr="0082334B">
        <w:t xml:space="preserve">hile critical to the green transition, </w:t>
      </w:r>
      <w:r>
        <w:t xml:space="preserve">it has proven difficult for Member States to apply the DNSH principle to these investments (in particular under the RRF) </w:t>
      </w:r>
      <w:r w:rsidRPr="0082334B">
        <w:t>due to their innovative nature</w:t>
      </w:r>
      <w:r>
        <w:t xml:space="preserve"> and without technical screening criteria for these activities under the Taxonomy Regulation</w:t>
      </w:r>
      <w:r w:rsidRPr="0082334B">
        <w:t xml:space="preserve">. </w:t>
      </w:r>
      <w:r>
        <w:t>The webinar</w:t>
      </w:r>
      <w:r w:rsidRPr="0082334B">
        <w:t xml:space="preserve"> will discuss </w:t>
      </w:r>
      <w:r>
        <w:t>what</w:t>
      </w:r>
      <w:r w:rsidRPr="0082334B" w:rsidDel="008D18A7">
        <w:t xml:space="preserve"> </w:t>
      </w:r>
      <w:r w:rsidRPr="0082334B">
        <w:t xml:space="preserve">approaches </w:t>
      </w:r>
      <w:r>
        <w:t>have been developed by</w:t>
      </w:r>
      <w:r w:rsidRPr="0082334B">
        <w:t xml:space="preserve"> Member States </w:t>
      </w:r>
      <w:r>
        <w:t>for green (innovative) technology investments</w:t>
      </w:r>
      <w:r w:rsidRPr="0082334B">
        <w:t xml:space="preserve">, </w:t>
      </w:r>
      <w:r>
        <w:t>in order to ensure</w:t>
      </w:r>
      <w:r w:rsidRPr="0082334B">
        <w:t xml:space="preserve"> that those investments do not jeopardize any of </w:t>
      </w:r>
      <w:r>
        <w:t xml:space="preserve">the EU’s </w:t>
      </w:r>
      <w:r w:rsidRPr="0082334B">
        <w:t>environmental goals.</w:t>
      </w:r>
      <w:r>
        <w:t xml:space="preserve"> </w:t>
      </w:r>
    </w:p>
    <w:p w14:paraId="088FDC18" w14:textId="77777777" w:rsidR="004443A0" w:rsidRDefault="004443A0" w:rsidP="004443A0">
      <w:pPr>
        <w:ind w:left="0"/>
        <w:jc w:val="both"/>
      </w:pPr>
    </w:p>
    <w:p w14:paraId="5D4097C8" w14:textId="338ECE5F" w:rsidR="004443A0" w:rsidRDefault="004443A0" w:rsidP="004443A0">
      <w:pPr>
        <w:ind w:left="0"/>
        <w:jc w:val="both"/>
      </w:pPr>
      <w:r>
        <w:t xml:space="preserve">The webinar will notably revolve around the following challenges: </w:t>
      </w:r>
    </w:p>
    <w:p w14:paraId="120BC613" w14:textId="1DB491F8" w:rsidR="004443A0" w:rsidRDefault="004443A0" w:rsidP="00BC1B18">
      <w:pPr>
        <w:pStyle w:val="Odstavecseseznamem"/>
        <w:numPr>
          <w:ilvl w:val="0"/>
          <w:numId w:val="16"/>
        </w:numPr>
        <w:spacing w:before="120" w:after="120" w:line="280" w:lineRule="exact"/>
      </w:pPr>
      <w:r w:rsidRPr="00B11AD5">
        <w:t xml:space="preserve">Developing </w:t>
      </w:r>
      <w:r>
        <w:t xml:space="preserve">methodologies and define alternative criteria for assessing projects that are not covered by precise DNSH guidance and/or by the EU Taxonomy </w:t>
      </w:r>
      <w:r w:rsidR="009D089B">
        <w:t>D</w:t>
      </w:r>
      <w:r>
        <w:t xml:space="preserve">elegated </w:t>
      </w:r>
      <w:r w:rsidR="009D089B">
        <w:t>A</w:t>
      </w:r>
      <w:r>
        <w:t>cts;</w:t>
      </w:r>
    </w:p>
    <w:p w14:paraId="68BA8863" w14:textId="77777777" w:rsidR="004443A0" w:rsidRDefault="004443A0" w:rsidP="00BC1B18">
      <w:pPr>
        <w:pStyle w:val="Odstavecseseznamem"/>
        <w:numPr>
          <w:ilvl w:val="0"/>
          <w:numId w:val="16"/>
        </w:numPr>
        <w:spacing w:before="120" w:after="120" w:line="280" w:lineRule="exact"/>
        <w:jc w:val="both"/>
      </w:pPr>
      <w:r>
        <w:t xml:space="preserve">Striking a balance between process standardization and consideration of projects’ </w:t>
      </w:r>
      <w:r w:rsidRPr="002D7F49">
        <w:t>specificities</w:t>
      </w:r>
      <w:r>
        <w:t>;</w:t>
      </w:r>
    </w:p>
    <w:p w14:paraId="570F34BA" w14:textId="77777777" w:rsidR="004443A0" w:rsidRPr="000112A7" w:rsidRDefault="004443A0" w:rsidP="00BC1B18">
      <w:pPr>
        <w:pStyle w:val="Odstavecseseznamem"/>
        <w:numPr>
          <w:ilvl w:val="0"/>
          <w:numId w:val="16"/>
        </w:numPr>
        <w:spacing w:before="120" w:after="120" w:line="280" w:lineRule="exact"/>
        <w:jc w:val="both"/>
      </w:pPr>
      <w:r w:rsidRPr="00A06CCF">
        <w:t xml:space="preserve">Developing </w:t>
      </w:r>
      <w:r>
        <w:t xml:space="preserve">other and </w:t>
      </w:r>
      <w:r w:rsidRPr="000112A7">
        <w:t xml:space="preserve">additional policies and methodologies </w:t>
      </w:r>
      <w:r>
        <w:t xml:space="preserve">(e.g., green budgeting) </w:t>
      </w:r>
      <w:r w:rsidRPr="000112A7">
        <w:t xml:space="preserve">to classify </w:t>
      </w:r>
      <w:r>
        <w:t xml:space="preserve">and measure </w:t>
      </w:r>
      <w:r w:rsidRPr="000112A7">
        <w:t>investments in innovative green technologies</w:t>
      </w:r>
      <w:r>
        <w:t>.</w:t>
      </w:r>
      <w:r w:rsidRPr="000112A7">
        <w:t xml:space="preserve"> </w:t>
      </w:r>
    </w:p>
    <w:p w14:paraId="7D669996" w14:textId="77777777" w:rsidR="004443A0" w:rsidRPr="00D371F0" w:rsidRDefault="004443A0" w:rsidP="004443A0">
      <w:pPr>
        <w:ind w:left="0"/>
        <w:jc w:val="both"/>
      </w:pPr>
      <w:r w:rsidRPr="00D371F0">
        <w:t xml:space="preserve">Furthermore, </w:t>
      </w:r>
      <w:r>
        <w:t xml:space="preserve">the webinar will present and discuss </w:t>
      </w:r>
      <w:r w:rsidRPr="00D371F0">
        <w:rPr>
          <w:b/>
          <w:bCs/>
        </w:rPr>
        <w:t xml:space="preserve">alternative methodologies that have been developed </w:t>
      </w:r>
      <w:r>
        <w:rPr>
          <w:b/>
          <w:bCs/>
        </w:rPr>
        <w:t xml:space="preserve">by other EU Member States </w:t>
      </w:r>
      <w:r w:rsidRPr="00D371F0">
        <w:rPr>
          <w:b/>
          <w:bCs/>
        </w:rPr>
        <w:t>to identify and invest in green activities</w:t>
      </w:r>
      <w:r>
        <w:rPr>
          <w:b/>
          <w:bCs/>
        </w:rPr>
        <w:t>, such as green budgeting</w:t>
      </w:r>
      <w:r w:rsidRPr="00D371F0">
        <w:t xml:space="preserve">, and related implications in the assessment of the DNSH principle for projects that lack </w:t>
      </w:r>
      <w:r>
        <w:t xml:space="preserve">technical </w:t>
      </w:r>
      <w:r w:rsidRPr="00D371F0">
        <w:t>guidance</w:t>
      </w:r>
      <w:r>
        <w:t>/screening criteria</w:t>
      </w:r>
      <w:r w:rsidRPr="00D371F0">
        <w:t xml:space="preserve">. </w:t>
      </w:r>
    </w:p>
    <w:p w14:paraId="6FC9CF43" w14:textId="77777777" w:rsidR="004443A0" w:rsidRDefault="004443A0" w:rsidP="004443A0"/>
    <w:p w14:paraId="641EFD69" w14:textId="11FB466F" w:rsidR="004443A0" w:rsidRPr="00840648" w:rsidRDefault="004443A0" w:rsidP="004443A0">
      <w:pPr>
        <w:pStyle w:val="Nadpis4"/>
        <w:ind w:firstLine="0"/>
      </w:pPr>
      <w:r>
        <w:t>Approach used for the webinars</w:t>
      </w:r>
    </w:p>
    <w:p w14:paraId="13EC90F8" w14:textId="77777777" w:rsidR="004443A0" w:rsidRPr="00B34D5A" w:rsidRDefault="004443A0" w:rsidP="004443A0">
      <w:pPr>
        <w:ind w:left="0"/>
        <w:jc w:val="both"/>
        <w:rPr>
          <w:b/>
          <w:bCs/>
          <w:color w:val="005962" w:themeColor="accent1"/>
        </w:rPr>
      </w:pPr>
      <w:r w:rsidRPr="00B34D5A">
        <w:rPr>
          <w:b/>
          <w:bCs/>
          <w:color w:val="005962" w:themeColor="accent1"/>
        </w:rPr>
        <w:t>Part I: Introduction and setting the scene</w:t>
      </w:r>
    </w:p>
    <w:p w14:paraId="0E3FC744" w14:textId="625E3B93" w:rsidR="004443A0" w:rsidRPr="004443A0" w:rsidRDefault="004443A0" w:rsidP="004443A0">
      <w:pPr>
        <w:ind w:left="0"/>
        <w:jc w:val="both"/>
      </w:pPr>
      <w:r w:rsidRPr="007E7165">
        <w:t xml:space="preserve">The </w:t>
      </w:r>
      <w:r>
        <w:t>webinar</w:t>
      </w:r>
      <w:r w:rsidRPr="007E7165">
        <w:t xml:space="preserve"> will start by giving a brief </w:t>
      </w:r>
      <w:r>
        <w:t>introduction</w:t>
      </w:r>
      <w:r w:rsidRPr="007E7165">
        <w:t xml:space="preserve"> about the </w:t>
      </w:r>
      <w:r w:rsidRPr="0C695760">
        <w:rPr>
          <w:b/>
        </w:rPr>
        <w:t xml:space="preserve">agenda and objectives </w:t>
      </w:r>
      <w:r w:rsidRPr="0C695760">
        <w:rPr>
          <w:b/>
          <w:bCs/>
        </w:rPr>
        <w:t>of</w:t>
      </w:r>
      <w:r w:rsidRPr="0C695760">
        <w:rPr>
          <w:b/>
        </w:rPr>
        <w:t xml:space="preserve"> the webinar</w:t>
      </w:r>
      <w:r w:rsidRPr="007E7165">
        <w:t>, and will be followed by presentation</w:t>
      </w:r>
      <w:r>
        <w:t xml:space="preserve">s from the project team and representatives of Czechia, Austria </w:t>
      </w:r>
      <w:r w:rsidRPr="00FF7108">
        <w:t>and Finland</w:t>
      </w:r>
      <w:r>
        <w:t xml:space="preserve"> about </w:t>
      </w:r>
      <w:r w:rsidRPr="009128E4">
        <w:t xml:space="preserve">their </w:t>
      </w:r>
      <w:r>
        <w:t>specific practice (“focus case”) in relation to the webinar’s challenge</w:t>
      </w:r>
      <w:r w:rsidRPr="00B92B10">
        <w:t xml:space="preserve">. The </w:t>
      </w:r>
      <w:r w:rsidRPr="00B92B10">
        <w:rPr>
          <w:b/>
        </w:rPr>
        <w:t>project team</w:t>
      </w:r>
      <w:r w:rsidRPr="00B92B10">
        <w:rPr>
          <w:b/>
          <w:bCs/>
        </w:rPr>
        <w:t xml:space="preserve"> (</w:t>
      </w:r>
      <w:r>
        <w:rPr>
          <w:b/>
          <w:bCs/>
        </w:rPr>
        <w:t>Trinomics</w:t>
      </w:r>
      <w:r w:rsidRPr="00B92B10">
        <w:rPr>
          <w:b/>
          <w:bCs/>
        </w:rPr>
        <w:t>)</w:t>
      </w:r>
      <w:r w:rsidRPr="00B92B10">
        <w:t xml:space="preserve"> </w:t>
      </w:r>
      <w:r>
        <w:t xml:space="preserve">will start setting the scene around the challenge by putting this within the Czech context (based on the diagnostic analysis carried out in 2022). </w:t>
      </w:r>
      <w:r w:rsidRPr="0C695760">
        <w:rPr>
          <w:b/>
        </w:rPr>
        <w:t>Czechia</w:t>
      </w:r>
      <w:r>
        <w:t xml:space="preserve"> will follow with a presentation that will provide  further detail onto </w:t>
      </w:r>
      <w:r w:rsidRPr="00F5170E">
        <w:t>their experience, challenges and learnings</w:t>
      </w:r>
      <w:r>
        <w:t xml:space="preserve"> dealing with DNSH assessment of programmes focused on R&amp;D, innovation </w:t>
      </w:r>
      <w:r>
        <w:lastRenderedPageBreak/>
        <w:t xml:space="preserve">and competitiveness </w:t>
      </w:r>
      <w:r w:rsidRPr="00027768">
        <w:t xml:space="preserve">. </w:t>
      </w:r>
      <w:r w:rsidRPr="00077AA7" w:rsidDel="009E2756">
        <w:rPr>
          <w:b/>
        </w:rPr>
        <w:t>Finl</w:t>
      </w:r>
      <w:r w:rsidRPr="00077AA7">
        <w:rPr>
          <w:b/>
        </w:rPr>
        <w:t>and</w:t>
      </w:r>
      <w:r w:rsidRPr="00077AA7">
        <w:t xml:space="preserve"> will then present the </w:t>
      </w:r>
      <w:r w:rsidRPr="00077AA7">
        <w:rPr>
          <w:b/>
        </w:rPr>
        <w:t>approach of the Finnish Climate Fund</w:t>
      </w:r>
      <w:r w:rsidRPr="00077AA7">
        <w:t xml:space="preserve"> has taken for conducting (ex-ante) DNSH assessments of </w:t>
      </w:r>
      <w:r>
        <w:t xml:space="preserve">(innovative) </w:t>
      </w:r>
      <w:r w:rsidRPr="00077AA7">
        <w:t>green technology investment projects</w:t>
      </w:r>
      <w:r w:rsidRPr="00027768">
        <w:t xml:space="preserve">. </w:t>
      </w:r>
      <w:r w:rsidRPr="00027768">
        <w:rPr>
          <w:b/>
        </w:rPr>
        <w:t xml:space="preserve">Austria </w:t>
      </w:r>
      <w:r w:rsidRPr="00027768">
        <w:rPr>
          <w:bCs/>
        </w:rPr>
        <w:t xml:space="preserve">will conclude with a presentation </w:t>
      </w:r>
      <w:r>
        <w:rPr>
          <w:bCs/>
        </w:rPr>
        <w:t>on the</w:t>
      </w:r>
      <w:r w:rsidRPr="0035571F">
        <w:rPr>
          <w:b/>
        </w:rPr>
        <w:t xml:space="preserve"> </w:t>
      </w:r>
      <w:r>
        <w:rPr>
          <w:b/>
        </w:rPr>
        <w:t xml:space="preserve">granular approach and methodology for </w:t>
      </w:r>
      <w:r w:rsidRPr="00BA56C0">
        <w:rPr>
          <w:b/>
        </w:rPr>
        <w:t>green budgeting</w:t>
      </w:r>
      <w:r>
        <w:rPr>
          <w:b/>
        </w:rPr>
        <w:t xml:space="preserve"> of Austria’s national budget</w:t>
      </w:r>
      <w:r w:rsidRPr="00027768">
        <w:rPr>
          <w:bCs/>
        </w:rPr>
        <w:t>, arguing for the methodology's relevance in meeting DNSH requirements.</w:t>
      </w:r>
    </w:p>
    <w:p w14:paraId="3FCC26DD" w14:textId="77777777" w:rsidR="004443A0" w:rsidRPr="00A4662C" w:rsidRDefault="004443A0" w:rsidP="004443A0">
      <w:pPr>
        <w:ind w:left="0"/>
        <w:jc w:val="both"/>
        <w:rPr>
          <w:b/>
          <w:bCs/>
          <w:color w:val="005962" w:themeColor="accent1"/>
        </w:rPr>
      </w:pPr>
      <w:r w:rsidRPr="00A4662C">
        <w:rPr>
          <w:b/>
          <w:bCs/>
          <w:color w:val="005962" w:themeColor="accent1"/>
        </w:rPr>
        <w:t xml:space="preserve">Part II: Panel discussion – </w:t>
      </w:r>
      <w:r w:rsidRPr="003B0C89">
        <w:rPr>
          <w:b/>
          <w:bCs/>
          <w:color w:val="005962" w:themeColor="accent1"/>
        </w:rPr>
        <w:t>Application of the DNSH principle to innovative green technologies</w:t>
      </w:r>
    </w:p>
    <w:p w14:paraId="15FBB7BE" w14:textId="77777777" w:rsidR="004443A0" w:rsidRDefault="004443A0" w:rsidP="004443A0">
      <w:pPr>
        <w:ind w:left="0"/>
        <w:jc w:val="both"/>
      </w:pPr>
      <w:r>
        <w:t>P</w:t>
      </w:r>
      <w:r w:rsidRPr="00851F5C">
        <w:t xml:space="preserve">resentations from Member States will set the stage for the </w:t>
      </w:r>
      <w:r w:rsidRPr="00EE0A59">
        <w:rPr>
          <w:b/>
        </w:rPr>
        <w:t>panel discussion</w:t>
      </w:r>
      <w:r w:rsidRPr="00851F5C">
        <w:t>, which will be guided by open questions developed based on the technical consultations with stakeholders in Czechia and other EU Member States</w:t>
      </w:r>
      <w:r>
        <w:t xml:space="preserve">. The panel discussion will also allow participants to ask questions in relation to the practices and examples presented in Part I of the webinar. </w:t>
      </w:r>
      <w:r w:rsidRPr="00851F5C">
        <w:t xml:space="preserve">The </w:t>
      </w:r>
      <w:r>
        <w:t xml:space="preserve">panel discussion questions have been developed so that Member States can </w:t>
      </w:r>
      <w:r w:rsidRPr="0013232C">
        <w:t xml:space="preserve">gain </w:t>
      </w:r>
      <w:r w:rsidRPr="00EE0A59">
        <w:rPr>
          <w:b/>
        </w:rPr>
        <w:t>new insights, ideas, and perspectives</w:t>
      </w:r>
      <w:r w:rsidRPr="00C45B84">
        <w:t xml:space="preserve"> on measures to be adopted and actors to be involved to overcome each of barriers</w:t>
      </w:r>
      <w:r>
        <w:t xml:space="preserve"> related to DNSH governance. </w:t>
      </w:r>
    </w:p>
    <w:p w14:paraId="0C6145A8" w14:textId="77777777" w:rsidR="004443A0" w:rsidRDefault="004443A0" w:rsidP="004443A0"/>
    <w:p w14:paraId="74C4A420" w14:textId="3BFA4CCE" w:rsidR="004443A0" w:rsidRPr="00840648" w:rsidRDefault="004443A0" w:rsidP="004443A0">
      <w:pPr>
        <w:pStyle w:val="Nadpis4"/>
        <w:ind w:firstLine="0"/>
      </w:pPr>
      <w:r>
        <w:t>Programme</w:t>
      </w:r>
    </w:p>
    <w:tbl>
      <w:tblPr>
        <w:tblStyle w:val="Mkatabulky"/>
        <w:tblW w:w="0" w:type="auto"/>
        <w:tblLook w:val="04A0" w:firstRow="1" w:lastRow="0" w:firstColumn="1" w:lastColumn="0" w:noHBand="0" w:noVBand="1"/>
      </w:tblPr>
      <w:tblGrid>
        <w:gridCol w:w="1271"/>
        <w:gridCol w:w="4820"/>
        <w:gridCol w:w="2687"/>
      </w:tblGrid>
      <w:tr w:rsidR="004443A0" w:rsidRPr="00FE6237" w14:paraId="4A04F35E" w14:textId="77777777">
        <w:trPr>
          <w:trHeight w:val="20"/>
        </w:trPr>
        <w:tc>
          <w:tcPr>
            <w:tcW w:w="0" w:type="auto"/>
            <w:gridSpan w:val="3"/>
            <w:shd w:val="clear" w:color="auto" w:fill="005962" w:themeFill="accent1"/>
          </w:tcPr>
          <w:p w14:paraId="36D950FE" w14:textId="77777777" w:rsidR="004443A0" w:rsidRPr="008E434A" w:rsidRDefault="004443A0" w:rsidP="004443A0">
            <w:pPr>
              <w:spacing w:line="260" w:lineRule="atLeast"/>
              <w:ind w:left="0"/>
              <w:rPr>
                <w:b/>
                <w:bCs/>
                <w:color w:val="FFFFFF" w:themeColor="background1"/>
                <w:szCs w:val="18"/>
              </w:rPr>
            </w:pPr>
            <w:r w:rsidRPr="008E434A">
              <w:rPr>
                <w:b/>
                <w:bCs/>
                <w:color w:val="FFFFFF" w:themeColor="background1"/>
                <w:szCs w:val="18"/>
              </w:rPr>
              <w:t>Part I: Introduction and setting the scene</w:t>
            </w:r>
          </w:p>
        </w:tc>
      </w:tr>
      <w:tr w:rsidR="004443A0" w:rsidRPr="00FE6237" w14:paraId="08461C7D" w14:textId="77777777">
        <w:trPr>
          <w:trHeight w:val="277"/>
        </w:trPr>
        <w:tc>
          <w:tcPr>
            <w:tcW w:w="8778" w:type="dxa"/>
            <w:gridSpan w:val="3"/>
            <w:tcMar>
              <w:right w:w="57" w:type="dxa"/>
            </w:tcMar>
          </w:tcPr>
          <w:p w14:paraId="3AF947D9" w14:textId="77777777" w:rsidR="004443A0" w:rsidRPr="004B3E58" w:rsidRDefault="004443A0" w:rsidP="004443A0">
            <w:pPr>
              <w:spacing w:line="260" w:lineRule="atLeast"/>
              <w:ind w:left="0"/>
              <w:rPr>
                <w:color w:val="000000" w:themeColor="text1"/>
                <w:szCs w:val="18"/>
              </w:rPr>
            </w:pPr>
            <w:r w:rsidRPr="00FC57F4">
              <w:rPr>
                <w:b/>
                <w:bCs/>
                <w:color w:val="000000" w:themeColor="text1"/>
                <w:szCs w:val="18"/>
              </w:rPr>
              <w:t>Moderator:</w:t>
            </w:r>
            <w:r>
              <w:rPr>
                <w:color w:val="000000" w:themeColor="text1"/>
                <w:szCs w:val="18"/>
              </w:rPr>
              <w:t xml:space="preserve"> Peter Janoska (Trinomics)</w:t>
            </w:r>
          </w:p>
        </w:tc>
      </w:tr>
      <w:tr w:rsidR="004443A0" w:rsidRPr="00FE6237" w14:paraId="394C772D" w14:textId="77777777">
        <w:trPr>
          <w:trHeight w:val="409"/>
        </w:trPr>
        <w:tc>
          <w:tcPr>
            <w:tcW w:w="1271" w:type="dxa"/>
            <w:tcMar>
              <w:right w:w="57" w:type="dxa"/>
            </w:tcMar>
          </w:tcPr>
          <w:p w14:paraId="04BF93EC" w14:textId="77777777" w:rsidR="004443A0" w:rsidRPr="00FE6237" w:rsidRDefault="004443A0" w:rsidP="004443A0">
            <w:pPr>
              <w:spacing w:line="260" w:lineRule="atLeast"/>
              <w:ind w:left="0"/>
              <w:rPr>
                <w:szCs w:val="18"/>
              </w:rPr>
            </w:pPr>
            <w:r>
              <w:rPr>
                <w:szCs w:val="18"/>
              </w:rPr>
              <w:t>10.00 – 10.05</w:t>
            </w:r>
          </w:p>
        </w:tc>
        <w:tc>
          <w:tcPr>
            <w:tcW w:w="4820" w:type="dxa"/>
          </w:tcPr>
          <w:p w14:paraId="449A742A" w14:textId="77777777" w:rsidR="004443A0" w:rsidRPr="0025614E" w:rsidRDefault="004443A0" w:rsidP="004443A0">
            <w:pPr>
              <w:spacing w:line="260" w:lineRule="atLeast"/>
              <w:ind w:left="0"/>
              <w:rPr>
                <w:szCs w:val="18"/>
                <w:lang w:val="en-IE"/>
              </w:rPr>
            </w:pPr>
            <w:r>
              <w:rPr>
                <w:szCs w:val="18"/>
                <w:lang w:val="en-IE"/>
              </w:rPr>
              <w:t>Housekeeping rules and presentation of the agenda</w:t>
            </w:r>
          </w:p>
        </w:tc>
        <w:tc>
          <w:tcPr>
            <w:tcW w:w="2687" w:type="dxa"/>
          </w:tcPr>
          <w:p w14:paraId="74674845" w14:textId="77777777" w:rsidR="004443A0" w:rsidRPr="00477ED3" w:rsidRDefault="004443A0" w:rsidP="004443A0">
            <w:pPr>
              <w:spacing w:line="260" w:lineRule="atLeast"/>
              <w:ind w:left="0"/>
              <w:rPr>
                <w:color w:val="000000" w:themeColor="text1"/>
                <w:szCs w:val="18"/>
              </w:rPr>
            </w:pPr>
            <w:r>
              <w:rPr>
                <w:color w:val="000000" w:themeColor="text1"/>
                <w:szCs w:val="18"/>
              </w:rPr>
              <w:t>Peter Janoska (Trinomics)</w:t>
            </w:r>
          </w:p>
        </w:tc>
      </w:tr>
      <w:tr w:rsidR="004443A0" w:rsidRPr="00FE6237" w14:paraId="698E6D61" w14:textId="77777777">
        <w:trPr>
          <w:trHeight w:val="573"/>
        </w:trPr>
        <w:tc>
          <w:tcPr>
            <w:tcW w:w="1271" w:type="dxa"/>
            <w:tcMar>
              <w:right w:w="57" w:type="dxa"/>
            </w:tcMar>
          </w:tcPr>
          <w:p w14:paraId="4584D9C8" w14:textId="77777777" w:rsidR="004443A0" w:rsidRPr="00FE6237" w:rsidRDefault="004443A0" w:rsidP="004443A0">
            <w:pPr>
              <w:spacing w:line="260" w:lineRule="atLeast"/>
              <w:ind w:left="0"/>
              <w:rPr>
                <w:szCs w:val="18"/>
              </w:rPr>
            </w:pPr>
            <w:r w:rsidRPr="00FE6237">
              <w:rPr>
                <w:szCs w:val="18"/>
              </w:rPr>
              <w:t>10.0</w:t>
            </w:r>
            <w:r>
              <w:rPr>
                <w:szCs w:val="18"/>
              </w:rPr>
              <w:t>5 – 10.10</w:t>
            </w:r>
          </w:p>
        </w:tc>
        <w:tc>
          <w:tcPr>
            <w:tcW w:w="4820" w:type="dxa"/>
          </w:tcPr>
          <w:p w14:paraId="14A39EBB" w14:textId="77777777" w:rsidR="004443A0" w:rsidRPr="00514B02" w:rsidRDefault="004443A0" w:rsidP="004443A0">
            <w:pPr>
              <w:spacing w:line="260" w:lineRule="atLeast"/>
              <w:ind w:left="0"/>
              <w:rPr>
                <w:szCs w:val="18"/>
              </w:rPr>
            </w:pPr>
            <w:r w:rsidRPr="003A3C4E">
              <w:rPr>
                <w:b/>
                <w:bCs/>
                <w:szCs w:val="18"/>
                <w:lang w:val="en-IE"/>
              </w:rPr>
              <w:t>Welcome</w:t>
            </w:r>
            <w:r w:rsidRPr="00514B02">
              <w:rPr>
                <w:szCs w:val="18"/>
                <w:lang w:val="en-IE"/>
              </w:rPr>
              <w:t xml:space="preserve">: introduction </w:t>
            </w:r>
            <w:r>
              <w:rPr>
                <w:szCs w:val="18"/>
                <w:lang w:val="en-IE"/>
              </w:rPr>
              <w:t>of</w:t>
            </w:r>
            <w:r w:rsidRPr="00E275E9">
              <w:rPr>
                <w:szCs w:val="18"/>
              </w:rPr>
              <w:t xml:space="preserve"> EU peer-learning exchange </w:t>
            </w:r>
            <w:r w:rsidRPr="00514B02">
              <w:rPr>
                <w:szCs w:val="18"/>
                <w:lang w:val="en-IE"/>
              </w:rPr>
              <w:t xml:space="preserve">and expected outcomes of the </w:t>
            </w:r>
            <w:r>
              <w:rPr>
                <w:szCs w:val="18"/>
                <w:lang w:val="en-IE"/>
              </w:rPr>
              <w:t>webinar</w:t>
            </w:r>
          </w:p>
        </w:tc>
        <w:tc>
          <w:tcPr>
            <w:tcW w:w="2687" w:type="dxa"/>
          </w:tcPr>
          <w:p w14:paraId="640D33F0" w14:textId="77777777" w:rsidR="004443A0" w:rsidRPr="00477ED3" w:rsidRDefault="004443A0" w:rsidP="004443A0">
            <w:pPr>
              <w:spacing w:line="260" w:lineRule="atLeast"/>
              <w:ind w:left="0"/>
              <w:rPr>
                <w:color w:val="000000" w:themeColor="text1"/>
                <w:szCs w:val="18"/>
              </w:rPr>
            </w:pPr>
            <w:r w:rsidRPr="00477ED3">
              <w:rPr>
                <w:color w:val="000000" w:themeColor="text1"/>
                <w:szCs w:val="18"/>
              </w:rPr>
              <w:t>Riikka Torppa (European Commission, DG REFORM)</w:t>
            </w:r>
          </w:p>
        </w:tc>
      </w:tr>
      <w:tr w:rsidR="004443A0" w:rsidRPr="00820A53" w14:paraId="2064C194" w14:textId="77777777">
        <w:trPr>
          <w:trHeight w:val="20"/>
        </w:trPr>
        <w:tc>
          <w:tcPr>
            <w:tcW w:w="1271" w:type="dxa"/>
            <w:tcMar>
              <w:right w:w="57" w:type="dxa"/>
            </w:tcMar>
          </w:tcPr>
          <w:p w14:paraId="1807115C" w14:textId="77777777" w:rsidR="004443A0" w:rsidRPr="00FE6237" w:rsidRDefault="004443A0" w:rsidP="004443A0">
            <w:pPr>
              <w:spacing w:line="260" w:lineRule="atLeast"/>
              <w:ind w:left="0"/>
              <w:rPr>
                <w:szCs w:val="18"/>
              </w:rPr>
            </w:pPr>
            <w:r w:rsidRPr="00FE6237">
              <w:rPr>
                <w:szCs w:val="18"/>
              </w:rPr>
              <w:t>10.</w:t>
            </w:r>
            <w:r>
              <w:rPr>
                <w:szCs w:val="18"/>
              </w:rPr>
              <w:t>10</w:t>
            </w:r>
            <w:r w:rsidRPr="00FE6237">
              <w:rPr>
                <w:szCs w:val="18"/>
              </w:rPr>
              <w:t xml:space="preserve"> – 1</w:t>
            </w:r>
            <w:r>
              <w:rPr>
                <w:szCs w:val="18"/>
              </w:rPr>
              <w:t>0.15</w:t>
            </w:r>
          </w:p>
        </w:tc>
        <w:tc>
          <w:tcPr>
            <w:tcW w:w="4820" w:type="dxa"/>
          </w:tcPr>
          <w:p w14:paraId="6231B835" w14:textId="77777777" w:rsidR="004443A0" w:rsidRPr="00FE6237" w:rsidRDefault="004443A0" w:rsidP="004443A0">
            <w:pPr>
              <w:spacing w:line="260" w:lineRule="atLeast"/>
              <w:ind w:left="0"/>
              <w:rPr>
                <w:szCs w:val="18"/>
              </w:rPr>
            </w:pPr>
            <w:r w:rsidRPr="003A3C4E">
              <w:rPr>
                <w:b/>
                <w:bCs/>
                <w:szCs w:val="18"/>
              </w:rPr>
              <w:t>Setting the scene</w:t>
            </w:r>
            <w:r>
              <w:rPr>
                <w:szCs w:val="18"/>
              </w:rPr>
              <w:t>: introducing the challenges related to the a</w:t>
            </w:r>
            <w:r w:rsidRPr="007E4CE7">
              <w:rPr>
                <w:szCs w:val="18"/>
              </w:rPr>
              <w:t>pplication of the DNSH principle to innovative green technologies</w:t>
            </w:r>
          </w:p>
        </w:tc>
        <w:tc>
          <w:tcPr>
            <w:tcW w:w="2687" w:type="dxa"/>
          </w:tcPr>
          <w:p w14:paraId="2874B587" w14:textId="77777777" w:rsidR="004443A0" w:rsidRPr="00A06CCF" w:rsidRDefault="004443A0" w:rsidP="004443A0">
            <w:pPr>
              <w:spacing w:line="260" w:lineRule="atLeast"/>
              <w:ind w:left="0"/>
              <w:rPr>
                <w:color w:val="000000" w:themeColor="text1"/>
                <w:szCs w:val="18"/>
                <w:lang w:val="nl-NL"/>
              </w:rPr>
            </w:pPr>
            <w:r w:rsidRPr="00A06CCF">
              <w:rPr>
                <w:color w:val="000000" w:themeColor="text1"/>
                <w:szCs w:val="18"/>
                <w:lang w:val="nl-NL"/>
              </w:rPr>
              <w:t>Jeroen van der Laan (Trinomics)</w:t>
            </w:r>
          </w:p>
        </w:tc>
      </w:tr>
      <w:tr w:rsidR="004443A0" w:rsidRPr="00FE6237" w14:paraId="7DB0DD47" w14:textId="77777777">
        <w:trPr>
          <w:trHeight w:val="20"/>
        </w:trPr>
        <w:tc>
          <w:tcPr>
            <w:tcW w:w="1271" w:type="dxa"/>
            <w:tcMar>
              <w:right w:w="57" w:type="dxa"/>
            </w:tcMar>
          </w:tcPr>
          <w:p w14:paraId="546313D2" w14:textId="77777777" w:rsidR="004443A0" w:rsidRPr="00FE6237" w:rsidRDefault="004443A0" w:rsidP="004443A0">
            <w:pPr>
              <w:spacing w:line="260" w:lineRule="atLeast"/>
              <w:ind w:left="0"/>
              <w:rPr>
                <w:szCs w:val="18"/>
              </w:rPr>
            </w:pPr>
            <w:r w:rsidRPr="00FE6237">
              <w:rPr>
                <w:szCs w:val="18"/>
              </w:rPr>
              <w:t>10.</w:t>
            </w:r>
            <w:r>
              <w:rPr>
                <w:szCs w:val="18"/>
              </w:rPr>
              <w:t>15</w:t>
            </w:r>
            <w:r w:rsidRPr="00FE6237">
              <w:rPr>
                <w:szCs w:val="18"/>
              </w:rPr>
              <w:t xml:space="preserve"> - 1</w:t>
            </w:r>
            <w:r>
              <w:rPr>
                <w:szCs w:val="18"/>
              </w:rPr>
              <w:t>0</w:t>
            </w:r>
            <w:r w:rsidRPr="00FE6237">
              <w:rPr>
                <w:szCs w:val="18"/>
              </w:rPr>
              <w:t>.</w:t>
            </w:r>
            <w:r>
              <w:rPr>
                <w:szCs w:val="18"/>
              </w:rPr>
              <w:t>30</w:t>
            </w:r>
          </w:p>
        </w:tc>
        <w:tc>
          <w:tcPr>
            <w:tcW w:w="4820" w:type="dxa"/>
          </w:tcPr>
          <w:p w14:paraId="77FC3CF2" w14:textId="77777777" w:rsidR="004443A0" w:rsidRPr="00FC57F4" w:rsidRDefault="004443A0" w:rsidP="004443A0">
            <w:pPr>
              <w:spacing w:line="260" w:lineRule="atLeast"/>
              <w:ind w:left="0"/>
              <w:rPr>
                <w:color w:val="000000" w:themeColor="text1"/>
                <w:szCs w:val="18"/>
              </w:rPr>
            </w:pPr>
            <w:r w:rsidRPr="00FC57F4">
              <w:rPr>
                <w:b/>
                <w:bCs/>
                <w:color w:val="000000" w:themeColor="text1"/>
                <w:szCs w:val="18"/>
              </w:rPr>
              <w:t>Context in Czechia</w:t>
            </w:r>
            <w:r w:rsidRPr="00FC57F4">
              <w:rPr>
                <w:color w:val="000000" w:themeColor="text1"/>
                <w:szCs w:val="18"/>
              </w:rPr>
              <w:t xml:space="preserve">: introducing their experience, challenges and learnings </w:t>
            </w:r>
          </w:p>
        </w:tc>
        <w:tc>
          <w:tcPr>
            <w:tcW w:w="2687" w:type="dxa"/>
          </w:tcPr>
          <w:p w14:paraId="22BB1211" w14:textId="77777777" w:rsidR="004443A0" w:rsidRPr="00FC57F4" w:rsidRDefault="004443A0" w:rsidP="004443A0">
            <w:pPr>
              <w:spacing w:line="260" w:lineRule="atLeast"/>
              <w:ind w:left="0"/>
              <w:rPr>
                <w:color w:val="000000" w:themeColor="text1"/>
                <w:szCs w:val="18"/>
              </w:rPr>
            </w:pPr>
            <w:r w:rsidRPr="00FC57F4">
              <w:rPr>
                <w:color w:val="000000" w:themeColor="text1"/>
                <w:szCs w:val="18"/>
              </w:rPr>
              <w:t xml:space="preserve">Ivana </w:t>
            </w:r>
            <w:r w:rsidRPr="00FC57F4">
              <w:rPr>
                <w:color w:val="000000" w:themeColor="text1"/>
                <w:lang w:eastAsia="en-GB"/>
              </w:rPr>
              <w:t>Ptáčková</w:t>
            </w:r>
            <w:r w:rsidRPr="00FC57F4">
              <w:rPr>
                <w:color w:val="000000" w:themeColor="text1"/>
                <w:szCs w:val="18"/>
              </w:rPr>
              <w:t xml:space="preserve">, Ministry of Industry and Trade (Czechia) </w:t>
            </w:r>
          </w:p>
        </w:tc>
      </w:tr>
      <w:tr w:rsidR="004443A0" w:rsidRPr="00FE6237" w14:paraId="57C78BB7" w14:textId="77777777">
        <w:trPr>
          <w:trHeight w:val="20"/>
        </w:trPr>
        <w:tc>
          <w:tcPr>
            <w:tcW w:w="1271" w:type="dxa"/>
            <w:tcMar>
              <w:right w:w="57" w:type="dxa"/>
            </w:tcMar>
          </w:tcPr>
          <w:p w14:paraId="0525FB76" w14:textId="77777777" w:rsidR="004443A0" w:rsidRPr="000C0349" w:rsidRDefault="004443A0" w:rsidP="004443A0">
            <w:pPr>
              <w:spacing w:line="260" w:lineRule="atLeast"/>
              <w:ind w:left="0"/>
              <w:rPr>
                <w:szCs w:val="18"/>
              </w:rPr>
            </w:pPr>
            <w:r w:rsidRPr="000C0349">
              <w:rPr>
                <w:szCs w:val="18"/>
              </w:rPr>
              <w:t>10.30 – 10.4</w:t>
            </w:r>
            <w:r w:rsidRPr="000C0349" w:rsidDel="004B3E58">
              <w:rPr>
                <w:szCs w:val="18"/>
              </w:rPr>
              <w:t>5</w:t>
            </w:r>
          </w:p>
        </w:tc>
        <w:tc>
          <w:tcPr>
            <w:tcW w:w="4820" w:type="dxa"/>
          </w:tcPr>
          <w:p w14:paraId="1D2C8B5A" w14:textId="77777777" w:rsidR="004443A0" w:rsidRPr="000C0349" w:rsidRDefault="004443A0" w:rsidP="004443A0">
            <w:pPr>
              <w:spacing w:line="260" w:lineRule="atLeast"/>
              <w:ind w:left="0"/>
            </w:pPr>
            <w:r w:rsidRPr="000C0349">
              <w:rPr>
                <w:b/>
                <w:bCs/>
              </w:rPr>
              <w:t>Focus case 1</w:t>
            </w:r>
            <w:r w:rsidRPr="000C0349">
              <w:t>: DNSH assessment approach for green innovation technologies</w:t>
            </w:r>
          </w:p>
        </w:tc>
        <w:tc>
          <w:tcPr>
            <w:tcW w:w="2687" w:type="dxa"/>
          </w:tcPr>
          <w:p w14:paraId="50EAB8FC" w14:textId="77777777" w:rsidR="004443A0" w:rsidRPr="003237C9" w:rsidRDefault="004443A0" w:rsidP="004443A0">
            <w:pPr>
              <w:spacing w:line="260" w:lineRule="atLeast"/>
              <w:ind w:left="0"/>
              <w:rPr>
                <w:szCs w:val="18"/>
                <w:highlight w:val="yellow"/>
              </w:rPr>
            </w:pPr>
            <w:r w:rsidRPr="000C0349">
              <w:rPr>
                <w:szCs w:val="18"/>
              </w:rPr>
              <w:t>Juha Ollikainen, Finnish Climate Fund (Finland)</w:t>
            </w:r>
          </w:p>
        </w:tc>
      </w:tr>
      <w:tr w:rsidR="004443A0" w:rsidRPr="00FE6237" w14:paraId="6780AD7B" w14:textId="77777777">
        <w:trPr>
          <w:trHeight w:val="20"/>
        </w:trPr>
        <w:tc>
          <w:tcPr>
            <w:tcW w:w="1271" w:type="dxa"/>
            <w:tcMar>
              <w:right w:w="57" w:type="dxa"/>
            </w:tcMar>
          </w:tcPr>
          <w:p w14:paraId="1D47C21A" w14:textId="77777777" w:rsidR="004443A0" w:rsidRPr="00FE6237" w:rsidRDefault="004443A0" w:rsidP="004443A0">
            <w:pPr>
              <w:spacing w:line="260" w:lineRule="atLeast"/>
              <w:ind w:left="0"/>
              <w:rPr>
                <w:szCs w:val="18"/>
              </w:rPr>
            </w:pPr>
            <w:r w:rsidRPr="00FE6237">
              <w:rPr>
                <w:szCs w:val="18"/>
              </w:rPr>
              <w:t>1</w:t>
            </w:r>
            <w:r>
              <w:rPr>
                <w:szCs w:val="18"/>
              </w:rPr>
              <w:t>0</w:t>
            </w:r>
            <w:r w:rsidRPr="00FE6237">
              <w:rPr>
                <w:szCs w:val="18"/>
              </w:rPr>
              <w:t>.</w:t>
            </w:r>
            <w:r>
              <w:rPr>
                <w:szCs w:val="18"/>
              </w:rPr>
              <w:t>4</w:t>
            </w:r>
            <w:r w:rsidDel="004B3E58">
              <w:rPr>
                <w:szCs w:val="18"/>
              </w:rPr>
              <w:t>5</w:t>
            </w:r>
            <w:r w:rsidRPr="00FE6237">
              <w:rPr>
                <w:szCs w:val="18"/>
              </w:rPr>
              <w:t xml:space="preserve"> - 1</w:t>
            </w:r>
            <w:r>
              <w:rPr>
                <w:szCs w:val="18"/>
              </w:rPr>
              <w:t>1</w:t>
            </w:r>
            <w:r w:rsidRPr="00FE6237">
              <w:rPr>
                <w:szCs w:val="18"/>
              </w:rPr>
              <w:t>.</w:t>
            </w:r>
            <w:r>
              <w:rPr>
                <w:szCs w:val="18"/>
              </w:rPr>
              <w:t>00</w:t>
            </w:r>
          </w:p>
        </w:tc>
        <w:tc>
          <w:tcPr>
            <w:tcW w:w="4820" w:type="dxa"/>
          </w:tcPr>
          <w:p w14:paraId="64EE1205" w14:textId="77777777" w:rsidR="004443A0" w:rsidRPr="00FE6237" w:rsidRDefault="004443A0" w:rsidP="004443A0">
            <w:pPr>
              <w:spacing w:line="260" w:lineRule="atLeast"/>
              <w:ind w:left="0"/>
            </w:pPr>
            <w:r w:rsidRPr="00CB0690">
              <w:rPr>
                <w:b/>
                <w:bCs/>
              </w:rPr>
              <w:t>Focus case 2</w:t>
            </w:r>
            <w:r w:rsidRPr="004177AD">
              <w:t xml:space="preserve">: </w:t>
            </w:r>
            <w:r>
              <w:t>Approach and methodology for g</w:t>
            </w:r>
            <w:r w:rsidRPr="003B737E">
              <w:t>reen</w:t>
            </w:r>
            <w:r>
              <w:t xml:space="preserve">ing the national budget </w:t>
            </w:r>
            <w:r w:rsidRPr="003B737E">
              <w:t>in Austria</w:t>
            </w:r>
          </w:p>
        </w:tc>
        <w:tc>
          <w:tcPr>
            <w:tcW w:w="2687" w:type="dxa"/>
          </w:tcPr>
          <w:p w14:paraId="1C363AF6" w14:textId="77777777" w:rsidR="004443A0" w:rsidRPr="00FE6237" w:rsidRDefault="004443A0" w:rsidP="004443A0">
            <w:pPr>
              <w:spacing w:line="260" w:lineRule="atLeast"/>
              <w:ind w:left="0"/>
              <w:rPr>
                <w:szCs w:val="18"/>
              </w:rPr>
            </w:pPr>
            <w:r w:rsidRPr="00041B6F">
              <w:rPr>
                <w:color w:val="000000" w:themeColor="text1"/>
                <w:szCs w:val="18"/>
              </w:rPr>
              <w:t>Kerstin Haider, Ministry of Finance (Austria)</w:t>
            </w:r>
          </w:p>
        </w:tc>
      </w:tr>
      <w:tr w:rsidR="004443A0" w:rsidRPr="00CB0690" w14:paraId="0745A69E" w14:textId="77777777">
        <w:trPr>
          <w:trHeight w:val="20"/>
        </w:trPr>
        <w:tc>
          <w:tcPr>
            <w:tcW w:w="1271" w:type="dxa"/>
            <w:tcMar>
              <w:right w:w="57" w:type="dxa"/>
            </w:tcMar>
          </w:tcPr>
          <w:p w14:paraId="4E8C37C7" w14:textId="77777777" w:rsidR="004443A0" w:rsidRPr="00CB0690" w:rsidRDefault="004443A0" w:rsidP="004443A0">
            <w:pPr>
              <w:spacing w:line="260" w:lineRule="atLeast"/>
              <w:ind w:left="0"/>
              <w:rPr>
                <w:i/>
                <w:iCs/>
                <w:szCs w:val="18"/>
              </w:rPr>
            </w:pPr>
            <w:r w:rsidRPr="00CB0690">
              <w:rPr>
                <w:i/>
                <w:iCs/>
                <w:szCs w:val="18"/>
              </w:rPr>
              <w:t>11.</w:t>
            </w:r>
            <w:r>
              <w:rPr>
                <w:i/>
                <w:iCs/>
                <w:szCs w:val="18"/>
              </w:rPr>
              <w:t>00</w:t>
            </w:r>
            <w:r w:rsidRPr="00CB0690">
              <w:rPr>
                <w:i/>
                <w:iCs/>
                <w:szCs w:val="18"/>
              </w:rPr>
              <w:t xml:space="preserve"> – 11.</w:t>
            </w:r>
            <w:r>
              <w:rPr>
                <w:i/>
                <w:iCs/>
                <w:szCs w:val="18"/>
              </w:rPr>
              <w:t>15</w:t>
            </w:r>
          </w:p>
        </w:tc>
        <w:tc>
          <w:tcPr>
            <w:tcW w:w="7507" w:type="dxa"/>
            <w:gridSpan w:val="2"/>
          </w:tcPr>
          <w:p w14:paraId="74449CF0" w14:textId="77777777" w:rsidR="004443A0" w:rsidRPr="00CB0690" w:rsidRDefault="004443A0" w:rsidP="004443A0">
            <w:pPr>
              <w:spacing w:line="260" w:lineRule="atLeast"/>
              <w:ind w:left="0"/>
              <w:rPr>
                <w:i/>
                <w:iCs/>
                <w:szCs w:val="18"/>
              </w:rPr>
            </w:pPr>
            <w:r w:rsidRPr="00CB0690">
              <w:rPr>
                <w:i/>
                <w:iCs/>
                <w:szCs w:val="18"/>
              </w:rPr>
              <w:t>Coffee break</w:t>
            </w:r>
          </w:p>
        </w:tc>
      </w:tr>
      <w:tr w:rsidR="004443A0" w:rsidRPr="00FE6237" w14:paraId="5698336E" w14:textId="77777777">
        <w:trPr>
          <w:trHeight w:val="20"/>
        </w:trPr>
        <w:tc>
          <w:tcPr>
            <w:tcW w:w="0" w:type="auto"/>
            <w:gridSpan w:val="3"/>
            <w:shd w:val="clear" w:color="auto" w:fill="005962" w:themeFill="accent1"/>
            <w:tcMar>
              <w:right w:w="57" w:type="dxa"/>
            </w:tcMar>
          </w:tcPr>
          <w:p w14:paraId="16159F97" w14:textId="77777777" w:rsidR="004443A0" w:rsidRPr="008E434A" w:rsidRDefault="004443A0" w:rsidP="004443A0">
            <w:pPr>
              <w:spacing w:line="260" w:lineRule="atLeast"/>
              <w:ind w:left="0"/>
              <w:rPr>
                <w:b/>
                <w:bCs/>
                <w:color w:val="FFFFFF" w:themeColor="background1"/>
                <w:szCs w:val="18"/>
              </w:rPr>
            </w:pPr>
            <w:r w:rsidRPr="008E434A">
              <w:rPr>
                <w:b/>
                <w:bCs/>
                <w:color w:val="FFFFFF" w:themeColor="background1"/>
                <w:szCs w:val="18"/>
              </w:rPr>
              <w:t xml:space="preserve">Part II: Panel discussion </w:t>
            </w:r>
            <w:r>
              <w:rPr>
                <w:b/>
                <w:bCs/>
                <w:color w:val="FFFFFF" w:themeColor="background1"/>
                <w:szCs w:val="18"/>
              </w:rPr>
              <w:t>–</w:t>
            </w:r>
            <w:r w:rsidRPr="008E434A">
              <w:rPr>
                <w:b/>
                <w:bCs/>
                <w:color w:val="FFFFFF" w:themeColor="background1"/>
                <w:szCs w:val="18"/>
              </w:rPr>
              <w:t xml:space="preserve"> </w:t>
            </w:r>
            <w:r w:rsidRPr="00D009EA">
              <w:rPr>
                <w:b/>
                <w:bCs/>
                <w:color w:val="FFFFFF" w:themeColor="background1"/>
                <w:szCs w:val="18"/>
              </w:rPr>
              <w:t>Application of</w:t>
            </w:r>
            <w:r>
              <w:rPr>
                <w:b/>
                <w:bCs/>
                <w:color w:val="FFFFFF" w:themeColor="background1"/>
                <w:szCs w:val="18"/>
              </w:rPr>
              <w:t xml:space="preserve"> the DNSH principle</w:t>
            </w:r>
            <w:r w:rsidRPr="00D009EA">
              <w:rPr>
                <w:b/>
                <w:bCs/>
                <w:color w:val="FFFFFF" w:themeColor="background1"/>
                <w:szCs w:val="18"/>
              </w:rPr>
              <w:t xml:space="preserve"> to innovative green technologies</w:t>
            </w:r>
          </w:p>
        </w:tc>
      </w:tr>
      <w:tr w:rsidR="004443A0" w:rsidRPr="00FE6237" w14:paraId="389BB776" w14:textId="77777777">
        <w:trPr>
          <w:trHeight w:val="20"/>
        </w:trPr>
        <w:tc>
          <w:tcPr>
            <w:tcW w:w="1271" w:type="dxa"/>
            <w:tcMar>
              <w:right w:w="57" w:type="dxa"/>
            </w:tcMar>
          </w:tcPr>
          <w:p w14:paraId="27F9D90E" w14:textId="77777777" w:rsidR="004443A0" w:rsidRPr="00FE6237" w:rsidRDefault="004443A0" w:rsidP="004443A0">
            <w:pPr>
              <w:spacing w:line="260" w:lineRule="atLeast"/>
              <w:ind w:left="0"/>
              <w:rPr>
                <w:szCs w:val="18"/>
              </w:rPr>
            </w:pPr>
            <w:r w:rsidRPr="00FE6237">
              <w:rPr>
                <w:szCs w:val="18"/>
              </w:rPr>
              <w:t>1</w:t>
            </w:r>
            <w:r>
              <w:rPr>
                <w:szCs w:val="18"/>
              </w:rPr>
              <w:t>1</w:t>
            </w:r>
            <w:r w:rsidRPr="00FE6237">
              <w:rPr>
                <w:szCs w:val="18"/>
              </w:rPr>
              <w:t>.</w:t>
            </w:r>
            <w:r>
              <w:rPr>
                <w:szCs w:val="18"/>
              </w:rPr>
              <w:t>15</w:t>
            </w:r>
            <w:r w:rsidRPr="00FE6237">
              <w:rPr>
                <w:szCs w:val="18"/>
              </w:rPr>
              <w:t xml:space="preserve"> – 12.</w:t>
            </w:r>
            <w:r>
              <w:rPr>
                <w:szCs w:val="18"/>
              </w:rPr>
              <w:t>20</w:t>
            </w:r>
          </w:p>
        </w:tc>
        <w:tc>
          <w:tcPr>
            <w:tcW w:w="7507" w:type="dxa"/>
            <w:gridSpan w:val="2"/>
          </w:tcPr>
          <w:p w14:paraId="3708BC9D" w14:textId="77777777" w:rsidR="004443A0" w:rsidRPr="000F77F4" w:rsidRDefault="004443A0" w:rsidP="004443A0">
            <w:pPr>
              <w:spacing w:line="260" w:lineRule="atLeast"/>
              <w:ind w:left="0"/>
            </w:pPr>
            <w:r w:rsidRPr="0C695760">
              <w:rPr>
                <w:b/>
              </w:rPr>
              <w:t>Moderator</w:t>
            </w:r>
            <w:r w:rsidRPr="0C695760">
              <w:t xml:space="preserve">: </w:t>
            </w:r>
            <w:r w:rsidRPr="00A06CCF">
              <w:rPr>
                <w:color w:val="000000" w:themeColor="text1"/>
              </w:rPr>
              <w:t>Linda Zeilina (ISFC)</w:t>
            </w:r>
          </w:p>
          <w:p w14:paraId="6538944C" w14:textId="77777777" w:rsidR="004443A0" w:rsidRPr="000F77F4" w:rsidRDefault="004443A0" w:rsidP="004443A0">
            <w:pPr>
              <w:spacing w:line="260" w:lineRule="atLeast"/>
              <w:ind w:left="0"/>
              <w:rPr>
                <w:szCs w:val="18"/>
              </w:rPr>
            </w:pPr>
            <w:r w:rsidRPr="000F77F4">
              <w:rPr>
                <w:b/>
                <w:bCs/>
                <w:szCs w:val="18"/>
              </w:rPr>
              <w:t>Panel Members</w:t>
            </w:r>
            <w:r w:rsidRPr="000F77F4">
              <w:rPr>
                <w:szCs w:val="18"/>
              </w:rPr>
              <w:t xml:space="preserve">: </w:t>
            </w:r>
          </w:p>
          <w:p w14:paraId="469E0977" w14:textId="77777777" w:rsidR="004443A0" w:rsidRPr="00FC57F4" w:rsidRDefault="004443A0" w:rsidP="00BC1B18">
            <w:pPr>
              <w:pStyle w:val="Odstavecseseznamem"/>
              <w:numPr>
                <w:ilvl w:val="0"/>
                <w:numId w:val="14"/>
              </w:numPr>
              <w:tabs>
                <w:tab w:val="clear" w:pos="851"/>
                <w:tab w:val="left" w:pos="181"/>
              </w:tabs>
              <w:spacing w:line="260" w:lineRule="atLeast"/>
              <w:ind w:left="181" w:hanging="181"/>
              <w:rPr>
                <w:color w:val="000000" w:themeColor="text1"/>
                <w:szCs w:val="18"/>
              </w:rPr>
            </w:pPr>
            <w:r w:rsidRPr="00FC57F4">
              <w:rPr>
                <w:color w:val="000000" w:themeColor="text1"/>
                <w:szCs w:val="18"/>
              </w:rPr>
              <w:t xml:space="preserve">Ivana </w:t>
            </w:r>
            <w:r w:rsidRPr="00FC57F4">
              <w:rPr>
                <w:color w:val="000000" w:themeColor="text1"/>
                <w:lang w:val="en-US" w:eastAsia="en-GB"/>
              </w:rPr>
              <w:t>Ptáčková</w:t>
            </w:r>
            <w:r w:rsidRPr="00FC57F4">
              <w:rPr>
                <w:color w:val="000000" w:themeColor="text1"/>
                <w:szCs w:val="18"/>
              </w:rPr>
              <w:t>, Ministry of Industry and Trade (Czechia)</w:t>
            </w:r>
          </w:p>
          <w:p w14:paraId="37DDFC9D" w14:textId="77777777" w:rsidR="004443A0" w:rsidRDefault="004443A0" w:rsidP="00BC1B18">
            <w:pPr>
              <w:pStyle w:val="Odstavecseseznamem"/>
              <w:numPr>
                <w:ilvl w:val="0"/>
                <w:numId w:val="14"/>
              </w:numPr>
              <w:tabs>
                <w:tab w:val="clear" w:pos="851"/>
                <w:tab w:val="left" w:pos="181"/>
              </w:tabs>
              <w:spacing w:line="260" w:lineRule="atLeast"/>
              <w:ind w:left="181" w:hanging="181"/>
              <w:rPr>
                <w:szCs w:val="18"/>
              </w:rPr>
            </w:pPr>
            <w:r>
              <w:rPr>
                <w:szCs w:val="18"/>
              </w:rPr>
              <w:t>Kerstin Haider, Ministry of Finance (Austria)</w:t>
            </w:r>
          </w:p>
          <w:p w14:paraId="5A30D977" w14:textId="77777777" w:rsidR="004443A0" w:rsidRDefault="004443A0" w:rsidP="00BC1B18">
            <w:pPr>
              <w:pStyle w:val="Odstavecseseznamem"/>
              <w:numPr>
                <w:ilvl w:val="0"/>
                <w:numId w:val="14"/>
              </w:numPr>
              <w:tabs>
                <w:tab w:val="clear" w:pos="851"/>
                <w:tab w:val="left" w:pos="181"/>
              </w:tabs>
              <w:spacing w:line="260" w:lineRule="atLeast"/>
              <w:ind w:left="181" w:hanging="181"/>
              <w:rPr>
                <w:szCs w:val="18"/>
              </w:rPr>
            </w:pPr>
            <w:r w:rsidRPr="000C0349">
              <w:rPr>
                <w:szCs w:val="18"/>
              </w:rPr>
              <w:t>Juha Ollikainen, Finnish Climate Fund (Finland)</w:t>
            </w:r>
          </w:p>
          <w:p w14:paraId="1F13A08B" w14:textId="77777777" w:rsidR="004443A0" w:rsidRDefault="004443A0" w:rsidP="00BC1B18">
            <w:pPr>
              <w:pStyle w:val="Odstavecseseznamem"/>
              <w:numPr>
                <w:ilvl w:val="0"/>
                <w:numId w:val="14"/>
              </w:numPr>
              <w:tabs>
                <w:tab w:val="clear" w:pos="851"/>
                <w:tab w:val="left" w:pos="181"/>
              </w:tabs>
              <w:spacing w:line="260" w:lineRule="atLeast"/>
              <w:ind w:left="181" w:hanging="181"/>
              <w:rPr>
                <w:szCs w:val="18"/>
              </w:rPr>
            </w:pPr>
            <w:r w:rsidRPr="00161971">
              <w:rPr>
                <w:szCs w:val="18"/>
              </w:rPr>
              <w:t>Lucía Cobo, Ministry of the Ecological Transition and the Demographic Challenge</w:t>
            </w:r>
            <w:r>
              <w:rPr>
                <w:szCs w:val="18"/>
              </w:rPr>
              <w:t xml:space="preserve"> (Spain) </w:t>
            </w:r>
            <w:r w:rsidRPr="00E0177F">
              <w:rPr>
                <w:i/>
                <w:iCs/>
                <w:szCs w:val="18"/>
              </w:rPr>
              <w:t>(tbc)</w:t>
            </w:r>
          </w:p>
          <w:p w14:paraId="4F02C711" w14:textId="77777777" w:rsidR="004443A0" w:rsidRPr="000F77F4" w:rsidRDefault="004443A0" w:rsidP="00BC1B18">
            <w:pPr>
              <w:pStyle w:val="Odstavecseseznamem"/>
              <w:numPr>
                <w:ilvl w:val="0"/>
                <w:numId w:val="14"/>
              </w:numPr>
              <w:tabs>
                <w:tab w:val="clear" w:pos="851"/>
                <w:tab w:val="left" w:pos="181"/>
              </w:tabs>
              <w:spacing w:line="260" w:lineRule="atLeast"/>
              <w:ind w:left="181" w:hanging="181"/>
              <w:rPr>
                <w:szCs w:val="18"/>
              </w:rPr>
            </w:pPr>
            <w:r w:rsidRPr="00E0177F">
              <w:rPr>
                <w:rStyle w:val="ui-provider"/>
              </w:rPr>
              <w:t>Siina Lepola-L</w:t>
            </w:r>
            <w:r>
              <w:rPr>
                <w:lang w:val="fi-FI" w:eastAsia="fi-FI"/>
              </w:rPr>
              <w:t>å</w:t>
            </w:r>
            <w:r w:rsidRPr="00E0177F">
              <w:rPr>
                <w:rStyle w:val="ui-provider"/>
              </w:rPr>
              <w:t>ng, Ministry of Economic Affairs &amp; Employment (Finland)</w:t>
            </w:r>
            <w:r>
              <w:rPr>
                <w:rStyle w:val="ui-provider"/>
              </w:rPr>
              <w:t xml:space="preserve"> </w:t>
            </w:r>
            <w:r w:rsidRPr="00E0177F">
              <w:rPr>
                <w:rStyle w:val="ui-provider"/>
                <w:i/>
                <w:iCs/>
              </w:rPr>
              <w:t>(tbc</w:t>
            </w:r>
            <w:r w:rsidRPr="00E0177F">
              <w:rPr>
                <w:rStyle w:val="ui-provider"/>
                <w:i/>
              </w:rPr>
              <w:t>)</w:t>
            </w:r>
          </w:p>
        </w:tc>
      </w:tr>
      <w:tr w:rsidR="004443A0" w:rsidRPr="00E32084" w14:paraId="3830C8D9" w14:textId="77777777">
        <w:trPr>
          <w:trHeight w:val="20"/>
        </w:trPr>
        <w:tc>
          <w:tcPr>
            <w:tcW w:w="1271" w:type="dxa"/>
            <w:tcMar>
              <w:right w:w="57" w:type="dxa"/>
            </w:tcMar>
          </w:tcPr>
          <w:p w14:paraId="48D9ED01" w14:textId="77777777" w:rsidR="004443A0" w:rsidRPr="00FE6237" w:rsidRDefault="004443A0" w:rsidP="004443A0">
            <w:pPr>
              <w:spacing w:line="260" w:lineRule="atLeast"/>
              <w:ind w:left="0"/>
              <w:rPr>
                <w:szCs w:val="18"/>
              </w:rPr>
            </w:pPr>
            <w:r w:rsidRPr="00FE6237">
              <w:rPr>
                <w:szCs w:val="18"/>
              </w:rPr>
              <w:t>12.</w:t>
            </w:r>
            <w:r>
              <w:rPr>
                <w:szCs w:val="18"/>
              </w:rPr>
              <w:t xml:space="preserve">20 – 12.25 </w:t>
            </w:r>
          </w:p>
        </w:tc>
        <w:tc>
          <w:tcPr>
            <w:tcW w:w="4820" w:type="dxa"/>
          </w:tcPr>
          <w:p w14:paraId="6B660F9C" w14:textId="77777777" w:rsidR="004443A0" w:rsidRPr="000F77F4" w:rsidRDefault="004443A0" w:rsidP="004443A0">
            <w:pPr>
              <w:spacing w:line="260" w:lineRule="atLeast"/>
              <w:ind w:left="0"/>
              <w:rPr>
                <w:szCs w:val="18"/>
              </w:rPr>
            </w:pPr>
            <w:r w:rsidRPr="000F77F4">
              <w:rPr>
                <w:szCs w:val="18"/>
              </w:rPr>
              <w:t>Reflection</w:t>
            </w:r>
            <w:r>
              <w:rPr>
                <w:szCs w:val="18"/>
              </w:rPr>
              <w:t>s</w:t>
            </w:r>
            <w:r w:rsidRPr="000F77F4">
              <w:rPr>
                <w:szCs w:val="18"/>
              </w:rPr>
              <w:t xml:space="preserve"> on main takeaways</w:t>
            </w:r>
            <w:r>
              <w:rPr>
                <w:szCs w:val="18"/>
              </w:rPr>
              <w:t xml:space="preserve"> and next steps from Czech perspective</w:t>
            </w:r>
          </w:p>
        </w:tc>
        <w:tc>
          <w:tcPr>
            <w:tcW w:w="2687" w:type="dxa"/>
          </w:tcPr>
          <w:p w14:paraId="4571C21E" w14:textId="77777777" w:rsidR="004443A0" w:rsidRPr="00477ED3" w:rsidRDefault="004443A0" w:rsidP="004443A0">
            <w:pPr>
              <w:spacing w:line="260" w:lineRule="atLeast"/>
              <w:ind w:left="0"/>
              <w:rPr>
                <w:szCs w:val="18"/>
              </w:rPr>
            </w:pPr>
            <w:r w:rsidRPr="00477ED3">
              <w:rPr>
                <w:szCs w:val="18"/>
              </w:rPr>
              <w:t>Nikola Blokešová, Office of the Government (Czechia)</w:t>
            </w:r>
          </w:p>
        </w:tc>
      </w:tr>
      <w:tr w:rsidR="004443A0" w:rsidRPr="00FE6237" w14:paraId="282B594B" w14:textId="77777777">
        <w:trPr>
          <w:trHeight w:val="20"/>
        </w:trPr>
        <w:tc>
          <w:tcPr>
            <w:tcW w:w="1271" w:type="dxa"/>
            <w:tcMar>
              <w:right w:w="57" w:type="dxa"/>
            </w:tcMar>
          </w:tcPr>
          <w:p w14:paraId="4295FF67" w14:textId="77777777" w:rsidR="004443A0" w:rsidRPr="00FE6237" w:rsidRDefault="004443A0" w:rsidP="004443A0">
            <w:pPr>
              <w:spacing w:line="260" w:lineRule="atLeast"/>
              <w:ind w:left="0"/>
              <w:rPr>
                <w:szCs w:val="18"/>
              </w:rPr>
            </w:pPr>
            <w:r w:rsidRPr="00FE6237">
              <w:rPr>
                <w:szCs w:val="18"/>
              </w:rPr>
              <w:t>1</w:t>
            </w:r>
            <w:r>
              <w:rPr>
                <w:szCs w:val="18"/>
              </w:rPr>
              <w:t>2</w:t>
            </w:r>
            <w:r w:rsidRPr="00FE6237">
              <w:rPr>
                <w:szCs w:val="18"/>
              </w:rPr>
              <w:t>.</w:t>
            </w:r>
            <w:r>
              <w:rPr>
                <w:szCs w:val="18"/>
              </w:rPr>
              <w:t>25 – 12.30</w:t>
            </w:r>
          </w:p>
        </w:tc>
        <w:tc>
          <w:tcPr>
            <w:tcW w:w="4820" w:type="dxa"/>
          </w:tcPr>
          <w:p w14:paraId="0F73F2B4" w14:textId="77777777" w:rsidR="004443A0" w:rsidRPr="00FE6237" w:rsidRDefault="004443A0" w:rsidP="004443A0">
            <w:pPr>
              <w:spacing w:line="260" w:lineRule="atLeast"/>
              <w:ind w:left="0"/>
              <w:rPr>
                <w:szCs w:val="18"/>
              </w:rPr>
            </w:pPr>
            <w:r>
              <w:rPr>
                <w:szCs w:val="18"/>
              </w:rPr>
              <w:t>Wrap-up and closing peer-learning webinars</w:t>
            </w:r>
          </w:p>
        </w:tc>
        <w:tc>
          <w:tcPr>
            <w:tcW w:w="2687" w:type="dxa"/>
          </w:tcPr>
          <w:p w14:paraId="6E32A686" w14:textId="77777777" w:rsidR="004443A0" w:rsidRPr="00FE6237" w:rsidRDefault="004443A0" w:rsidP="004443A0">
            <w:pPr>
              <w:spacing w:line="260" w:lineRule="atLeast"/>
              <w:ind w:left="0"/>
              <w:rPr>
                <w:szCs w:val="18"/>
              </w:rPr>
            </w:pPr>
            <w:r>
              <w:rPr>
                <w:color w:val="000000" w:themeColor="text1"/>
                <w:szCs w:val="18"/>
              </w:rPr>
              <w:t>Peter Janoska (Trinomics)</w:t>
            </w:r>
          </w:p>
        </w:tc>
      </w:tr>
    </w:tbl>
    <w:p w14:paraId="220D5A67" w14:textId="0AFC27CB" w:rsidR="004443A0" w:rsidRDefault="004443A0" w:rsidP="004443A0"/>
    <w:p w14:paraId="7551F82F" w14:textId="77777777" w:rsidR="004443A0" w:rsidRPr="00840648" w:rsidRDefault="004443A0" w:rsidP="004443A0">
      <w:pPr>
        <w:pStyle w:val="Nadpis4"/>
        <w:ind w:firstLine="0"/>
      </w:pPr>
      <w:r>
        <w:t>Guiding questions for the p</w:t>
      </w:r>
      <w:r w:rsidRPr="00B85A66">
        <w:t>anel discussion</w:t>
      </w:r>
    </w:p>
    <w:tbl>
      <w:tblPr>
        <w:tblStyle w:val="Table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3A5" w:themeFill="accent4"/>
        <w:tblLook w:val="04A0" w:firstRow="1" w:lastRow="0" w:firstColumn="1" w:lastColumn="0" w:noHBand="0" w:noVBand="1"/>
      </w:tblPr>
      <w:tblGrid>
        <w:gridCol w:w="8778"/>
      </w:tblGrid>
      <w:tr w:rsidR="004443A0" w:rsidRPr="00BC5A68" w14:paraId="2B4C3F2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8" w:type="dxa"/>
            <w:shd w:val="clear" w:color="auto" w:fill="FFE3A5" w:themeFill="accent4"/>
          </w:tcPr>
          <w:p w14:paraId="64AB09F3" w14:textId="77777777" w:rsidR="004443A0" w:rsidRPr="00DE3BC0" w:rsidRDefault="004443A0">
            <w:pPr>
              <w:spacing w:line="280" w:lineRule="atLeast"/>
              <w:rPr>
                <w:color w:val="005962" w:themeColor="accent1"/>
                <w:szCs w:val="18"/>
              </w:rPr>
            </w:pPr>
            <w:r w:rsidRPr="00DE3BC0">
              <w:rPr>
                <w:color w:val="005962" w:themeColor="accent1"/>
                <w:szCs w:val="18"/>
              </w:rPr>
              <w:t>On the methodologies for DNSH principle assessment of R&amp;D and green innovation projects</w:t>
            </w:r>
          </w:p>
          <w:p w14:paraId="10A99841" w14:textId="77777777" w:rsidR="004443A0" w:rsidRPr="00DE3BC0" w:rsidRDefault="004443A0" w:rsidP="00BC1B18">
            <w:pPr>
              <w:pStyle w:val="Odstavecseseznamem"/>
              <w:numPr>
                <w:ilvl w:val="0"/>
                <w:numId w:val="13"/>
              </w:numPr>
              <w:tabs>
                <w:tab w:val="clear" w:pos="851"/>
                <w:tab w:val="left" w:pos="321"/>
              </w:tabs>
              <w:spacing w:line="280" w:lineRule="atLeast"/>
              <w:ind w:left="321" w:hanging="284"/>
              <w:jc w:val="left"/>
              <w:rPr>
                <w:b w:val="0"/>
                <w:color w:val="auto"/>
                <w:szCs w:val="18"/>
              </w:rPr>
            </w:pPr>
            <w:r w:rsidRPr="00DE3BC0">
              <w:rPr>
                <w:b w:val="0"/>
                <w:color w:val="auto"/>
                <w:szCs w:val="18"/>
              </w:rPr>
              <w:t xml:space="preserve">What process is enacted when the managing authority concludes that a project or program does not have DNSH TSC? Are these cases provisioned in the governance structure of DNSH assessment? </w:t>
            </w:r>
          </w:p>
          <w:p w14:paraId="5542BB72" w14:textId="77777777" w:rsidR="004443A0" w:rsidRPr="00DE3BC0" w:rsidRDefault="004443A0" w:rsidP="00BC1B18">
            <w:pPr>
              <w:pStyle w:val="Odstavecseseznamem"/>
              <w:numPr>
                <w:ilvl w:val="0"/>
                <w:numId w:val="13"/>
              </w:numPr>
              <w:tabs>
                <w:tab w:val="clear" w:pos="851"/>
                <w:tab w:val="left" w:pos="321"/>
              </w:tabs>
              <w:spacing w:line="280" w:lineRule="atLeast"/>
              <w:ind w:left="321" w:hanging="284"/>
              <w:jc w:val="left"/>
              <w:rPr>
                <w:b w:val="0"/>
                <w:color w:val="auto"/>
                <w:szCs w:val="18"/>
              </w:rPr>
            </w:pPr>
            <w:r w:rsidRPr="00DE3BC0">
              <w:rPr>
                <w:b w:val="0"/>
                <w:color w:val="auto"/>
                <w:szCs w:val="18"/>
              </w:rPr>
              <w:t xml:space="preserve">How do you assess the DNSH principle for projects and programmes where guidance does not exist, particularly for green technology projects? </w:t>
            </w:r>
          </w:p>
          <w:p w14:paraId="7C1DE957" w14:textId="77777777" w:rsidR="004443A0" w:rsidRPr="00DE3BC0" w:rsidRDefault="004443A0" w:rsidP="00BC1B18">
            <w:pPr>
              <w:pStyle w:val="Odstavecseseznamem"/>
              <w:numPr>
                <w:ilvl w:val="0"/>
                <w:numId w:val="13"/>
              </w:numPr>
              <w:tabs>
                <w:tab w:val="clear" w:pos="851"/>
                <w:tab w:val="left" w:pos="321"/>
              </w:tabs>
              <w:spacing w:line="280" w:lineRule="atLeast"/>
              <w:ind w:left="321" w:hanging="284"/>
              <w:jc w:val="left"/>
              <w:rPr>
                <w:b w:val="0"/>
                <w:color w:val="auto"/>
                <w:szCs w:val="18"/>
              </w:rPr>
            </w:pPr>
            <w:r w:rsidRPr="00DE3BC0">
              <w:rPr>
                <w:b w:val="0"/>
                <w:color w:val="auto"/>
                <w:szCs w:val="18"/>
              </w:rPr>
              <w:t>Have you identified alternative or other relevant methodologies/practices/ related to this?</w:t>
            </w:r>
            <w:r w:rsidRPr="00DE3BC0">
              <w:t xml:space="preserve"> </w:t>
            </w:r>
          </w:p>
          <w:p w14:paraId="228DA226" w14:textId="77777777" w:rsidR="004443A0" w:rsidRPr="00DE3BC0" w:rsidRDefault="004443A0" w:rsidP="00BC1B18">
            <w:pPr>
              <w:pStyle w:val="Odstavecseseznamem"/>
              <w:numPr>
                <w:ilvl w:val="0"/>
                <w:numId w:val="13"/>
              </w:numPr>
              <w:tabs>
                <w:tab w:val="clear" w:pos="851"/>
                <w:tab w:val="left" w:pos="321"/>
              </w:tabs>
              <w:spacing w:line="280" w:lineRule="atLeast"/>
              <w:ind w:left="321" w:hanging="284"/>
              <w:jc w:val="left"/>
              <w:rPr>
                <w:b w:val="0"/>
                <w:color w:val="auto"/>
                <w:szCs w:val="18"/>
              </w:rPr>
            </w:pPr>
            <w:r w:rsidRPr="00DE3BC0">
              <w:rPr>
                <w:b w:val="0"/>
                <w:color w:val="auto"/>
                <w:szCs w:val="18"/>
              </w:rPr>
              <w:lastRenderedPageBreak/>
              <w:t xml:space="preserve">Developing criteria for a specific project or programme may create issues related with standardization and quality assurance. How do you approach this issue? </w:t>
            </w:r>
          </w:p>
          <w:p w14:paraId="2E9242E1" w14:textId="77777777" w:rsidR="004443A0" w:rsidRPr="00DE3BC0" w:rsidRDefault="004443A0" w:rsidP="00BC1B18">
            <w:pPr>
              <w:pStyle w:val="Odstavecseseznamem"/>
              <w:numPr>
                <w:ilvl w:val="0"/>
                <w:numId w:val="13"/>
              </w:numPr>
              <w:tabs>
                <w:tab w:val="clear" w:pos="851"/>
                <w:tab w:val="left" w:pos="321"/>
              </w:tabs>
              <w:spacing w:line="280" w:lineRule="atLeast"/>
              <w:ind w:left="321" w:hanging="284"/>
              <w:jc w:val="left"/>
              <w:rPr>
                <w:b w:val="0"/>
                <w:color w:val="auto"/>
                <w:szCs w:val="18"/>
              </w:rPr>
            </w:pPr>
            <w:r w:rsidRPr="00DE3BC0">
              <w:rPr>
                <w:b w:val="0"/>
                <w:color w:val="auto"/>
                <w:szCs w:val="18"/>
              </w:rPr>
              <w:t>How do you respond to cases where a subcomponent requires a more in-depth DNSH assessment (e. g. a larger proportion of investment in infrastructure)?</w:t>
            </w:r>
          </w:p>
          <w:p w14:paraId="3C1C789F" w14:textId="77777777" w:rsidR="004443A0" w:rsidRPr="00222E88" w:rsidRDefault="004443A0" w:rsidP="00BC1B18">
            <w:pPr>
              <w:pStyle w:val="Odstavecseseznamem"/>
              <w:numPr>
                <w:ilvl w:val="0"/>
                <w:numId w:val="13"/>
              </w:numPr>
              <w:tabs>
                <w:tab w:val="clear" w:pos="851"/>
                <w:tab w:val="left" w:pos="321"/>
              </w:tabs>
              <w:spacing w:after="120" w:line="280" w:lineRule="atLeast"/>
              <w:ind w:left="321" w:hanging="284"/>
              <w:jc w:val="left"/>
              <w:rPr>
                <w:b w:val="0"/>
                <w:color w:val="auto"/>
                <w:szCs w:val="18"/>
              </w:rPr>
            </w:pPr>
            <w:r w:rsidRPr="00DE3BC0">
              <w:rPr>
                <w:b w:val="0"/>
                <w:color w:val="auto"/>
                <w:szCs w:val="18"/>
              </w:rPr>
              <w:t>How do the application of the DNSH principle and green tagging relate?</w:t>
            </w:r>
          </w:p>
        </w:tc>
      </w:tr>
      <w:bookmarkEnd w:id="53"/>
      <w:bookmarkEnd w:id="54"/>
    </w:tbl>
    <w:p w14:paraId="63A3A8BD" w14:textId="77777777" w:rsidR="00066612" w:rsidRDefault="00066612" w:rsidP="00223722">
      <w:pPr>
        <w:ind w:left="0"/>
        <w:rPr>
          <w:b/>
          <w:bCs/>
          <w:lang w:val="en-GB"/>
        </w:rPr>
      </w:pPr>
    </w:p>
    <w:p w14:paraId="54AF671C" w14:textId="77777777" w:rsidR="001105BE" w:rsidRPr="00C52545" w:rsidRDefault="001105BE" w:rsidP="007608BA">
      <w:pPr>
        <w:rPr>
          <w:lang w:val="en-GB"/>
        </w:rPr>
      </w:pPr>
    </w:p>
    <w:p w14:paraId="4E3C7A97" w14:textId="77777777" w:rsidR="001105BE" w:rsidRPr="00C52545" w:rsidRDefault="001105BE" w:rsidP="007608BA">
      <w:pPr>
        <w:rPr>
          <w:lang w:val="en-GB"/>
        </w:rPr>
      </w:pPr>
    </w:p>
    <w:p w14:paraId="52EE6EC5" w14:textId="77777777" w:rsidR="001105BE" w:rsidRPr="00C52545" w:rsidRDefault="001105BE" w:rsidP="007608BA">
      <w:pPr>
        <w:rPr>
          <w:lang w:val="en-GB"/>
        </w:rPr>
      </w:pPr>
    </w:p>
    <w:p w14:paraId="79CBD680" w14:textId="77777777" w:rsidR="001105BE" w:rsidRPr="00C52545" w:rsidRDefault="001105BE" w:rsidP="007608BA">
      <w:pPr>
        <w:rPr>
          <w:lang w:val="en-GB"/>
        </w:rPr>
      </w:pPr>
    </w:p>
    <w:p w14:paraId="044B2C00" w14:textId="77777777" w:rsidR="001105BE" w:rsidRDefault="001105BE" w:rsidP="001105BE">
      <w:pPr>
        <w:rPr>
          <w:b/>
          <w:bCs/>
          <w:lang w:val="en-GB"/>
        </w:rPr>
      </w:pPr>
    </w:p>
    <w:p w14:paraId="1B25EDC7" w14:textId="77777777" w:rsidR="001105BE" w:rsidRDefault="001105BE" w:rsidP="001105BE">
      <w:pPr>
        <w:tabs>
          <w:tab w:val="left" w:pos="6565"/>
        </w:tabs>
        <w:rPr>
          <w:b/>
          <w:bCs/>
          <w:lang w:val="en-GB"/>
        </w:rPr>
        <w:sectPr w:rsidR="001105BE" w:rsidSect="00B710F6">
          <w:footerReference w:type="default" r:id="rId25"/>
          <w:type w:val="oddPage"/>
          <w:pgSz w:w="11906" w:h="16838"/>
          <w:pgMar w:top="1440" w:right="1440" w:bottom="1440" w:left="1440" w:header="709" w:footer="567" w:gutter="0"/>
          <w:pgNumType w:start="1"/>
          <w:cols w:space="708"/>
          <w:docGrid w:linePitch="360"/>
        </w:sectPr>
      </w:pPr>
      <w:r>
        <w:rPr>
          <w:b/>
          <w:bCs/>
          <w:lang w:val="en-GB"/>
        </w:rPr>
        <w:tab/>
      </w:r>
    </w:p>
    <w:p w14:paraId="6C8E5E29" w14:textId="18E04739" w:rsidR="00C52545" w:rsidRPr="004C69C2" w:rsidRDefault="001105BE" w:rsidP="001A75F6">
      <w:pPr>
        <w:pStyle w:val="Nadpis1"/>
        <w:numPr>
          <w:ilvl w:val="0"/>
          <w:numId w:val="0"/>
        </w:numPr>
        <w:ind w:left="927" w:hanging="360"/>
      </w:pPr>
      <w:bookmarkStart w:id="96" w:name="_Toc131775869"/>
      <w:r>
        <w:lastRenderedPageBreak/>
        <w:t>Annex C -</w:t>
      </w:r>
      <w:r w:rsidR="00C52545">
        <w:t xml:space="preserve"> </w:t>
      </w:r>
      <w:r>
        <w:t xml:space="preserve">Minutes </w:t>
      </w:r>
      <w:r w:rsidR="007608BA">
        <w:t xml:space="preserve">of </w:t>
      </w:r>
      <w:r w:rsidR="00C52545">
        <w:t>w</w:t>
      </w:r>
      <w:r>
        <w:t>ebinar</w:t>
      </w:r>
      <w:r w:rsidR="00C52545">
        <w:t xml:space="preserve"> 1:</w:t>
      </w:r>
      <w:bookmarkStart w:id="97" w:name="_Toc127978726"/>
      <w:r w:rsidR="001A75F6">
        <w:t xml:space="preserve"> </w:t>
      </w:r>
      <w:r w:rsidR="00C52545" w:rsidRPr="004C69C2">
        <w:t>Governance processes for applying the DNSH principle</w:t>
      </w:r>
      <w:bookmarkEnd w:id="96"/>
      <w:bookmarkEnd w:id="97"/>
    </w:p>
    <w:p w14:paraId="4157B3C3" w14:textId="77777777" w:rsidR="00C52545" w:rsidRPr="004C69C2" w:rsidRDefault="00C52545" w:rsidP="007608BA">
      <w:pPr>
        <w:pStyle w:val="Nadpis2"/>
        <w:numPr>
          <w:ilvl w:val="0"/>
          <w:numId w:val="0"/>
        </w:numPr>
        <w:ind w:left="567"/>
      </w:pPr>
      <w:bookmarkStart w:id="98" w:name="_Toc127978728"/>
      <w:bookmarkStart w:id="99" w:name="_Toc131757477"/>
      <w:bookmarkStart w:id="100" w:name="_Toc131775870"/>
      <w:r w:rsidRPr="004C69C2">
        <w:t>Setting the scene (Julian Toth, ISFC)</w:t>
      </w:r>
      <w:bookmarkEnd w:id="98"/>
      <w:bookmarkEnd w:id="99"/>
      <w:bookmarkEnd w:id="100"/>
    </w:p>
    <w:p w14:paraId="5C9825E4" w14:textId="6E3C2F31" w:rsidR="00C52545" w:rsidRPr="004C69C2" w:rsidRDefault="00C52545" w:rsidP="00C52545">
      <w:pPr>
        <w:rPr>
          <w:rFonts w:eastAsia="Calibri" w:cs="Arial"/>
        </w:rPr>
      </w:pPr>
      <w:r w:rsidRPr="004C69C2">
        <w:rPr>
          <w:rFonts w:eastAsia="Calibri" w:cs="Arial"/>
        </w:rPr>
        <w:t xml:space="preserve">The theme of the webinar was identified based on consultations and </w:t>
      </w:r>
      <w:r w:rsidR="00AD0FB6" w:rsidRPr="004C69C2">
        <w:rPr>
          <w:rFonts w:eastAsia="Calibri" w:cs="Arial"/>
        </w:rPr>
        <w:t>desk research</w:t>
      </w:r>
      <w:r w:rsidRPr="004C69C2">
        <w:rPr>
          <w:rFonts w:eastAsia="Calibri" w:cs="Arial"/>
        </w:rPr>
        <w:t>.</w:t>
      </w:r>
    </w:p>
    <w:p w14:paraId="53F284CD" w14:textId="77777777" w:rsidR="00C52545" w:rsidRPr="004C69C2" w:rsidRDefault="00C52545" w:rsidP="00C52545">
      <w:pPr>
        <w:rPr>
          <w:rFonts w:eastAsia="Calibri" w:cs="Arial"/>
        </w:rPr>
      </w:pPr>
      <w:r w:rsidRPr="004C69C2">
        <w:rPr>
          <w:rFonts w:eastAsia="Calibri" w:cs="Arial"/>
        </w:rPr>
        <w:t>Governance processes can be defined as the processes, procedures and practices of authorities to share responsibilities of data and application of the DNSH principle.</w:t>
      </w:r>
    </w:p>
    <w:p w14:paraId="19DD98AC" w14:textId="77777777" w:rsidR="00C52545" w:rsidRPr="004C69C2" w:rsidRDefault="00C52545" w:rsidP="00C52545">
      <w:pPr>
        <w:rPr>
          <w:rFonts w:eastAsia="Calibri" w:cs="Arial"/>
        </w:rPr>
      </w:pPr>
    </w:p>
    <w:p w14:paraId="6536BD0C" w14:textId="77777777" w:rsidR="00C52545" w:rsidRPr="004C69C2" w:rsidRDefault="00C52545" w:rsidP="00C52545">
      <w:pPr>
        <w:rPr>
          <w:rFonts w:eastAsia="Calibri" w:cs="Arial"/>
        </w:rPr>
      </w:pPr>
      <w:r w:rsidRPr="004C69C2">
        <w:rPr>
          <w:rFonts w:eastAsia="Calibri" w:cs="Arial"/>
        </w:rPr>
        <w:t>Important points to understand the context in Czechia include:</w:t>
      </w:r>
    </w:p>
    <w:p w14:paraId="7FFF68E5" w14:textId="77777777" w:rsidR="00C52545" w:rsidRPr="004C69C2" w:rsidRDefault="00C52545" w:rsidP="00C52545">
      <w:pPr>
        <w:pStyle w:val="lp11"/>
        <w:numPr>
          <w:ilvl w:val="0"/>
          <w:numId w:val="8"/>
        </w:numPr>
      </w:pPr>
      <w:r w:rsidRPr="004C69C2">
        <w:t>Multiple national</w:t>
      </w:r>
      <w:r>
        <w:t>-</w:t>
      </w:r>
      <w:r w:rsidRPr="004C69C2">
        <w:t>level programmes that are managed by different authorities and operational programmes;</w:t>
      </w:r>
    </w:p>
    <w:p w14:paraId="04681CD8" w14:textId="77777777" w:rsidR="00C52545" w:rsidRPr="004C69C2" w:rsidRDefault="00C52545" w:rsidP="00C52545">
      <w:pPr>
        <w:pStyle w:val="lp11"/>
        <w:numPr>
          <w:ilvl w:val="0"/>
          <w:numId w:val="8"/>
        </w:numPr>
      </w:pPr>
      <w:r w:rsidRPr="004C69C2">
        <w:t>DNSH and CP are recent notions for which there is limited experience, and for which guidelines must still be proofed. The presentation to be given by Richard Juřík will present the results of such proofing and development;</w:t>
      </w:r>
    </w:p>
    <w:p w14:paraId="2927437E" w14:textId="77777777" w:rsidR="00C52545" w:rsidRPr="004C69C2" w:rsidRDefault="00C52545" w:rsidP="00C52545">
      <w:pPr>
        <w:pStyle w:val="lp11"/>
        <w:numPr>
          <w:ilvl w:val="0"/>
          <w:numId w:val="8"/>
        </w:numPr>
      </w:pPr>
      <w:r w:rsidRPr="004C69C2">
        <w:t>There are inconsistencies across authorities.</w:t>
      </w:r>
    </w:p>
    <w:p w14:paraId="6254F504" w14:textId="77777777" w:rsidR="00C52545" w:rsidRPr="004C69C2" w:rsidRDefault="00C52545" w:rsidP="00C52545">
      <w:pPr>
        <w:tabs>
          <w:tab w:val="left" w:pos="851"/>
        </w:tabs>
        <w:ind w:left="1647"/>
        <w:contextualSpacing/>
        <w:rPr>
          <w:rFonts w:eastAsia="Calibri" w:cs="Arial"/>
        </w:rPr>
      </w:pPr>
    </w:p>
    <w:p w14:paraId="704875CA" w14:textId="77777777" w:rsidR="00C52545" w:rsidRPr="004C69C2" w:rsidRDefault="00C52545" w:rsidP="00C52545">
      <w:pPr>
        <w:rPr>
          <w:rFonts w:eastAsia="Calibri" w:cs="Arial"/>
        </w:rPr>
      </w:pPr>
      <w:r w:rsidRPr="004C69C2">
        <w:rPr>
          <w:rFonts w:eastAsia="Calibri" w:cs="Arial"/>
        </w:rPr>
        <w:t>Overall, Czechia faces four main challenges:</w:t>
      </w:r>
    </w:p>
    <w:p w14:paraId="26DBB055" w14:textId="77777777" w:rsidR="00C52545" w:rsidRPr="004C69C2" w:rsidRDefault="00C52545" w:rsidP="00C52545">
      <w:pPr>
        <w:pStyle w:val="lp11"/>
        <w:numPr>
          <w:ilvl w:val="0"/>
          <w:numId w:val="8"/>
        </w:numPr>
      </w:pPr>
      <w:r w:rsidRPr="00D93F31">
        <w:rPr>
          <w:i/>
          <w:iCs/>
        </w:rPr>
        <w:t>Decentralisation and risks of inconsistencies</w:t>
      </w:r>
      <w:r w:rsidRPr="004C69C2">
        <w:t>. The repartition of roles to identify and communicate requirements to applicants is not clear. Certain authorities do so at the programme level; others only present requirements per se to applicants, such that the latter do not need to understand the DNSH concept to comply with it.</w:t>
      </w:r>
    </w:p>
    <w:p w14:paraId="550880B9" w14:textId="77777777" w:rsidR="00C52545" w:rsidRPr="004C69C2" w:rsidRDefault="00C52545" w:rsidP="00C52545">
      <w:pPr>
        <w:pStyle w:val="lp11"/>
        <w:numPr>
          <w:ilvl w:val="0"/>
          <w:numId w:val="8"/>
        </w:numPr>
      </w:pPr>
      <w:r w:rsidRPr="00D93F31">
        <w:rPr>
          <w:i/>
          <w:iCs/>
        </w:rPr>
        <w:t>Complexity</w:t>
      </w:r>
      <w:r w:rsidRPr="004C69C2">
        <w:t>. Administrative complexity adds to th</w:t>
      </w:r>
      <w:r>
        <w:t>e</w:t>
      </w:r>
      <w:r w:rsidRPr="004C69C2">
        <w:t xml:space="preserve"> </w:t>
      </w:r>
      <w:r>
        <w:t xml:space="preserve">first </w:t>
      </w:r>
      <w:r w:rsidRPr="004C69C2">
        <w:t>challenge. Typically, applicants face differing requirements and forms across authorities.</w:t>
      </w:r>
    </w:p>
    <w:p w14:paraId="423F1CDD" w14:textId="77777777" w:rsidR="00C52545" w:rsidRPr="004C69C2" w:rsidRDefault="00C52545" w:rsidP="00C52545">
      <w:pPr>
        <w:pStyle w:val="lp11"/>
        <w:numPr>
          <w:ilvl w:val="0"/>
          <w:numId w:val="8"/>
        </w:numPr>
      </w:pPr>
      <w:r w:rsidRPr="00D93F31">
        <w:rPr>
          <w:i/>
          <w:iCs/>
        </w:rPr>
        <w:t>Communication</w:t>
      </w:r>
      <w:r>
        <w:t xml:space="preserve"> </w:t>
      </w:r>
      <w:r w:rsidRPr="00D93F31">
        <w:rPr>
          <w:i/>
          <w:iCs/>
        </w:rPr>
        <w:t>across managing authorities</w:t>
      </w:r>
      <w:r w:rsidRPr="004C69C2">
        <w:t xml:space="preserve">. DNSH application is fragmented, although this is being managed better as the </w:t>
      </w:r>
      <w:r>
        <w:t xml:space="preserve">TSI </w:t>
      </w:r>
      <w:r w:rsidRPr="004C69C2">
        <w:t>project advances.</w:t>
      </w:r>
    </w:p>
    <w:p w14:paraId="0A431418" w14:textId="77777777" w:rsidR="00C52545" w:rsidRPr="004C69C2" w:rsidRDefault="00C52545" w:rsidP="00C52545">
      <w:pPr>
        <w:pStyle w:val="lp11"/>
        <w:numPr>
          <w:ilvl w:val="0"/>
          <w:numId w:val="8"/>
        </w:numPr>
      </w:pPr>
      <w:r>
        <w:rPr>
          <w:i/>
          <w:iCs/>
        </w:rPr>
        <w:t>Access to d</w:t>
      </w:r>
      <w:r w:rsidRPr="00D93F31">
        <w:rPr>
          <w:i/>
          <w:iCs/>
        </w:rPr>
        <w:t>ata and information</w:t>
      </w:r>
      <w:r w:rsidRPr="004C69C2">
        <w:t>. There are limited solutions to collect, share and leverage existing data, although we observe that the Czech authorities gradually try to manage this issue.</w:t>
      </w:r>
    </w:p>
    <w:p w14:paraId="4A668CF9" w14:textId="77777777" w:rsidR="00C52545" w:rsidRPr="004C69C2" w:rsidRDefault="00C52545" w:rsidP="00C52545">
      <w:pPr>
        <w:tabs>
          <w:tab w:val="left" w:pos="851"/>
        </w:tabs>
        <w:ind w:left="1647"/>
        <w:contextualSpacing/>
        <w:rPr>
          <w:rFonts w:eastAsia="Calibri" w:cs="Arial"/>
        </w:rPr>
      </w:pPr>
    </w:p>
    <w:p w14:paraId="5B3B0565" w14:textId="77777777" w:rsidR="00C52545" w:rsidRPr="004C69C2" w:rsidRDefault="00C52545" w:rsidP="007608BA">
      <w:pPr>
        <w:pStyle w:val="Nadpis2"/>
        <w:numPr>
          <w:ilvl w:val="0"/>
          <w:numId w:val="0"/>
        </w:numPr>
        <w:ind w:left="567"/>
      </w:pPr>
      <w:bookmarkStart w:id="101" w:name="_Toc127978729"/>
      <w:bookmarkStart w:id="102" w:name="_Toc131757478"/>
      <w:bookmarkStart w:id="103" w:name="_Toc131775871"/>
      <w:r w:rsidRPr="004C69C2">
        <w:t>Richard Juřík – Ministry of the Environment (Czechia)</w:t>
      </w:r>
      <w:bookmarkEnd w:id="101"/>
      <w:bookmarkEnd w:id="102"/>
      <w:bookmarkEnd w:id="103"/>
    </w:p>
    <w:p w14:paraId="024AE4D6" w14:textId="77777777" w:rsidR="00C52545" w:rsidRPr="004C69C2" w:rsidRDefault="00C52545" w:rsidP="007608BA">
      <w:pPr>
        <w:pStyle w:val="Nadpis3"/>
        <w:numPr>
          <w:ilvl w:val="0"/>
          <w:numId w:val="0"/>
        </w:numPr>
        <w:ind w:left="567"/>
      </w:pPr>
      <w:bookmarkStart w:id="104" w:name="_Toc127978730"/>
      <w:bookmarkStart w:id="105" w:name="_Toc131757479"/>
      <w:bookmarkStart w:id="106" w:name="_Toc131775872"/>
      <w:r w:rsidRPr="004C69C2">
        <w:t>Context</w:t>
      </w:r>
      <w:bookmarkEnd w:id="104"/>
      <w:bookmarkEnd w:id="105"/>
      <w:bookmarkEnd w:id="106"/>
    </w:p>
    <w:p w14:paraId="0E39A3DC" w14:textId="77777777" w:rsidR="00C52545" w:rsidRPr="004C69C2" w:rsidRDefault="00C52545" w:rsidP="00C52545">
      <w:r w:rsidRPr="004C69C2">
        <w:t xml:space="preserve">The DNSH concept is new </w:t>
      </w:r>
      <w:r>
        <w:t xml:space="preserve">to </w:t>
      </w:r>
      <w:r w:rsidRPr="004C69C2">
        <w:t>Ministries and experts</w:t>
      </w:r>
      <w:r>
        <w:t>.</w:t>
      </w:r>
      <w:r w:rsidRPr="004C69C2">
        <w:t xml:space="preserve"> </w:t>
      </w:r>
      <w:r>
        <w:t>T</w:t>
      </w:r>
      <w:r w:rsidRPr="004C69C2">
        <w:t xml:space="preserve">he </w:t>
      </w:r>
      <w:r>
        <w:t>M</w:t>
      </w:r>
      <w:r w:rsidRPr="004C69C2">
        <w:t xml:space="preserve">inistry of </w:t>
      </w:r>
      <w:r>
        <w:t>E</w:t>
      </w:r>
      <w:r w:rsidRPr="004C69C2">
        <w:t>nvironment</w:t>
      </w:r>
      <w:r>
        <w:t>’s practices</w:t>
      </w:r>
      <w:r w:rsidRPr="004C69C2">
        <w:t xml:space="preserve"> and Czech legislation </w:t>
      </w:r>
      <w:r>
        <w:t>are</w:t>
      </w:r>
      <w:r w:rsidRPr="004C69C2">
        <w:t xml:space="preserve"> not aligned with it yet. Currently, the Ministry </w:t>
      </w:r>
      <w:r>
        <w:t xml:space="preserve">aims at </w:t>
      </w:r>
      <w:r w:rsidRPr="004C69C2">
        <w:t>defin</w:t>
      </w:r>
      <w:r>
        <w:t>ing</w:t>
      </w:r>
      <w:r w:rsidRPr="004C69C2">
        <w:t xml:space="preserve"> common recommendations for integrating </w:t>
      </w:r>
      <w:r>
        <w:t xml:space="preserve">the DNSH principle and CP principles </w:t>
      </w:r>
      <w:r w:rsidRPr="004C69C2">
        <w:t xml:space="preserve">in </w:t>
      </w:r>
      <w:r>
        <w:t xml:space="preserve">Czech </w:t>
      </w:r>
      <w:r w:rsidRPr="004C69C2">
        <w:t xml:space="preserve">legislation. </w:t>
      </w:r>
    </w:p>
    <w:p w14:paraId="544FF8A7" w14:textId="77777777" w:rsidR="00C52545" w:rsidRPr="004C69C2" w:rsidRDefault="00C52545" w:rsidP="00C52545">
      <w:pPr>
        <w:rPr>
          <w:rFonts w:eastAsia="Calibri" w:cs="Arial"/>
        </w:rPr>
      </w:pPr>
      <w:r>
        <w:rPr>
          <w:rFonts w:eastAsia="Calibri" w:cs="Arial"/>
        </w:rPr>
        <w:t>O</w:t>
      </w:r>
      <w:r w:rsidRPr="004C69C2">
        <w:rPr>
          <w:rFonts w:eastAsia="Calibri" w:cs="Arial"/>
        </w:rPr>
        <w:t>verlap</w:t>
      </w:r>
      <w:r>
        <w:rPr>
          <w:rFonts w:eastAsia="Calibri" w:cs="Arial"/>
        </w:rPr>
        <w:t>s</w:t>
      </w:r>
      <w:r w:rsidRPr="004C69C2">
        <w:rPr>
          <w:rFonts w:eastAsia="Calibri" w:cs="Arial"/>
        </w:rPr>
        <w:t xml:space="preserve"> between C</w:t>
      </w:r>
      <w:r>
        <w:rPr>
          <w:rFonts w:eastAsia="Calibri" w:cs="Arial"/>
        </w:rPr>
        <w:t>ohesion Policy funds</w:t>
      </w:r>
      <w:r w:rsidRPr="004C69C2">
        <w:rPr>
          <w:rFonts w:eastAsia="Calibri" w:cs="Arial"/>
        </w:rPr>
        <w:t xml:space="preserve">, RRF and InvestEU </w:t>
      </w:r>
      <w:r>
        <w:rPr>
          <w:rFonts w:eastAsia="Calibri" w:cs="Arial"/>
        </w:rPr>
        <w:t>slow down the integration process.</w:t>
      </w:r>
    </w:p>
    <w:p w14:paraId="1B030553" w14:textId="77777777" w:rsidR="00C52545" w:rsidRPr="004C69C2" w:rsidRDefault="00C52545" w:rsidP="00C52545">
      <w:pPr>
        <w:rPr>
          <w:rFonts w:eastAsia="Calibri" w:cs="Arial"/>
        </w:rPr>
      </w:pPr>
    </w:p>
    <w:p w14:paraId="5DEFEEC8"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07" w:name="_Toc127978731"/>
      <w:bookmarkStart w:id="108" w:name="_Toc131757480"/>
      <w:bookmarkStart w:id="109" w:name="_Toc131775873"/>
      <w:r w:rsidRPr="004C69C2">
        <w:rPr>
          <w:rFonts w:eastAsia="Calibri" w:cs="Arial"/>
          <w:b/>
          <w:i/>
          <w:color w:val="F04E30"/>
          <w:lang w:val="en-GB"/>
        </w:rPr>
        <w:t>Presentation of the governance system</w:t>
      </w:r>
      <w:bookmarkEnd w:id="107"/>
      <w:bookmarkEnd w:id="108"/>
      <w:bookmarkEnd w:id="109"/>
    </w:p>
    <w:p w14:paraId="58A8603F" w14:textId="77777777" w:rsidR="00C52545" w:rsidRPr="004C69C2" w:rsidRDefault="00C52545" w:rsidP="00C52545">
      <w:pPr>
        <w:rPr>
          <w:rFonts w:eastAsia="Calibri" w:cs="Arial"/>
        </w:rPr>
      </w:pPr>
      <w:r w:rsidRPr="004C69C2">
        <w:rPr>
          <w:rFonts w:eastAsia="Calibri" w:cs="Arial"/>
        </w:rPr>
        <w:t xml:space="preserve">The governance of DNSH is decentralized in Czechia. Responsibilities fall under the managing authorities. This makes the structure complex. Managing authorities </w:t>
      </w:r>
      <w:r>
        <w:rPr>
          <w:rFonts w:eastAsia="Calibri" w:cs="Arial"/>
        </w:rPr>
        <w:t xml:space="preserve">must </w:t>
      </w:r>
      <w:r w:rsidRPr="004C69C2">
        <w:rPr>
          <w:rFonts w:eastAsia="Calibri" w:cs="Arial"/>
        </w:rPr>
        <w:t xml:space="preserve">conduct both DNSH </w:t>
      </w:r>
      <w:r>
        <w:rPr>
          <w:rFonts w:eastAsia="Calibri" w:cs="Arial"/>
        </w:rPr>
        <w:t xml:space="preserve">assessments </w:t>
      </w:r>
      <w:r w:rsidRPr="004C69C2">
        <w:rPr>
          <w:rFonts w:eastAsia="Calibri" w:cs="Arial"/>
        </w:rPr>
        <w:t xml:space="preserve">and </w:t>
      </w:r>
      <w:r>
        <w:rPr>
          <w:rFonts w:eastAsia="Calibri" w:cs="Arial"/>
        </w:rPr>
        <w:t>-</w:t>
      </w:r>
      <w:r w:rsidRPr="004C69C2">
        <w:rPr>
          <w:rFonts w:eastAsia="Calibri" w:cs="Arial"/>
        </w:rPr>
        <w:t xml:space="preserve">where </w:t>
      </w:r>
      <w:r>
        <w:rPr>
          <w:rFonts w:eastAsia="Calibri" w:cs="Arial"/>
        </w:rPr>
        <w:t>applicable-</w:t>
      </w:r>
      <w:r w:rsidRPr="004C69C2">
        <w:rPr>
          <w:rFonts w:eastAsia="Calibri" w:cs="Arial"/>
        </w:rPr>
        <w:t xml:space="preserve"> </w:t>
      </w:r>
      <w:r>
        <w:rPr>
          <w:rFonts w:eastAsia="Calibri" w:cs="Arial"/>
        </w:rPr>
        <w:t>CP at</w:t>
      </w:r>
      <w:r w:rsidRPr="004C69C2">
        <w:rPr>
          <w:rFonts w:eastAsia="Calibri" w:cs="Arial"/>
        </w:rPr>
        <w:t xml:space="preserve"> the level of calls or </w:t>
      </w:r>
      <w:r>
        <w:rPr>
          <w:rFonts w:eastAsia="Calibri" w:cs="Arial"/>
        </w:rPr>
        <w:t xml:space="preserve">at a </w:t>
      </w:r>
      <w:r w:rsidRPr="004C69C2">
        <w:rPr>
          <w:rFonts w:eastAsia="Calibri" w:cs="Arial"/>
        </w:rPr>
        <w:t>higher</w:t>
      </w:r>
      <w:r>
        <w:rPr>
          <w:rFonts w:eastAsia="Calibri" w:cs="Arial"/>
        </w:rPr>
        <w:t>, more</w:t>
      </w:r>
      <w:r w:rsidRPr="004C69C2">
        <w:rPr>
          <w:rFonts w:eastAsia="Calibri" w:cs="Arial"/>
        </w:rPr>
        <w:t xml:space="preserve"> strategic level. </w:t>
      </w:r>
      <w:r>
        <w:rPr>
          <w:rFonts w:eastAsia="Calibri" w:cs="Arial"/>
        </w:rPr>
        <w:t>A</w:t>
      </w:r>
      <w:r w:rsidRPr="004C69C2">
        <w:rPr>
          <w:rFonts w:eastAsia="Calibri" w:cs="Arial"/>
        </w:rPr>
        <w:t xml:space="preserve">pplicants </w:t>
      </w:r>
      <w:r>
        <w:rPr>
          <w:rFonts w:eastAsia="Calibri" w:cs="Arial"/>
        </w:rPr>
        <w:t xml:space="preserve">are </w:t>
      </w:r>
      <w:r w:rsidRPr="004C69C2">
        <w:rPr>
          <w:rFonts w:eastAsia="Calibri" w:cs="Arial"/>
        </w:rPr>
        <w:t>informed with concrete technical requirements to be implemented in the</w:t>
      </w:r>
      <w:r>
        <w:rPr>
          <w:rFonts w:eastAsia="Calibri" w:cs="Arial"/>
        </w:rPr>
        <w:t>ir</w:t>
      </w:r>
      <w:r w:rsidRPr="004C69C2">
        <w:rPr>
          <w:rFonts w:eastAsia="Calibri" w:cs="Arial"/>
        </w:rPr>
        <w:t xml:space="preserve"> projects. </w:t>
      </w:r>
      <w:r>
        <w:rPr>
          <w:rFonts w:eastAsia="Calibri" w:cs="Arial"/>
        </w:rPr>
        <w:t>Currently, the l</w:t>
      </w:r>
      <w:r w:rsidRPr="004C69C2">
        <w:rPr>
          <w:rFonts w:eastAsia="Calibri" w:cs="Arial"/>
        </w:rPr>
        <w:t xml:space="preserve">ist of requirements is </w:t>
      </w:r>
      <w:r>
        <w:rPr>
          <w:rFonts w:eastAsia="Calibri" w:cs="Arial"/>
        </w:rPr>
        <w:t>insufficient to comply with the DNSH principle</w:t>
      </w:r>
      <w:r w:rsidRPr="004C69C2">
        <w:rPr>
          <w:rFonts w:eastAsia="Calibri" w:cs="Arial"/>
        </w:rPr>
        <w:t xml:space="preserve">. </w:t>
      </w:r>
    </w:p>
    <w:p w14:paraId="4E8138D0" w14:textId="77777777" w:rsidR="00C52545" w:rsidRPr="004C69C2" w:rsidRDefault="00C52545" w:rsidP="00C52545">
      <w:pPr>
        <w:rPr>
          <w:rFonts w:eastAsia="Calibri" w:cs="Arial"/>
        </w:rPr>
      </w:pPr>
    </w:p>
    <w:p w14:paraId="4E6D5AEE" w14:textId="77777777" w:rsidR="00C52545" w:rsidRPr="004C69C2" w:rsidRDefault="00C52545" w:rsidP="00C52545">
      <w:pPr>
        <w:rPr>
          <w:rFonts w:eastAsia="Calibri" w:cs="Arial"/>
        </w:rPr>
      </w:pPr>
      <w:r>
        <w:rPr>
          <w:rFonts w:eastAsia="Calibri" w:cs="Arial"/>
        </w:rPr>
        <w:lastRenderedPageBreak/>
        <w:t>The Ministry of Environment’s</w:t>
      </w:r>
      <w:r w:rsidRPr="004C69C2">
        <w:rPr>
          <w:rFonts w:eastAsia="Calibri" w:cs="Arial"/>
        </w:rPr>
        <w:t xml:space="preserve"> procedural DNSH methodological guidance for RRF include:</w:t>
      </w:r>
    </w:p>
    <w:p w14:paraId="54462E5B" w14:textId="77777777" w:rsidR="00C52545" w:rsidRPr="004C69C2" w:rsidRDefault="00C52545" w:rsidP="00C52545">
      <w:pPr>
        <w:pStyle w:val="lp11"/>
        <w:numPr>
          <w:ilvl w:val="0"/>
          <w:numId w:val="52"/>
        </w:numPr>
      </w:pPr>
      <w:r w:rsidRPr="004C69C2">
        <w:rPr>
          <w:b/>
          <w:bCs/>
        </w:rPr>
        <w:t>Assessment phase</w:t>
      </w:r>
      <w:r w:rsidRPr="004C69C2">
        <w:t xml:space="preserve">: DNSH self-assessment </w:t>
      </w:r>
      <w:r>
        <w:t>at</w:t>
      </w:r>
      <w:r w:rsidRPr="004C69C2">
        <w:t xml:space="preserve"> the level of the </w:t>
      </w:r>
      <w:r>
        <w:t xml:space="preserve">programme </w:t>
      </w:r>
      <w:r w:rsidRPr="004C69C2">
        <w:t xml:space="preserve">component and negotiation with </w:t>
      </w:r>
      <w:r>
        <w:t xml:space="preserve">the </w:t>
      </w:r>
      <w:r w:rsidRPr="004C69C2">
        <w:t>EC</w:t>
      </w:r>
      <w:r>
        <w:t>;</w:t>
      </w:r>
    </w:p>
    <w:p w14:paraId="236D475B" w14:textId="77777777" w:rsidR="00C52545" w:rsidRPr="004C69C2" w:rsidRDefault="00C52545" w:rsidP="00C52545">
      <w:pPr>
        <w:pStyle w:val="lp11"/>
        <w:numPr>
          <w:ilvl w:val="0"/>
          <w:numId w:val="52"/>
        </w:numPr>
      </w:pPr>
      <w:r w:rsidRPr="004C69C2">
        <w:rPr>
          <w:b/>
          <w:bCs/>
        </w:rPr>
        <w:t>Identification phase:</w:t>
      </w:r>
      <w:r w:rsidRPr="004C69C2">
        <w:t xml:space="preserve"> </w:t>
      </w:r>
      <w:r>
        <w:t xml:space="preserve">based on the </w:t>
      </w:r>
      <w:r w:rsidRPr="004C69C2">
        <w:t xml:space="preserve">CID, </w:t>
      </w:r>
      <w:r>
        <w:t xml:space="preserve">on </w:t>
      </w:r>
      <w:r w:rsidRPr="004C69C2">
        <w:t>operational agreement</w:t>
      </w:r>
      <w:r>
        <w:t>s</w:t>
      </w:r>
      <w:r w:rsidRPr="004C69C2">
        <w:t xml:space="preserve">, </w:t>
      </w:r>
      <w:r>
        <w:t xml:space="preserve">and on </w:t>
      </w:r>
      <w:r w:rsidRPr="004C69C2">
        <w:t>national documentation</w:t>
      </w:r>
      <w:r>
        <w:t>;</w:t>
      </w:r>
    </w:p>
    <w:p w14:paraId="32572FEC" w14:textId="77777777" w:rsidR="00C52545" w:rsidRPr="004C69C2" w:rsidRDefault="00C52545" w:rsidP="00C52545">
      <w:pPr>
        <w:pStyle w:val="lp11"/>
        <w:numPr>
          <w:ilvl w:val="0"/>
          <w:numId w:val="52"/>
        </w:numPr>
      </w:pPr>
      <w:r w:rsidRPr="004C69C2">
        <w:rPr>
          <w:b/>
          <w:bCs/>
        </w:rPr>
        <w:t>Implementation phase:</w:t>
      </w:r>
      <w:r w:rsidRPr="004C69C2">
        <w:t xml:space="preserve"> administration of grants and public procurement</w:t>
      </w:r>
      <w:r>
        <w:t>;</w:t>
      </w:r>
    </w:p>
    <w:p w14:paraId="55D63D9C" w14:textId="77777777" w:rsidR="00C52545" w:rsidRPr="00CD5AAD" w:rsidRDefault="00C52545" w:rsidP="00C52545">
      <w:pPr>
        <w:pStyle w:val="lp11"/>
        <w:numPr>
          <w:ilvl w:val="0"/>
          <w:numId w:val="52"/>
        </w:numPr>
      </w:pPr>
      <w:r w:rsidRPr="004C69C2">
        <w:rPr>
          <w:b/>
          <w:bCs/>
        </w:rPr>
        <w:t>Ex-post monitoring</w:t>
      </w:r>
      <w:r>
        <w:rPr>
          <w:b/>
          <w:bCs/>
        </w:rPr>
        <w:t>,</w:t>
      </w:r>
      <w:r w:rsidRPr="004C69C2">
        <w:t xml:space="preserve"> before </w:t>
      </w:r>
      <w:r>
        <w:t xml:space="preserve">the </w:t>
      </w:r>
      <w:r w:rsidRPr="004C69C2">
        <w:t>payment request</w:t>
      </w:r>
      <w:r>
        <w:t>s</w:t>
      </w:r>
      <w:r w:rsidRPr="004C69C2">
        <w:t xml:space="preserve"> </w:t>
      </w:r>
      <w:r>
        <w:t>are submitted to the</w:t>
      </w:r>
      <w:r w:rsidRPr="004C69C2">
        <w:t xml:space="preserve"> EC</w:t>
      </w:r>
      <w:r>
        <w:t>.</w:t>
      </w:r>
    </w:p>
    <w:p w14:paraId="17067173" w14:textId="77777777" w:rsidR="00C52545" w:rsidRPr="004C69C2" w:rsidRDefault="00C52545" w:rsidP="00C52545">
      <w:pPr>
        <w:rPr>
          <w:rFonts w:eastAsia="Calibri" w:cs="Arial"/>
        </w:rPr>
      </w:pPr>
      <w:r w:rsidRPr="004C69C2">
        <w:rPr>
          <w:rFonts w:eastAsia="Calibri" w:cs="Arial"/>
        </w:rPr>
        <w:t>The Ministry of Industry and Trade coordinates the process</w:t>
      </w:r>
      <w:r>
        <w:rPr>
          <w:rFonts w:eastAsia="Calibri" w:cs="Arial"/>
        </w:rPr>
        <w:t xml:space="preserve"> and formalizes t</w:t>
      </w:r>
      <w:r w:rsidRPr="004C69C2">
        <w:rPr>
          <w:rFonts w:eastAsia="Calibri" w:cs="Arial"/>
        </w:rPr>
        <w:t xml:space="preserve">he steps of </w:t>
      </w:r>
      <w:r>
        <w:rPr>
          <w:rFonts w:eastAsia="Calibri" w:cs="Arial"/>
        </w:rPr>
        <w:t xml:space="preserve">the </w:t>
      </w:r>
      <w:r w:rsidRPr="004C69C2">
        <w:rPr>
          <w:rFonts w:eastAsia="Calibri" w:cs="Arial"/>
        </w:rPr>
        <w:t xml:space="preserve">DNSH </w:t>
      </w:r>
      <w:r>
        <w:rPr>
          <w:rFonts w:eastAsia="Calibri" w:cs="Arial"/>
        </w:rPr>
        <w:t xml:space="preserve">implementation </w:t>
      </w:r>
      <w:r w:rsidRPr="004C69C2">
        <w:rPr>
          <w:rFonts w:eastAsia="Calibri" w:cs="Arial"/>
        </w:rPr>
        <w:t xml:space="preserve">cycle. </w:t>
      </w:r>
      <w:r>
        <w:rPr>
          <w:rFonts w:eastAsia="Calibri" w:cs="Arial"/>
        </w:rPr>
        <w:t>A</w:t>
      </w:r>
      <w:r w:rsidRPr="004C69C2">
        <w:rPr>
          <w:rFonts w:eastAsia="Calibri" w:cs="Arial"/>
        </w:rPr>
        <w:t xml:space="preserve">d hoc consultations </w:t>
      </w:r>
      <w:r>
        <w:rPr>
          <w:rFonts w:eastAsia="Calibri" w:cs="Arial"/>
        </w:rPr>
        <w:t xml:space="preserve">are also being conducted </w:t>
      </w:r>
      <w:r w:rsidRPr="004C69C2">
        <w:rPr>
          <w:rFonts w:eastAsia="Calibri" w:cs="Arial"/>
        </w:rPr>
        <w:t>with the Ministry of Environment.</w:t>
      </w:r>
    </w:p>
    <w:p w14:paraId="6D3B1234" w14:textId="77777777" w:rsidR="00C52545" w:rsidRDefault="00C52545" w:rsidP="00C52545">
      <w:pPr>
        <w:rPr>
          <w:rFonts w:eastAsia="Calibri" w:cs="Arial"/>
          <w:lang w:val="en-GB"/>
        </w:rPr>
      </w:pPr>
      <w:r>
        <w:rPr>
          <w:rFonts w:eastAsia="Calibri" w:cs="Arial"/>
        </w:rPr>
        <w:t xml:space="preserve">With regard to Cohesion Policy funds, a simplified one-phase approach is preferred for </w:t>
      </w:r>
      <w:r w:rsidRPr="004C69C2">
        <w:rPr>
          <w:rFonts w:eastAsia="Calibri" w:cs="Arial"/>
          <w:lang w:val="en-GB"/>
        </w:rPr>
        <w:t xml:space="preserve">each programme. </w:t>
      </w:r>
    </w:p>
    <w:p w14:paraId="0E365565" w14:textId="77777777" w:rsidR="00C52545" w:rsidRPr="004C69C2" w:rsidRDefault="00C52545" w:rsidP="00C52545">
      <w:pPr>
        <w:rPr>
          <w:rFonts w:eastAsia="Calibri" w:cs="Arial"/>
          <w:lang w:val="en-GB"/>
        </w:rPr>
      </w:pPr>
      <w:r>
        <w:rPr>
          <w:rFonts w:eastAsia="Calibri" w:cs="Arial"/>
          <w:lang w:val="en-GB"/>
        </w:rPr>
        <w:t>The implementation phase consists in the administration of grants.</w:t>
      </w:r>
    </w:p>
    <w:p w14:paraId="5576CAF2" w14:textId="77777777" w:rsidR="00C52545" w:rsidRDefault="00C52545" w:rsidP="00C52545">
      <w:pPr>
        <w:rPr>
          <w:rFonts w:eastAsia="Calibri" w:cs="Arial"/>
          <w:lang w:val="en-GB"/>
        </w:rPr>
      </w:pPr>
    </w:p>
    <w:p w14:paraId="49549C27" w14:textId="77777777" w:rsidR="00C52545" w:rsidRPr="004C69C2" w:rsidRDefault="00C52545" w:rsidP="00C52545">
      <w:pPr>
        <w:rPr>
          <w:rFonts w:eastAsia="Calibri" w:cs="Arial"/>
        </w:rPr>
      </w:pPr>
      <w:r w:rsidRPr="004C69C2">
        <w:rPr>
          <w:rFonts w:eastAsia="Calibri" w:cs="Arial"/>
        </w:rPr>
        <w:t xml:space="preserve">The </w:t>
      </w:r>
      <w:r>
        <w:rPr>
          <w:rFonts w:eastAsia="Calibri" w:cs="Arial"/>
        </w:rPr>
        <w:t xml:space="preserve">EC </w:t>
      </w:r>
      <w:r w:rsidRPr="004C69C2">
        <w:rPr>
          <w:rFonts w:eastAsia="Calibri" w:cs="Arial"/>
        </w:rPr>
        <w:t xml:space="preserve">validated the approach in each programme through a monitoring committee. </w:t>
      </w:r>
      <w:r>
        <w:rPr>
          <w:rFonts w:eastAsia="Calibri" w:cs="Arial"/>
        </w:rPr>
        <w:t>It will be gradually refined based on the feedback of managing authorities (mainly Ministries). It is worthy to note that the r</w:t>
      </w:r>
      <w:r w:rsidRPr="004C69C2">
        <w:rPr>
          <w:rFonts w:eastAsia="Calibri" w:cs="Arial"/>
        </w:rPr>
        <w:t xml:space="preserve">ecommendations developed </w:t>
      </w:r>
      <w:r>
        <w:rPr>
          <w:rFonts w:eastAsia="Calibri" w:cs="Arial"/>
        </w:rPr>
        <w:t xml:space="preserve">in the guidelines </w:t>
      </w:r>
      <w:r w:rsidRPr="004C69C2">
        <w:rPr>
          <w:rFonts w:eastAsia="Calibri" w:cs="Arial"/>
        </w:rPr>
        <w:t xml:space="preserve">are </w:t>
      </w:r>
      <w:r>
        <w:rPr>
          <w:rFonts w:eastAsia="Calibri" w:cs="Arial"/>
        </w:rPr>
        <w:t xml:space="preserve">currently </w:t>
      </w:r>
      <w:r w:rsidRPr="004C69C2">
        <w:rPr>
          <w:rFonts w:eastAsia="Calibri" w:cs="Arial"/>
        </w:rPr>
        <w:t>optional</w:t>
      </w:r>
      <w:r>
        <w:rPr>
          <w:rFonts w:eastAsia="Calibri" w:cs="Arial"/>
        </w:rPr>
        <w:t>.</w:t>
      </w:r>
    </w:p>
    <w:p w14:paraId="4DF74FC5" w14:textId="77777777" w:rsidR="00C52545" w:rsidRPr="004C69C2" w:rsidRDefault="00C52545" w:rsidP="00C52545">
      <w:pPr>
        <w:rPr>
          <w:rFonts w:eastAsia="Calibri" w:cs="Arial"/>
        </w:rPr>
      </w:pPr>
    </w:p>
    <w:p w14:paraId="23BC1CF9"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10" w:name="_Toc127978732"/>
      <w:bookmarkStart w:id="111" w:name="_Toc131757481"/>
      <w:bookmarkStart w:id="112" w:name="_Toc131775874"/>
      <w:r w:rsidRPr="004C69C2">
        <w:rPr>
          <w:rFonts w:eastAsia="Calibri" w:cs="Arial"/>
          <w:b/>
          <w:i/>
          <w:color w:val="F04E30"/>
          <w:lang w:val="en-GB"/>
        </w:rPr>
        <w:t>Lessons learned</w:t>
      </w:r>
      <w:bookmarkEnd w:id="110"/>
      <w:bookmarkEnd w:id="111"/>
      <w:bookmarkEnd w:id="112"/>
    </w:p>
    <w:p w14:paraId="02B03F39" w14:textId="77777777" w:rsidR="00C52545" w:rsidRDefault="00C52545" w:rsidP="00C52545">
      <w:pPr>
        <w:pStyle w:val="lp11"/>
        <w:ind w:left="567" w:firstLine="0"/>
      </w:pPr>
      <w:r>
        <w:t>A number of lessons learnt can be raised:</w:t>
      </w:r>
    </w:p>
    <w:p w14:paraId="3E761B1D" w14:textId="77777777" w:rsidR="00C52545" w:rsidRPr="004C69C2" w:rsidRDefault="00C52545" w:rsidP="00C52545">
      <w:pPr>
        <w:pStyle w:val="lp11"/>
        <w:numPr>
          <w:ilvl w:val="0"/>
          <w:numId w:val="8"/>
        </w:numPr>
      </w:pPr>
      <w:r w:rsidRPr="004C69C2">
        <w:t>Applicant</w:t>
      </w:r>
      <w:r>
        <w:t>s</w:t>
      </w:r>
      <w:r w:rsidRPr="004C69C2">
        <w:t xml:space="preserve"> should not have </w:t>
      </w:r>
      <w:r>
        <w:t xml:space="preserve">to carry alone </w:t>
      </w:r>
      <w:r w:rsidRPr="004C69C2">
        <w:t>the burden associated with DNSH assessment</w:t>
      </w:r>
      <w:r>
        <w:t>s</w:t>
      </w:r>
      <w:r w:rsidRPr="004C69C2">
        <w:t>;</w:t>
      </w:r>
    </w:p>
    <w:p w14:paraId="53FB0439" w14:textId="77777777" w:rsidR="00C52545" w:rsidRPr="004C69C2" w:rsidRDefault="00C52545" w:rsidP="00C52545">
      <w:pPr>
        <w:pStyle w:val="lp11"/>
        <w:numPr>
          <w:ilvl w:val="0"/>
          <w:numId w:val="8"/>
        </w:numPr>
      </w:pPr>
      <w:r w:rsidRPr="004C69C2">
        <w:t>Flexibility is essential because the objectives of the programs can change with time</w:t>
      </w:r>
      <w:r>
        <w:t>.</w:t>
      </w:r>
      <w:r w:rsidRPr="004C69C2">
        <w:t xml:space="preserve"> Therefore, very specific recommendations could become outdated fast</w:t>
      </w:r>
      <w:r>
        <w:t xml:space="preserve"> if they are not future proofed</w:t>
      </w:r>
      <w:r w:rsidRPr="004C69C2">
        <w:t>;</w:t>
      </w:r>
    </w:p>
    <w:p w14:paraId="5FDDE3A2" w14:textId="77777777" w:rsidR="00C52545" w:rsidRPr="004C69C2" w:rsidRDefault="00C52545" w:rsidP="00C52545">
      <w:pPr>
        <w:pStyle w:val="lp11"/>
        <w:numPr>
          <w:ilvl w:val="0"/>
          <w:numId w:val="8"/>
        </w:numPr>
      </w:pPr>
      <w:r w:rsidRPr="004C69C2">
        <w:t xml:space="preserve">The bonification of environmental ambition can be a </w:t>
      </w:r>
      <w:r>
        <w:t>useful tool to hinder complex DNSH assessments</w:t>
      </w:r>
      <w:r w:rsidRPr="004C69C2">
        <w:t>;</w:t>
      </w:r>
    </w:p>
    <w:p w14:paraId="5E72B164" w14:textId="77777777" w:rsidR="00C52545" w:rsidRPr="004C69C2" w:rsidRDefault="00C52545" w:rsidP="00C52545">
      <w:pPr>
        <w:pStyle w:val="lp11"/>
        <w:numPr>
          <w:ilvl w:val="0"/>
          <w:numId w:val="8"/>
        </w:numPr>
      </w:pPr>
      <w:r w:rsidRPr="004C69C2">
        <w:t>There is lack of aggregated data and enabling IT tools;</w:t>
      </w:r>
    </w:p>
    <w:p w14:paraId="710C269C" w14:textId="77777777" w:rsidR="00C52545" w:rsidRPr="004C69C2" w:rsidRDefault="00C52545" w:rsidP="00C52545">
      <w:pPr>
        <w:pStyle w:val="lp11"/>
        <w:numPr>
          <w:ilvl w:val="0"/>
          <w:numId w:val="8"/>
        </w:numPr>
      </w:pPr>
      <w:r w:rsidRPr="004C69C2">
        <w:t>Concrete criteria for construction, renovation and purchases is needed.</w:t>
      </w:r>
    </w:p>
    <w:p w14:paraId="7A323457" w14:textId="77777777" w:rsidR="00C52545" w:rsidRPr="004C69C2" w:rsidRDefault="00C52545" w:rsidP="00C52545">
      <w:pPr>
        <w:rPr>
          <w:rFonts w:eastAsia="Calibri" w:cs="Arial"/>
        </w:rPr>
      </w:pPr>
    </w:p>
    <w:p w14:paraId="730EEF9A" w14:textId="77777777" w:rsidR="00C52545" w:rsidRPr="004C69C2" w:rsidRDefault="00C52545" w:rsidP="007608BA">
      <w:pPr>
        <w:pStyle w:val="Nadpis2"/>
        <w:numPr>
          <w:ilvl w:val="0"/>
          <w:numId w:val="0"/>
        </w:numPr>
        <w:ind w:left="567"/>
      </w:pPr>
      <w:bookmarkStart w:id="113" w:name="_Toc127978733"/>
      <w:bookmarkStart w:id="114" w:name="_Toc131757482"/>
      <w:bookmarkStart w:id="115" w:name="_Toc131775875"/>
      <w:r w:rsidRPr="004C69C2">
        <w:t>Luc</w:t>
      </w:r>
      <w:bookmarkStart w:id="116" w:name="_Hlk131678190"/>
      <w:r w:rsidRPr="004C69C2">
        <w:t>í</w:t>
      </w:r>
      <w:bookmarkEnd w:id="116"/>
      <w:r w:rsidRPr="004C69C2">
        <w:t xml:space="preserve">a Cobo - </w:t>
      </w:r>
      <w:bookmarkStart w:id="117" w:name="_Hlk131678333"/>
      <w:r w:rsidRPr="004C69C2">
        <w:t xml:space="preserve">Ministry of the Ecological Transition and the Demographic Challenge </w:t>
      </w:r>
      <w:bookmarkEnd w:id="117"/>
      <w:r w:rsidRPr="004C69C2">
        <w:t>(Spain)</w:t>
      </w:r>
      <w:bookmarkEnd w:id="113"/>
      <w:bookmarkEnd w:id="114"/>
      <w:bookmarkEnd w:id="115"/>
    </w:p>
    <w:p w14:paraId="1F0AECD8"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18" w:name="_Toc127978734"/>
      <w:bookmarkStart w:id="119" w:name="_Toc131757483"/>
      <w:bookmarkStart w:id="120" w:name="_Toc131775876"/>
      <w:r w:rsidRPr="004C69C2">
        <w:rPr>
          <w:rFonts w:eastAsia="Calibri" w:cs="Arial"/>
          <w:b/>
          <w:i/>
          <w:color w:val="F04E30"/>
          <w:lang w:val="en-GB"/>
        </w:rPr>
        <w:t>Context</w:t>
      </w:r>
      <w:bookmarkEnd w:id="118"/>
      <w:bookmarkEnd w:id="119"/>
      <w:bookmarkEnd w:id="120"/>
    </w:p>
    <w:p w14:paraId="012CE4BA" w14:textId="77777777" w:rsidR="00C52545" w:rsidRPr="004C69C2" w:rsidRDefault="00C52545" w:rsidP="00C52545">
      <w:pPr>
        <w:rPr>
          <w:rFonts w:eastAsia="Calibri" w:cs="Arial"/>
          <w:lang w:val="en-GB"/>
        </w:rPr>
      </w:pPr>
      <w:r w:rsidRPr="004C69C2">
        <w:rPr>
          <w:rFonts w:eastAsia="Calibri" w:cs="Arial"/>
          <w:lang w:val="en-GB"/>
        </w:rPr>
        <w:t xml:space="preserve">Spain is a major recipient </w:t>
      </w:r>
      <w:r>
        <w:rPr>
          <w:rFonts w:eastAsia="Calibri" w:cs="Arial"/>
          <w:lang w:val="en-GB"/>
        </w:rPr>
        <w:t xml:space="preserve">of the RRF, and will receive over </w:t>
      </w:r>
      <w:r w:rsidRPr="004C69C2">
        <w:rPr>
          <w:rFonts w:eastAsia="Calibri" w:cs="Arial"/>
          <w:lang w:val="en-GB"/>
        </w:rPr>
        <w:t>69 billion euros</w:t>
      </w:r>
      <w:r>
        <w:rPr>
          <w:rFonts w:eastAsia="Calibri" w:cs="Arial"/>
          <w:lang w:val="en-GB"/>
        </w:rPr>
        <w:t xml:space="preserve"> (taking into account </w:t>
      </w:r>
      <w:r w:rsidRPr="004C69C2">
        <w:rPr>
          <w:rFonts w:eastAsia="Calibri" w:cs="Arial"/>
          <w:lang w:val="en-GB"/>
        </w:rPr>
        <w:t xml:space="preserve">the 2022 update). The Spanish </w:t>
      </w:r>
      <w:r>
        <w:rPr>
          <w:rFonts w:eastAsia="Calibri" w:cs="Arial"/>
          <w:lang w:val="en-GB"/>
        </w:rPr>
        <w:t xml:space="preserve">RRP </w:t>
      </w:r>
      <w:r w:rsidRPr="004C69C2">
        <w:rPr>
          <w:rFonts w:eastAsia="Calibri" w:cs="Arial"/>
          <w:lang w:val="en-GB"/>
        </w:rPr>
        <w:t xml:space="preserve">will also be enhanced by investments through loans and RePowerEU. The Plan contains 10 lever policies, including 30 components covering the measures. The </w:t>
      </w:r>
      <w:r>
        <w:rPr>
          <w:rFonts w:eastAsia="Calibri" w:cs="Arial"/>
          <w:lang w:val="en-GB"/>
        </w:rPr>
        <w:t>DNSH team represented by Luc</w:t>
      </w:r>
      <w:r w:rsidRPr="00217E43">
        <w:rPr>
          <w:rFonts w:eastAsia="Calibri" w:cs="Arial"/>
          <w:lang w:val="en-GB"/>
        </w:rPr>
        <w:t>í</w:t>
      </w:r>
      <w:r>
        <w:rPr>
          <w:rFonts w:eastAsia="Calibri" w:cs="Arial"/>
          <w:lang w:val="en-GB"/>
        </w:rPr>
        <w:t xml:space="preserve">a Cobo </w:t>
      </w:r>
      <w:r w:rsidRPr="004C69C2">
        <w:rPr>
          <w:rFonts w:eastAsia="Calibri" w:cs="Arial"/>
          <w:lang w:val="en-GB"/>
        </w:rPr>
        <w:t>team manages 10 of these components</w:t>
      </w:r>
      <w:r>
        <w:rPr>
          <w:rFonts w:eastAsia="Calibri" w:cs="Arial"/>
          <w:lang w:val="en-GB"/>
        </w:rPr>
        <w:t>. They</w:t>
      </w:r>
      <w:r w:rsidRPr="004C69C2">
        <w:rPr>
          <w:rFonts w:eastAsia="Calibri" w:cs="Arial"/>
          <w:lang w:val="en-GB"/>
        </w:rPr>
        <w:t xml:space="preserve"> relate to environment and energy policies (21% of the Plan’s value).</w:t>
      </w:r>
    </w:p>
    <w:p w14:paraId="324F6746" w14:textId="77777777" w:rsidR="00C52545" w:rsidRPr="004C69C2" w:rsidRDefault="00C52545" w:rsidP="00C52545">
      <w:pPr>
        <w:rPr>
          <w:rFonts w:eastAsia="Calibri" w:cs="Arial"/>
          <w:lang w:val="en-GB"/>
        </w:rPr>
      </w:pPr>
    </w:p>
    <w:p w14:paraId="2B39A8A5"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21" w:name="_Toc127978735"/>
      <w:bookmarkStart w:id="122" w:name="_Toc131757484"/>
      <w:bookmarkStart w:id="123" w:name="_Toc131775877"/>
      <w:r w:rsidRPr="004C69C2">
        <w:rPr>
          <w:rFonts w:eastAsia="Calibri" w:cs="Arial"/>
          <w:b/>
          <w:i/>
          <w:color w:val="F04E30"/>
          <w:lang w:val="en-GB"/>
        </w:rPr>
        <w:t>Presentation of the governance system</w:t>
      </w:r>
      <w:bookmarkEnd w:id="121"/>
      <w:bookmarkEnd w:id="122"/>
      <w:bookmarkEnd w:id="123"/>
    </w:p>
    <w:p w14:paraId="5E079A78" w14:textId="77777777" w:rsidR="00C52545" w:rsidRPr="004C69C2" w:rsidRDefault="00C52545" w:rsidP="00C52545">
      <w:pPr>
        <w:rPr>
          <w:rFonts w:eastAsia="Calibri" w:cs="Arial"/>
          <w:lang w:val="en-GB"/>
        </w:rPr>
      </w:pPr>
      <w:r w:rsidRPr="004C69C2">
        <w:rPr>
          <w:rFonts w:eastAsia="Calibri" w:cs="Arial"/>
          <w:lang w:val="en-GB"/>
        </w:rPr>
        <w:t>The Plan is challenging</w:t>
      </w:r>
      <w:r>
        <w:rPr>
          <w:rFonts w:eastAsia="Calibri" w:cs="Arial"/>
          <w:lang w:val="en-GB"/>
        </w:rPr>
        <w:t xml:space="preserve">, </w:t>
      </w:r>
      <w:r w:rsidRPr="004C69C2">
        <w:rPr>
          <w:rFonts w:eastAsia="Calibri" w:cs="Arial"/>
          <w:lang w:val="en-GB"/>
        </w:rPr>
        <w:t>not least due to the volume and broad coverage</w:t>
      </w:r>
      <w:r>
        <w:rPr>
          <w:rFonts w:eastAsia="Calibri" w:cs="Arial"/>
          <w:lang w:val="en-GB"/>
        </w:rPr>
        <w:t>,</w:t>
      </w:r>
      <w:r w:rsidRPr="004C69C2">
        <w:rPr>
          <w:rFonts w:eastAsia="Calibri" w:cs="Arial"/>
          <w:lang w:val="en-GB"/>
        </w:rPr>
        <w:t xml:space="preserve"> but also because there is an unprecedented number of administrations that must coordinate their implementation. A Royal Decree set</w:t>
      </w:r>
      <w:r>
        <w:rPr>
          <w:rFonts w:eastAsia="Calibri" w:cs="Arial"/>
          <w:lang w:val="en-GB"/>
        </w:rPr>
        <w:t>s</w:t>
      </w:r>
      <w:r w:rsidRPr="004C69C2">
        <w:rPr>
          <w:rFonts w:eastAsia="Calibri" w:cs="Arial"/>
          <w:lang w:val="en-GB"/>
        </w:rPr>
        <w:t xml:space="preserve"> up the governance system for this implementation (including PPPs, applications, controls and audits measures). This fast track</w:t>
      </w:r>
      <w:r>
        <w:rPr>
          <w:rFonts w:eastAsia="Calibri" w:cs="Arial"/>
          <w:lang w:val="en-GB"/>
        </w:rPr>
        <w:t>s</w:t>
      </w:r>
      <w:r w:rsidRPr="004C69C2">
        <w:rPr>
          <w:rFonts w:eastAsia="Calibri" w:cs="Arial"/>
          <w:lang w:val="en-GB"/>
        </w:rPr>
        <w:t xml:space="preserve"> the implementation and administrative procedures</w:t>
      </w:r>
      <w:r>
        <w:rPr>
          <w:rFonts w:eastAsia="Calibri" w:cs="Arial"/>
          <w:lang w:val="en-GB"/>
        </w:rPr>
        <w:t xml:space="preserve"> and allows to set up</w:t>
      </w:r>
      <w:r w:rsidRPr="004C69C2">
        <w:rPr>
          <w:rFonts w:eastAsia="Calibri" w:cs="Arial"/>
          <w:lang w:val="en-GB"/>
        </w:rPr>
        <w:t xml:space="preserve"> </w:t>
      </w:r>
      <w:r>
        <w:rPr>
          <w:rFonts w:eastAsia="Calibri" w:cs="Arial"/>
          <w:lang w:val="en-GB"/>
        </w:rPr>
        <w:t>t</w:t>
      </w:r>
      <w:r w:rsidRPr="004C69C2">
        <w:rPr>
          <w:rFonts w:eastAsia="Calibri" w:cs="Arial"/>
          <w:lang w:val="en-GB"/>
        </w:rPr>
        <w:t>echnical committees. The</w:t>
      </w:r>
      <w:r>
        <w:rPr>
          <w:rFonts w:eastAsia="Calibri" w:cs="Arial"/>
          <w:lang w:val="en-GB"/>
        </w:rPr>
        <w:t xml:space="preserve"> latter are directly </w:t>
      </w:r>
      <w:r w:rsidRPr="004C69C2">
        <w:rPr>
          <w:rFonts w:eastAsia="Calibri" w:cs="Arial"/>
          <w:lang w:val="en-GB"/>
        </w:rPr>
        <w:t>headed by Pedro Sanchez directly.</w:t>
      </w:r>
    </w:p>
    <w:p w14:paraId="64BDCB97" w14:textId="77777777" w:rsidR="00C52545" w:rsidRPr="004C69C2" w:rsidRDefault="00C52545" w:rsidP="00C52545">
      <w:pPr>
        <w:rPr>
          <w:rFonts w:eastAsia="Calibri" w:cs="Arial"/>
          <w:lang w:val="en-GB"/>
        </w:rPr>
      </w:pPr>
      <w:r w:rsidRPr="004C69C2">
        <w:rPr>
          <w:rFonts w:eastAsia="Calibri" w:cs="Arial"/>
          <w:lang w:val="en-GB"/>
        </w:rPr>
        <w:t>The Ministry of Finance is the major coordinating authority. Note that regions are involved in the implementation.</w:t>
      </w:r>
      <w:r>
        <w:rPr>
          <w:rFonts w:eastAsia="Calibri" w:cs="Arial"/>
          <w:lang w:val="en-GB"/>
        </w:rPr>
        <w:t xml:space="preserve"> </w:t>
      </w:r>
      <w:r w:rsidRPr="004C69C2">
        <w:rPr>
          <w:rFonts w:eastAsia="Calibri" w:cs="Arial"/>
          <w:lang w:val="en-GB"/>
        </w:rPr>
        <w:t xml:space="preserve">The existing public control system was updated towards the implementation of the </w:t>
      </w:r>
      <w:r w:rsidRPr="004C69C2">
        <w:rPr>
          <w:rFonts w:eastAsia="Calibri" w:cs="Arial"/>
          <w:lang w:val="en-GB"/>
        </w:rPr>
        <w:lastRenderedPageBreak/>
        <w:t>RRP. The rules are applicable to national, regional and local authorities. Each administrative layer must ensure compliance and reports to the above layer. Decision making authorities are thus responsible for setting systems t</w:t>
      </w:r>
      <w:r>
        <w:rPr>
          <w:rFonts w:eastAsia="Calibri" w:cs="Arial"/>
          <w:lang w:val="en-GB"/>
        </w:rPr>
        <w:t>hat</w:t>
      </w:r>
      <w:r w:rsidRPr="004C69C2">
        <w:rPr>
          <w:rFonts w:eastAsia="Calibri" w:cs="Arial"/>
          <w:lang w:val="en-GB"/>
        </w:rPr>
        <w:t xml:space="preserve"> ensure compliance.</w:t>
      </w:r>
    </w:p>
    <w:p w14:paraId="603847DB" w14:textId="77777777" w:rsidR="00C52545" w:rsidRPr="004C69C2" w:rsidRDefault="00C52545" w:rsidP="00C52545">
      <w:pPr>
        <w:rPr>
          <w:rFonts w:eastAsia="Calibri" w:cs="Arial"/>
        </w:rPr>
      </w:pPr>
      <w:r w:rsidRPr="004C69C2">
        <w:rPr>
          <w:rFonts w:eastAsia="Calibri" w:cs="Arial"/>
        </w:rPr>
        <w:t xml:space="preserve">Finally, the </w:t>
      </w:r>
      <w:r>
        <w:rPr>
          <w:rFonts w:eastAsia="Calibri" w:cs="Arial"/>
        </w:rPr>
        <w:t xml:space="preserve">DNSH </w:t>
      </w:r>
      <w:r w:rsidRPr="004C69C2">
        <w:rPr>
          <w:rFonts w:eastAsia="Calibri" w:cs="Arial"/>
        </w:rPr>
        <w:t xml:space="preserve">team is responsible for green tagging </w:t>
      </w:r>
      <w:r>
        <w:rPr>
          <w:rFonts w:eastAsia="Calibri" w:cs="Arial"/>
        </w:rPr>
        <w:t xml:space="preserve">since the publication of </w:t>
      </w:r>
      <w:r w:rsidRPr="004C69C2">
        <w:rPr>
          <w:rFonts w:eastAsia="Calibri" w:cs="Arial"/>
        </w:rPr>
        <w:t xml:space="preserve">a law </w:t>
      </w:r>
      <w:r>
        <w:rPr>
          <w:rFonts w:eastAsia="Calibri" w:cs="Arial"/>
        </w:rPr>
        <w:t xml:space="preserve">in </w:t>
      </w:r>
      <w:r w:rsidRPr="004C69C2">
        <w:rPr>
          <w:rFonts w:eastAsia="Calibri" w:cs="Arial"/>
        </w:rPr>
        <w:t xml:space="preserve">2021 which sets a quantitative target for green investments. </w:t>
      </w:r>
      <w:r>
        <w:rPr>
          <w:rFonts w:eastAsia="Calibri" w:cs="Arial"/>
        </w:rPr>
        <w:t>Based on this mandate, the team prepared and published an analysis of the</w:t>
      </w:r>
      <w:r w:rsidRPr="004C69C2">
        <w:rPr>
          <w:rFonts w:eastAsia="Calibri" w:cs="Arial"/>
        </w:rPr>
        <w:t xml:space="preserve"> budget</w:t>
      </w:r>
      <w:r>
        <w:rPr>
          <w:rFonts w:eastAsia="Calibri" w:cs="Arial"/>
        </w:rPr>
        <w:t>, and a</w:t>
      </w:r>
      <w:r w:rsidRPr="004C69C2">
        <w:rPr>
          <w:rFonts w:eastAsia="Calibri" w:cs="Arial"/>
        </w:rPr>
        <w:t xml:space="preserve"> Green Budget Working Group was set up</w:t>
      </w:r>
      <w:r>
        <w:rPr>
          <w:rFonts w:eastAsia="Calibri" w:cs="Arial"/>
        </w:rPr>
        <w:t>.</w:t>
      </w:r>
      <w:r w:rsidRPr="004C69C2">
        <w:rPr>
          <w:rFonts w:eastAsia="Calibri" w:cs="Arial"/>
        </w:rPr>
        <w:t xml:space="preserve"> </w:t>
      </w:r>
      <w:r>
        <w:rPr>
          <w:rFonts w:eastAsia="Calibri" w:cs="Arial"/>
        </w:rPr>
        <w:t>A</w:t>
      </w:r>
      <w:r w:rsidRPr="004C69C2">
        <w:rPr>
          <w:rFonts w:eastAsia="Calibri" w:cs="Arial"/>
        </w:rPr>
        <w:t xml:space="preserve"> TSI project supported the initiative. It found that 30,6% expenses are eligible to adaptation and mitigation.</w:t>
      </w:r>
    </w:p>
    <w:p w14:paraId="6A297AE4" w14:textId="77777777" w:rsidR="00C52545" w:rsidRPr="00044C86" w:rsidRDefault="00C52545" w:rsidP="00C52545">
      <w:pPr>
        <w:rPr>
          <w:rFonts w:eastAsia="Calibri" w:cs="Arial"/>
        </w:rPr>
      </w:pPr>
    </w:p>
    <w:p w14:paraId="545C70F7"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24" w:name="_Toc127978736"/>
      <w:bookmarkStart w:id="125" w:name="_Toc131757485"/>
      <w:bookmarkStart w:id="126" w:name="_Toc131775878"/>
      <w:r w:rsidRPr="004C69C2">
        <w:rPr>
          <w:rFonts w:eastAsia="Calibri" w:cs="Arial"/>
          <w:b/>
          <w:i/>
          <w:color w:val="F04E30"/>
          <w:lang w:val="en-GB"/>
        </w:rPr>
        <w:t>Presentation of the capacity building measures</w:t>
      </w:r>
      <w:bookmarkEnd w:id="124"/>
      <w:bookmarkEnd w:id="125"/>
      <w:bookmarkEnd w:id="126"/>
    </w:p>
    <w:p w14:paraId="7966A265" w14:textId="77777777" w:rsidR="00C52545" w:rsidRPr="004C69C2" w:rsidRDefault="00C52545" w:rsidP="00C52545">
      <w:pPr>
        <w:rPr>
          <w:rFonts w:eastAsia="Calibri" w:cs="Arial"/>
          <w:lang w:val="en-GB"/>
        </w:rPr>
      </w:pPr>
      <w:r w:rsidRPr="004C69C2">
        <w:rPr>
          <w:rFonts w:eastAsia="Calibri" w:cs="Arial"/>
          <w:lang w:val="en-GB"/>
        </w:rPr>
        <w:t xml:space="preserve">Given </w:t>
      </w:r>
      <w:r>
        <w:rPr>
          <w:rFonts w:eastAsia="Calibri" w:cs="Arial"/>
          <w:lang w:val="en-GB"/>
        </w:rPr>
        <w:t xml:space="preserve">the </w:t>
      </w:r>
      <w:r w:rsidRPr="001E15C4">
        <w:rPr>
          <w:rFonts w:eastAsia="Calibri" w:cs="Arial"/>
          <w:lang w:val="en-GB"/>
        </w:rPr>
        <w:t xml:space="preserve">Ministry of the Ecological Transition and the Demographic Challenge </w:t>
      </w:r>
      <w:r>
        <w:rPr>
          <w:rFonts w:eastAsia="Calibri" w:cs="Arial"/>
          <w:lang w:val="en-GB"/>
        </w:rPr>
        <w:t>(</w:t>
      </w:r>
      <w:r w:rsidRPr="004C69C2">
        <w:rPr>
          <w:rFonts w:eastAsia="Calibri" w:cs="Arial"/>
          <w:lang w:val="en-GB"/>
        </w:rPr>
        <w:t>MITECO</w:t>
      </w:r>
      <w:r>
        <w:rPr>
          <w:rFonts w:eastAsia="Calibri" w:cs="Arial"/>
          <w:lang w:val="en-GB"/>
        </w:rPr>
        <w:t>)</w:t>
      </w:r>
      <w:r w:rsidRPr="004C69C2">
        <w:rPr>
          <w:rFonts w:eastAsia="Calibri" w:cs="Arial"/>
          <w:lang w:val="en-GB"/>
        </w:rPr>
        <w:t xml:space="preserve"> competenc</w:t>
      </w:r>
      <w:r>
        <w:rPr>
          <w:rFonts w:eastAsia="Calibri" w:cs="Arial"/>
          <w:lang w:val="en-GB"/>
        </w:rPr>
        <w:t>i</w:t>
      </w:r>
      <w:r w:rsidRPr="004C69C2">
        <w:rPr>
          <w:rFonts w:eastAsia="Calibri" w:cs="Arial"/>
          <w:lang w:val="en-GB"/>
        </w:rPr>
        <w:t xml:space="preserve">es, </w:t>
      </w:r>
      <w:r>
        <w:rPr>
          <w:rFonts w:eastAsia="Calibri" w:cs="Arial"/>
          <w:lang w:val="en-GB"/>
        </w:rPr>
        <w:t xml:space="preserve">it advised </w:t>
      </w:r>
      <w:r w:rsidRPr="004C69C2">
        <w:rPr>
          <w:rFonts w:eastAsia="Calibri" w:cs="Arial"/>
          <w:lang w:val="en-GB"/>
        </w:rPr>
        <w:t>the negotiation of the RRP (including for monitoring and green tagging). The team decided to create a dedicated team to support the Ministry at large and to execute the Plan. It does not have a legal mandate (unlike the Ministry) but does take the lead in practice. It assists the Ministries by:</w:t>
      </w:r>
    </w:p>
    <w:p w14:paraId="717107C1" w14:textId="77777777" w:rsidR="00C52545" w:rsidRPr="004C69C2" w:rsidRDefault="00C52545" w:rsidP="00C52545">
      <w:pPr>
        <w:pStyle w:val="lp11"/>
        <w:numPr>
          <w:ilvl w:val="0"/>
          <w:numId w:val="8"/>
        </w:numPr>
      </w:pPr>
      <w:r w:rsidRPr="004C69C2">
        <w:t>Implementing and developing climate tagging;</w:t>
      </w:r>
    </w:p>
    <w:p w14:paraId="18437C1D" w14:textId="77777777" w:rsidR="00C52545" w:rsidRPr="004C69C2" w:rsidRDefault="00C52545" w:rsidP="00C52545">
      <w:pPr>
        <w:pStyle w:val="lp11"/>
        <w:numPr>
          <w:ilvl w:val="0"/>
          <w:numId w:val="8"/>
        </w:numPr>
      </w:pPr>
      <w:r w:rsidRPr="004C69C2">
        <w:t>Answering to specific demands through a helpdesk;</w:t>
      </w:r>
    </w:p>
    <w:p w14:paraId="6FFD27E5" w14:textId="77777777" w:rsidR="00C52545" w:rsidRPr="004C69C2" w:rsidRDefault="00C52545" w:rsidP="00C52545">
      <w:pPr>
        <w:pStyle w:val="lp11"/>
        <w:numPr>
          <w:ilvl w:val="0"/>
          <w:numId w:val="8"/>
        </w:numPr>
      </w:pPr>
      <w:r w:rsidRPr="004C69C2">
        <w:t>Organising focus meetings;</w:t>
      </w:r>
    </w:p>
    <w:p w14:paraId="5DF06158" w14:textId="77777777" w:rsidR="00C52545" w:rsidRPr="004C69C2" w:rsidRDefault="00C52545" w:rsidP="00C52545">
      <w:pPr>
        <w:pStyle w:val="lp11"/>
        <w:numPr>
          <w:ilvl w:val="0"/>
          <w:numId w:val="8"/>
        </w:numPr>
      </w:pPr>
      <w:r w:rsidRPr="004C69C2">
        <w:t>Reviewing the legal texts to be validated by the Ministry Council. Although the review is not binding, the team observes that its reviews have helped to improve the quality of the texts;</w:t>
      </w:r>
    </w:p>
    <w:p w14:paraId="69D34F33" w14:textId="77777777" w:rsidR="00C52545" w:rsidRPr="004C69C2" w:rsidRDefault="00C52545" w:rsidP="00C52545">
      <w:pPr>
        <w:pStyle w:val="lp11"/>
        <w:numPr>
          <w:ilvl w:val="0"/>
          <w:numId w:val="8"/>
        </w:numPr>
      </w:pPr>
      <w:r w:rsidRPr="004C69C2">
        <w:t>Publishing a guide on legal instruments according to EU provisions;</w:t>
      </w:r>
    </w:p>
    <w:p w14:paraId="6A923662" w14:textId="77777777" w:rsidR="00C52545" w:rsidRPr="004C69C2" w:rsidRDefault="00C52545" w:rsidP="00C52545">
      <w:pPr>
        <w:pStyle w:val="lp11"/>
        <w:numPr>
          <w:ilvl w:val="0"/>
          <w:numId w:val="8"/>
        </w:numPr>
      </w:pPr>
      <w:r w:rsidRPr="004C69C2">
        <w:t>Coordinating with expert units and experts in Ministries and departments (e.g., when specific questions related to circular economy emerge).</w:t>
      </w:r>
    </w:p>
    <w:p w14:paraId="063D4C29" w14:textId="77777777" w:rsidR="00C52545" w:rsidRPr="004C69C2" w:rsidRDefault="00C52545" w:rsidP="00C52545">
      <w:pPr>
        <w:tabs>
          <w:tab w:val="left" w:pos="851"/>
        </w:tabs>
        <w:ind w:left="1661"/>
        <w:contextualSpacing/>
        <w:rPr>
          <w:rFonts w:eastAsia="Calibri" w:cs="Arial"/>
          <w:lang w:val="en-GB"/>
        </w:rPr>
      </w:pPr>
    </w:p>
    <w:p w14:paraId="789F6C5A" w14:textId="77777777" w:rsidR="00C52545" w:rsidRPr="004C69C2" w:rsidRDefault="00C52545" w:rsidP="00C52545">
      <w:pPr>
        <w:rPr>
          <w:rFonts w:eastAsia="Calibri" w:cs="Arial"/>
        </w:rPr>
      </w:pPr>
      <w:r w:rsidRPr="004C69C2">
        <w:rPr>
          <w:rFonts w:eastAsia="Calibri" w:cs="Arial"/>
        </w:rPr>
        <w:t xml:space="preserve">The team has reviewed 457 regulatory instruments. </w:t>
      </w:r>
      <w:r>
        <w:rPr>
          <w:rFonts w:eastAsia="Calibri" w:cs="Arial"/>
        </w:rPr>
        <w:t xml:space="preserve">Overall, </w:t>
      </w:r>
      <w:r w:rsidRPr="004C69C2">
        <w:rPr>
          <w:rFonts w:eastAsia="Calibri" w:cs="Arial"/>
        </w:rPr>
        <w:t>the opinions of the team are trusted, mainly due to the concerns over the legal validity and complexity of European provisions. This review covers all legal instruments, including ministerial orders, royal decrees, council of Ministers agreements, draft laws, coordinating documents across authorities, etc.</w:t>
      </w:r>
    </w:p>
    <w:p w14:paraId="170CA006" w14:textId="77777777" w:rsidR="00C52545" w:rsidRPr="004C69C2" w:rsidRDefault="00C52545" w:rsidP="00C52545">
      <w:pPr>
        <w:rPr>
          <w:rFonts w:eastAsia="Calibri" w:cs="Arial"/>
        </w:rPr>
      </w:pPr>
      <w:r w:rsidRPr="004C69C2">
        <w:rPr>
          <w:rFonts w:eastAsia="Calibri" w:cs="Arial"/>
        </w:rPr>
        <w:t xml:space="preserve">The team developed a guide aimed at all institutions that execute the Plan. This format is a good </w:t>
      </w:r>
      <w:r>
        <w:rPr>
          <w:rFonts w:eastAsia="Calibri" w:cs="Arial"/>
        </w:rPr>
        <w:t>solution</w:t>
      </w:r>
      <w:r w:rsidRPr="004C69C2">
        <w:rPr>
          <w:rFonts w:eastAsia="Calibri" w:cs="Arial"/>
        </w:rPr>
        <w:t xml:space="preserve"> to highlight the importance of the DNSH principle (and green tagging) while helping to put it in practice. The Guide ensures that administration comply in a homogeneous manner. The Guide was reviewed by the Commission. Other Ministries also published equivalent documents at the sectoral level. A self-assessment questionnaire is also included in the Guide.</w:t>
      </w:r>
    </w:p>
    <w:p w14:paraId="5A63CC3D" w14:textId="77777777" w:rsidR="00C52545" w:rsidRPr="004C69C2" w:rsidRDefault="00C52545" w:rsidP="00C52545">
      <w:pPr>
        <w:rPr>
          <w:rFonts w:eastAsia="Calibri" w:cs="Arial"/>
        </w:rPr>
      </w:pPr>
    </w:p>
    <w:p w14:paraId="419F13A1" w14:textId="77777777" w:rsidR="00C52545" w:rsidRPr="004C69C2" w:rsidRDefault="00C52545" w:rsidP="00C52545">
      <w:pPr>
        <w:rPr>
          <w:rFonts w:eastAsia="Calibri" w:cs="Arial"/>
        </w:rPr>
      </w:pPr>
      <w:r w:rsidRPr="004C69C2">
        <w:rPr>
          <w:rFonts w:eastAsia="Calibri" w:cs="Arial"/>
        </w:rPr>
        <w:t>The helpdesk provides support to all the stages of RRF implementation. Most questions from participants relate to the possible impacts of certain objectives/measures, verifications mechanisms, and green tagging.</w:t>
      </w:r>
    </w:p>
    <w:p w14:paraId="0EC0EEAB" w14:textId="77777777" w:rsidR="00C52545" w:rsidRPr="004C69C2" w:rsidRDefault="00C52545" w:rsidP="00C52545">
      <w:pPr>
        <w:rPr>
          <w:rFonts w:eastAsia="Calibri" w:cs="Arial"/>
        </w:rPr>
      </w:pPr>
    </w:p>
    <w:p w14:paraId="1A90CE2C"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27" w:name="_Toc127978737"/>
      <w:bookmarkStart w:id="128" w:name="_Toc131757486"/>
      <w:bookmarkStart w:id="129" w:name="_Toc131775879"/>
      <w:r w:rsidRPr="004C69C2">
        <w:rPr>
          <w:rFonts w:eastAsia="Calibri" w:cs="Arial"/>
          <w:b/>
          <w:i/>
          <w:color w:val="F04E30"/>
          <w:lang w:val="en-GB"/>
        </w:rPr>
        <w:t>Challenges</w:t>
      </w:r>
      <w:bookmarkEnd w:id="127"/>
      <w:bookmarkEnd w:id="128"/>
      <w:bookmarkEnd w:id="129"/>
    </w:p>
    <w:p w14:paraId="40421C5E" w14:textId="77777777" w:rsidR="00C52545" w:rsidRPr="004C69C2" w:rsidRDefault="00C52545" w:rsidP="00C52545">
      <w:pPr>
        <w:rPr>
          <w:rFonts w:eastAsia="Calibri" w:cs="Arial"/>
        </w:rPr>
      </w:pPr>
      <w:r w:rsidRPr="004C69C2">
        <w:rPr>
          <w:rFonts w:eastAsia="Calibri" w:cs="Arial"/>
        </w:rPr>
        <w:t>The training sessions raise awareness and help authorities to make the DNSH application affordable. Challenges are similar to the situation described in CZ. They notably include:</w:t>
      </w:r>
    </w:p>
    <w:p w14:paraId="43470655" w14:textId="77777777" w:rsidR="00C52545" w:rsidRPr="004C69C2" w:rsidRDefault="00C52545" w:rsidP="00C52545">
      <w:pPr>
        <w:pStyle w:val="lp11"/>
        <w:numPr>
          <w:ilvl w:val="0"/>
          <w:numId w:val="8"/>
        </w:numPr>
      </w:pPr>
      <w:r w:rsidRPr="004C69C2">
        <w:t>Diversity of criteria</w:t>
      </w:r>
      <w:r>
        <w:t xml:space="preserve">, </w:t>
      </w:r>
      <w:r w:rsidRPr="004C69C2">
        <w:t>models</w:t>
      </w:r>
      <w:r>
        <w:t xml:space="preserve"> and </w:t>
      </w:r>
      <w:r w:rsidRPr="004C69C2">
        <w:t>templates;</w:t>
      </w:r>
    </w:p>
    <w:p w14:paraId="16CACFF6" w14:textId="77777777" w:rsidR="00C52545" w:rsidRPr="004C69C2" w:rsidRDefault="00C52545" w:rsidP="00C52545">
      <w:pPr>
        <w:pStyle w:val="lp11"/>
        <w:numPr>
          <w:ilvl w:val="0"/>
          <w:numId w:val="8"/>
        </w:numPr>
      </w:pPr>
      <w:r w:rsidRPr="004C69C2">
        <w:t>Lack of expertise;</w:t>
      </w:r>
    </w:p>
    <w:p w14:paraId="7D98C51D" w14:textId="77777777" w:rsidR="00C52545" w:rsidRPr="004C69C2" w:rsidRDefault="00C52545" w:rsidP="00C52545">
      <w:pPr>
        <w:pStyle w:val="lp11"/>
        <w:numPr>
          <w:ilvl w:val="0"/>
          <w:numId w:val="8"/>
        </w:numPr>
      </w:pPr>
      <w:r w:rsidRPr="004C69C2">
        <w:t>The use of DAs;</w:t>
      </w:r>
    </w:p>
    <w:p w14:paraId="68CEE4F1" w14:textId="77777777" w:rsidR="00C52545" w:rsidRPr="004C69C2" w:rsidRDefault="00C52545" w:rsidP="00C52545">
      <w:pPr>
        <w:pStyle w:val="lp11"/>
        <w:numPr>
          <w:ilvl w:val="0"/>
          <w:numId w:val="8"/>
        </w:numPr>
      </w:pPr>
      <w:r w:rsidRPr="004C69C2">
        <w:t>The lack of consolidated frameworks;</w:t>
      </w:r>
    </w:p>
    <w:p w14:paraId="6431D1AF" w14:textId="77777777" w:rsidR="00C52545" w:rsidRPr="004C69C2" w:rsidRDefault="00C52545" w:rsidP="00C52545">
      <w:pPr>
        <w:pStyle w:val="lp11"/>
        <w:numPr>
          <w:ilvl w:val="0"/>
          <w:numId w:val="8"/>
        </w:numPr>
      </w:pPr>
      <w:r w:rsidRPr="004C69C2">
        <w:t>Difficulty to use the EU Taxonomy in budgetary policy.</w:t>
      </w:r>
    </w:p>
    <w:p w14:paraId="66460222" w14:textId="77777777" w:rsidR="00C52545" w:rsidRPr="004C69C2" w:rsidRDefault="00C52545" w:rsidP="00C52545">
      <w:pPr>
        <w:tabs>
          <w:tab w:val="left" w:pos="851"/>
        </w:tabs>
        <w:ind w:left="927"/>
        <w:contextualSpacing/>
        <w:rPr>
          <w:rFonts w:eastAsia="Calibri" w:cs="Arial"/>
          <w:lang w:val="en-GB"/>
        </w:rPr>
      </w:pPr>
    </w:p>
    <w:p w14:paraId="26CCD135" w14:textId="77777777" w:rsidR="00C52545" w:rsidRPr="004C69C2" w:rsidRDefault="00C52545" w:rsidP="00C52545">
      <w:pPr>
        <w:rPr>
          <w:rFonts w:eastAsia="Calibri" w:cs="Arial"/>
        </w:rPr>
      </w:pPr>
    </w:p>
    <w:p w14:paraId="1A82A597" w14:textId="7EF8EE6C" w:rsidR="00C52545" w:rsidRPr="004C69C2" w:rsidRDefault="00C52545" w:rsidP="007608BA">
      <w:pPr>
        <w:pStyle w:val="Nadpis2"/>
        <w:numPr>
          <w:ilvl w:val="0"/>
          <w:numId w:val="0"/>
        </w:numPr>
        <w:ind w:left="567"/>
      </w:pPr>
      <w:bookmarkStart w:id="130" w:name="_Toc127978738"/>
      <w:bookmarkStart w:id="131" w:name="_Toc131757487"/>
      <w:bookmarkStart w:id="132" w:name="_Toc131775880"/>
      <w:r w:rsidRPr="004C69C2">
        <w:lastRenderedPageBreak/>
        <w:t>Stéphanie Baclin - Federal Public Service Health, Food Chain Safety and Environment (Belgium)</w:t>
      </w:r>
      <w:bookmarkEnd w:id="130"/>
      <w:bookmarkEnd w:id="131"/>
      <w:bookmarkEnd w:id="132"/>
    </w:p>
    <w:p w14:paraId="21174256"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33" w:name="_Toc127978739"/>
      <w:bookmarkStart w:id="134" w:name="_Toc131757488"/>
      <w:bookmarkStart w:id="135" w:name="_Toc131775881"/>
      <w:r w:rsidRPr="004C69C2">
        <w:rPr>
          <w:rFonts w:eastAsia="Calibri" w:cs="Arial"/>
          <w:b/>
          <w:i/>
          <w:color w:val="F04E30"/>
          <w:lang w:val="en-GB"/>
        </w:rPr>
        <w:t>Context</w:t>
      </w:r>
      <w:bookmarkEnd w:id="133"/>
      <w:bookmarkEnd w:id="134"/>
      <w:bookmarkEnd w:id="135"/>
    </w:p>
    <w:p w14:paraId="1458A4BA" w14:textId="77777777" w:rsidR="00C52545" w:rsidRPr="004C69C2" w:rsidRDefault="00C52545" w:rsidP="00C52545">
      <w:pPr>
        <w:rPr>
          <w:rFonts w:eastAsia="Calibri" w:cs="Arial"/>
          <w:lang w:val="en-GB"/>
        </w:rPr>
      </w:pPr>
      <w:r w:rsidRPr="004C69C2">
        <w:rPr>
          <w:rFonts w:eastAsia="Calibri" w:cs="Arial"/>
          <w:lang w:val="en-GB"/>
        </w:rPr>
        <w:t xml:space="preserve">Belgium's </w:t>
      </w:r>
      <w:r>
        <w:rPr>
          <w:rFonts w:eastAsia="Calibri" w:cs="Arial"/>
          <w:lang w:val="en-GB"/>
        </w:rPr>
        <w:t>RRP</w:t>
      </w:r>
      <w:r w:rsidRPr="004C69C2">
        <w:rPr>
          <w:rFonts w:eastAsia="Calibri" w:cs="Arial"/>
          <w:lang w:val="en-GB"/>
        </w:rPr>
        <w:t xml:space="preserve"> is backed by a total of 5.9 billion euros from the </w:t>
      </w:r>
      <w:r>
        <w:rPr>
          <w:rFonts w:eastAsia="Calibri" w:cs="Arial"/>
          <w:lang w:val="en-GB"/>
        </w:rPr>
        <w:t>RRF</w:t>
      </w:r>
      <w:r w:rsidRPr="004C69C2">
        <w:rPr>
          <w:rFonts w:eastAsia="Calibri" w:cs="Arial"/>
          <w:lang w:val="en-GB"/>
        </w:rPr>
        <w:t>, as well as a national equivalent plan supported by the Federal Government of Belgium, amounting to 1.6 billion</w:t>
      </w:r>
      <w:r>
        <w:rPr>
          <w:rFonts w:eastAsia="Calibri" w:cs="Arial"/>
          <w:lang w:val="en-GB"/>
        </w:rPr>
        <w:t xml:space="preserve"> euros</w:t>
      </w:r>
      <w:r w:rsidRPr="004C69C2">
        <w:rPr>
          <w:rFonts w:eastAsia="Calibri" w:cs="Arial"/>
          <w:lang w:val="en-GB"/>
        </w:rPr>
        <w:t>. To align processes and standards, the Federal Government of Belgium has decided to expand the DNSH assessment requirement to the Federal Government Fund.</w:t>
      </w:r>
    </w:p>
    <w:p w14:paraId="27B431FD" w14:textId="77777777" w:rsidR="00C52545" w:rsidRPr="004C69C2" w:rsidRDefault="00C52545" w:rsidP="00C52545">
      <w:pPr>
        <w:rPr>
          <w:rFonts w:eastAsia="Calibri" w:cs="Arial"/>
          <w:lang w:val="en-GB"/>
        </w:rPr>
      </w:pPr>
      <w:r w:rsidRPr="004C69C2">
        <w:rPr>
          <w:rFonts w:eastAsia="Calibri" w:cs="Arial"/>
          <w:lang w:val="en-GB"/>
        </w:rPr>
        <w:t>The recovery effort in Belgium encompasses not only these funds but also recovery and resilience plans supported and financed by the regions and communities, contributions from private companies towards the stimulus effort, and the Economic Recovery and Transition Fund (FPIM). In total, these efforts add up to 20 billion euros.</w:t>
      </w:r>
    </w:p>
    <w:p w14:paraId="46EE7626" w14:textId="77777777" w:rsidR="00C52545" w:rsidRPr="004C69C2" w:rsidRDefault="00C52545" w:rsidP="00C52545">
      <w:pPr>
        <w:rPr>
          <w:rFonts w:eastAsia="Calibri" w:cs="Arial"/>
          <w:lang w:val="en-GB"/>
        </w:rPr>
      </w:pPr>
    </w:p>
    <w:p w14:paraId="45377555"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36" w:name="_Toc127978740"/>
      <w:bookmarkStart w:id="137" w:name="_Toc131757489"/>
      <w:bookmarkStart w:id="138" w:name="_Toc131775882"/>
      <w:r w:rsidRPr="004C69C2">
        <w:rPr>
          <w:rFonts w:eastAsia="Calibri" w:cs="Arial"/>
          <w:b/>
          <w:i/>
          <w:color w:val="F04E30"/>
          <w:lang w:val="en-GB"/>
        </w:rPr>
        <w:t>Presentation of the governance system</w:t>
      </w:r>
      <w:bookmarkEnd w:id="136"/>
      <w:bookmarkEnd w:id="137"/>
      <w:bookmarkEnd w:id="138"/>
    </w:p>
    <w:p w14:paraId="7B9D1C6F" w14:textId="77777777" w:rsidR="00C52545" w:rsidRPr="004C69C2" w:rsidRDefault="00C52545" w:rsidP="00C52545">
      <w:pPr>
        <w:rPr>
          <w:rFonts w:eastAsia="Calibri" w:cs="Arial"/>
        </w:rPr>
      </w:pPr>
      <w:r w:rsidRPr="004C69C2">
        <w:rPr>
          <w:rFonts w:eastAsia="Calibri" w:cs="Arial"/>
          <w:lang w:val="en-GB"/>
        </w:rPr>
        <w:t xml:space="preserve">To support public authorities </w:t>
      </w:r>
      <w:r>
        <w:rPr>
          <w:rFonts w:eastAsia="Calibri" w:cs="Arial"/>
          <w:lang w:val="en-GB"/>
        </w:rPr>
        <w:t xml:space="preserve">with the application of the </w:t>
      </w:r>
      <w:r w:rsidRPr="004C69C2">
        <w:rPr>
          <w:rFonts w:eastAsia="Calibri" w:cs="Arial"/>
          <w:lang w:val="en-GB"/>
        </w:rPr>
        <w:t>DNSH</w:t>
      </w:r>
      <w:r>
        <w:rPr>
          <w:rFonts w:eastAsia="Calibri" w:cs="Arial"/>
          <w:lang w:val="en-GB"/>
        </w:rPr>
        <w:t xml:space="preserve"> principle</w:t>
      </w:r>
      <w:r w:rsidRPr="004C69C2">
        <w:rPr>
          <w:rFonts w:eastAsia="Calibri" w:cs="Arial"/>
          <w:lang w:val="en-GB"/>
        </w:rPr>
        <w:t>, the Federal Government launched in 2022 the DNSH Expertise Center and Helpdesk, becoming the central point of contact for DNSH</w:t>
      </w:r>
      <w:r>
        <w:rPr>
          <w:rFonts w:eastAsia="Calibri" w:cs="Arial"/>
          <w:lang w:val="en-GB"/>
        </w:rPr>
        <w:t>-</w:t>
      </w:r>
      <w:r w:rsidRPr="004C69C2">
        <w:rPr>
          <w:rFonts w:eastAsia="Calibri" w:cs="Arial"/>
          <w:lang w:val="en-GB"/>
        </w:rPr>
        <w:t xml:space="preserve">related enquiries. The goal is to assist federal project leaders during the entire life cycle of their projects (preparation, implementation and reporting). </w:t>
      </w:r>
    </w:p>
    <w:p w14:paraId="5558D75E" w14:textId="77777777" w:rsidR="00C52545" w:rsidRPr="004C69C2" w:rsidRDefault="00C52545" w:rsidP="00C52545">
      <w:pPr>
        <w:rPr>
          <w:rFonts w:eastAsia="Calibri" w:cs="Arial"/>
        </w:rPr>
      </w:pPr>
    </w:p>
    <w:p w14:paraId="4C4B1387" w14:textId="77777777" w:rsidR="00C52545" w:rsidRPr="00B04EF3" w:rsidRDefault="00C52545" w:rsidP="00C52545">
      <w:pPr>
        <w:rPr>
          <w:rFonts w:eastAsia="Calibri" w:cs="Arial"/>
          <w:lang w:val="en-GB"/>
        </w:rPr>
      </w:pPr>
      <w:r w:rsidRPr="004C69C2">
        <w:rPr>
          <w:rFonts w:eastAsia="Calibri" w:cs="Arial"/>
          <w:lang w:val="en-GB"/>
        </w:rPr>
        <w:t>DNSH actors in Belgium include FPS Health, DG Environment, the inter-federal DNSH network, the actors involved in the TSI project and the General Inspectorate of finance.</w:t>
      </w:r>
    </w:p>
    <w:p w14:paraId="77390ED6" w14:textId="77777777" w:rsidR="00C52545" w:rsidRPr="00256354" w:rsidRDefault="00C52545" w:rsidP="00C52545">
      <w:pPr>
        <w:rPr>
          <w:rFonts w:eastAsia="Calibri" w:cs="Arial"/>
          <w:lang w:val="en-GB"/>
        </w:rPr>
      </w:pPr>
      <w:r w:rsidRPr="004C69C2">
        <w:rPr>
          <w:rFonts w:eastAsia="Calibri" w:cs="Arial"/>
        </w:rPr>
        <w:t>Initially, the Ministry of Environment was identified as the best</w:t>
      </w:r>
      <w:r>
        <w:rPr>
          <w:rFonts w:eastAsia="Calibri" w:cs="Arial"/>
        </w:rPr>
        <w:t>-</w:t>
      </w:r>
      <w:r w:rsidRPr="004C69C2">
        <w:rPr>
          <w:rFonts w:eastAsia="Calibri" w:cs="Arial"/>
        </w:rPr>
        <w:t>suited</w:t>
      </w:r>
      <w:r>
        <w:rPr>
          <w:rFonts w:eastAsia="Calibri" w:cs="Arial"/>
        </w:rPr>
        <w:t xml:space="preserve"> authority</w:t>
      </w:r>
      <w:r w:rsidRPr="004C69C2">
        <w:rPr>
          <w:rFonts w:eastAsia="Calibri" w:cs="Arial"/>
        </w:rPr>
        <w:t xml:space="preserve"> to oversee the application of the DNSH principle and more resources were allocated based on a Ministerial decision in March 2022. 1 coordinator and 4 experts (in economy and biodiversity - varied profiles are involved) and 1 secretary </w:t>
      </w:r>
      <w:r>
        <w:rPr>
          <w:rFonts w:eastAsia="Calibri" w:cs="Arial"/>
        </w:rPr>
        <w:t>currently</w:t>
      </w:r>
      <w:r w:rsidRPr="004C69C2">
        <w:rPr>
          <w:rFonts w:eastAsia="Calibri" w:cs="Arial"/>
        </w:rPr>
        <w:t xml:space="preserve"> work in the team. Private companies and public</w:t>
      </w:r>
      <w:r>
        <w:rPr>
          <w:rFonts w:eastAsia="Calibri" w:cs="Arial"/>
        </w:rPr>
        <w:t xml:space="preserve"> (federal)</w:t>
      </w:r>
      <w:r w:rsidRPr="004C69C2">
        <w:rPr>
          <w:rFonts w:eastAsia="Calibri" w:cs="Arial"/>
        </w:rPr>
        <w:t xml:space="preserve"> entities </w:t>
      </w:r>
      <w:r>
        <w:rPr>
          <w:rFonts w:eastAsia="Calibri" w:cs="Arial"/>
        </w:rPr>
        <w:t>may</w:t>
      </w:r>
      <w:r w:rsidRPr="004C69C2">
        <w:rPr>
          <w:rFonts w:eastAsia="Calibri" w:cs="Arial"/>
        </w:rPr>
        <w:t xml:space="preserve"> call on the team for ex</w:t>
      </w:r>
      <w:r>
        <w:rPr>
          <w:rFonts w:eastAsia="Calibri" w:cs="Arial"/>
        </w:rPr>
        <w:t>-</w:t>
      </w:r>
      <w:r w:rsidRPr="004C69C2">
        <w:rPr>
          <w:rFonts w:eastAsia="Calibri" w:cs="Arial"/>
        </w:rPr>
        <w:t xml:space="preserve">ante </w:t>
      </w:r>
      <w:r>
        <w:rPr>
          <w:rFonts w:eastAsia="Calibri" w:cs="Arial"/>
        </w:rPr>
        <w:t xml:space="preserve">DNSH assessments </w:t>
      </w:r>
      <w:r w:rsidRPr="004C69C2">
        <w:rPr>
          <w:rFonts w:eastAsia="Calibri" w:cs="Arial"/>
        </w:rPr>
        <w:t>and for monitoring. An evaluation of self-assessments is also proposed for Ministries and private proponents. In the context of the national DNSH network, trainings are offered – tailored trainings on specific measures have proven to be the most appreciated and valuable. The team also represents the federal entity in the national DNSH network.</w:t>
      </w:r>
    </w:p>
    <w:p w14:paraId="62FB1E0D" w14:textId="7C445B78" w:rsidR="00C52545" w:rsidRPr="004C69C2" w:rsidRDefault="00C52545" w:rsidP="00C52545">
      <w:pPr>
        <w:rPr>
          <w:rFonts w:eastAsia="Calibri" w:cs="Arial"/>
        </w:rPr>
      </w:pPr>
      <w:r>
        <w:rPr>
          <w:rFonts w:eastAsia="Calibri" w:cs="Arial"/>
        </w:rPr>
        <w:t>A</w:t>
      </w:r>
      <w:r w:rsidRPr="004C69C2">
        <w:rPr>
          <w:rFonts w:eastAsia="Calibri" w:cs="Arial"/>
        </w:rPr>
        <w:t xml:space="preserve"> TSI project </w:t>
      </w:r>
      <w:r>
        <w:rPr>
          <w:rFonts w:eastAsia="Calibri" w:cs="Arial"/>
        </w:rPr>
        <w:t xml:space="preserve">supporting the implementation of the RRP was launched but </w:t>
      </w:r>
      <w:r w:rsidRPr="004C69C2">
        <w:rPr>
          <w:rFonts w:eastAsia="Calibri" w:cs="Arial"/>
        </w:rPr>
        <w:t xml:space="preserve">only partly focuses on DNSH. It however gave materials for trainings and ex ante analyses. A second TSI </w:t>
      </w:r>
      <w:r>
        <w:rPr>
          <w:rFonts w:eastAsia="Calibri" w:cs="Arial"/>
        </w:rPr>
        <w:t xml:space="preserve">project </w:t>
      </w:r>
      <w:r w:rsidRPr="004C69C2">
        <w:rPr>
          <w:rFonts w:eastAsia="Calibri" w:cs="Arial"/>
        </w:rPr>
        <w:t xml:space="preserve">is in the pipeline for sensitive environmental impacts. </w:t>
      </w:r>
    </w:p>
    <w:p w14:paraId="56BCD1BB" w14:textId="77777777" w:rsidR="00C52545" w:rsidRPr="004C69C2" w:rsidRDefault="00C52545" w:rsidP="00C52545">
      <w:pPr>
        <w:rPr>
          <w:rFonts w:eastAsia="Calibri" w:cs="Arial"/>
        </w:rPr>
      </w:pPr>
    </w:p>
    <w:p w14:paraId="24C6DA30"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39" w:name="_Toc127978741"/>
      <w:bookmarkStart w:id="140" w:name="_Toc131757490"/>
      <w:bookmarkStart w:id="141" w:name="_Toc131775883"/>
      <w:r w:rsidRPr="004C69C2">
        <w:rPr>
          <w:rFonts w:eastAsia="Calibri" w:cs="Arial"/>
          <w:b/>
          <w:i/>
          <w:color w:val="F04E30"/>
          <w:lang w:val="en-GB"/>
        </w:rPr>
        <w:t>Presentation of the capacity building measures</w:t>
      </w:r>
      <w:bookmarkEnd w:id="139"/>
      <w:bookmarkEnd w:id="140"/>
      <w:bookmarkEnd w:id="141"/>
    </w:p>
    <w:p w14:paraId="7BAD2273" w14:textId="77777777" w:rsidR="00C52545" w:rsidRPr="004C69C2" w:rsidRDefault="00C52545" w:rsidP="00C52545">
      <w:pPr>
        <w:rPr>
          <w:rFonts w:eastAsia="Calibri" w:cs="Arial"/>
          <w:lang w:val="en-GB"/>
        </w:rPr>
      </w:pPr>
      <w:r w:rsidRPr="004C69C2">
        <w:rPr>
          <w:rFonts w:eastAsia="Calibri" w:cs="Arial"/>
          <w:lang w:val="en-GB"/>
        </w:rPr>
        <w:t>The DNSH Expertise Center &amp; Helpdesk is responsible for developing DNSH methodological tools (e.g.</w:t>
      </w:r>
      <w:r>
        <w:rPr>
          <w:rFonts w:eastAsia="Calibri" w:cs="Arial"/>
          <w:lang w:val="en-GB"/>
        </w:rPr>
        <w:t>,</w:t>
      </w:r>
      <w:r w:rsidRPr="004C69C2">
        <w:rPr>
          <w:rFonts w:eastAsia="Calibri" w:cs="Arial"/>
          <w:lang w:val="en-GB"/>
        </w:rPr>
        <w:t xml:space="preserve"> guidance, check-lists, templates, etc.), training line ministries in the use of such tools, as well as training public service companies (e.g., for railroads) on DNSH principle and requirements.</w:t>
      </w:r>
    </w:p>
    <w:p w14:paraId="3C0F8CC4" w14:textId="77777777" w:rsidR="00C52545" w:rsidRPr="004C69C2" w:rsidRDefault="00C52545" w:rsidP="00C52545">
      <w:pPr>
        <w:rPr>
          <w:rFonts w:eastAsia="Calibri" w:cs="Arial"/>
          <w:lang w:val="en-GB"/>
        </w:rPr>
      </w:pPr>
    </w:p>
    <w:p w14:paraId="3B97FFC3" w14:textId="77777777" w:rsidR="00C52545"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42" w:name="_Toc127978742"/>
      <w:bookmarkStart w:id="143" w:name="_Toc131757491"/>
      <w:bookmarkStart w:id="144" w:name="_Toc131775884"/>
      <w:r w:rsidRPr="004C69C2">
        <w:rPr>
          <w:rFonts w:eastAsia="Calibri" w:cs="Arial"/>
          <w:b/>
          <w:i/>
          <w:color w:val="F04E30"/>
          <w:lang w:val="en-GB"/>
        </w:rPr>
        <w:t>Lessons learned</w:t>
      </w:r>
      <w:bookmarkEnd w:id="142"/>
      <w:bookmarkEnd w:id="143"/>
      <w:bookmarkEnd w:id="144"/>
    </w:p>
    <w:p w14:paraId="513BBD65" w14:textId="77777777" w:rsidR="00C52545" w:rsidRPr="00222428" w:rsidRDefault="00C52545" w:rsidP="00C52545">
      <w:pPr>
        <w:pStyle w:val="lp11"/>
        <w:ind w:left="567" w:firstLine="0"/>
      </w:pPr>
      <w:r>
        <w:t>A number of lessons learnt can be raised:</w:t>
      </w:r>
    </w:p>
    <w:p w14:paraId="7BDDB88F" w14:textId="77777777" w:rsidR="00C52545" w:rsidRPr="004C69C2" w:rsidRDefault="00C52545" w:rsidP="00C52545">
      <w:pPr>
        <w:pStyle w:val="lp11"/>
        <w:numPr>
          <w:ilvl w:val="0"/>
          <w:numId w:val="8"/>
        </w:numPr>
      </w:pPr>
      <w:r>
        <w:rPr>
          <w:b/>
          <w:bCs/>
        </w:rPr>
        <w:t>It is better to r</w:t>
      </w:r>
      <w:r w:rsidRPr="004C69C2">
        <w:rPr>
          <w:b/>
          <w:bCs/>
        </w:rPr>
        <w:t>each out fast and often to line ministries</w:t>
      </w:r>
      <w:r>
        <w:rPr>
          <w:b/>
          <w:bCs/>
        </w:rPr>
        <w:t>,</w:t>
      </w:r>
      <w:r w:rsidRPr="004C69C2">
        <w:t xml:space="preserve"> to </w:t>
      </w:r>
      <w:r>
        <w:t xml:space="preserve">indicate to </w:t>
      </w:r>
      <w:r w:rsidRPr="004C69C2">
        <w:t xml:space="preserve">them </w:t>
      </w:r>
      <w:r>
        <w:t>that</w:t>
      </w:r>
      <w:r w:rsidRPr="004C69C2">
        <w:t xml:space="preserve"> they can receive help and </w:t>
      </w:r>
      <w:r>
        <w:t>to</w:t>
      </w:r>
      <w:r w:rsidRPr="004C69C2">
        <w:t xml:space="preserve"> train</w:t>
      </w:r>
      <w:r>
        <w:t xml:space="preserve"> them</w:t>
      </w:r>
      <w:r w:rsidRPr="004C69C2">
        <w:t xml:space="preserve"> </w:t>
      </w:r>
      <w:r>
        <w:t xml:space="preserve">from the start </w:t>
      </w:r>
      <w:r w:rsidRPr="004C69C2">
        <w:t>on the DNSH principle;</w:t>
      </w:r>
    </w:p>
    <w:p w14:paraId="03FE433C" w14:textId="77777777" w:rsidR="00C52545" w:rsidRPr="004C69C2" w:rsidRDefault="00C52545" w:rsidP="00C52545">
      <w:pPr>
        <w:pStyle w:val="lp11"/>
        <w:numPr>
          <w:ilvl w:val="0"/>
          <w:numId w:val="8"/>
        </w:numPr>
      </w:pPr>
      <w:r w:rsidRPr="004C69C2">
        <w:rPr>
          <w:b/>
          <w:bCs/>
        </w:rPr>
        <w:t>Integrate the DNSH principle early on and in every relevant document,</w:t>
      </w:r>
      <w:r w:rsidRPr="004C69C2">
        <w:t xml:space="preserve"> so that crisis situations are avoided;</w:t>
      </w:r>
    </w:p>
    <w:p w14:paraId="4C65FCE2" w14:textId="77777777" w:rsidR="00C52545" w:rsidRPr="004C69C2" w:rsidRDefault="00C52545" w:rsidP="00C52545">
      <w:pPr>
        <w:pStyle w:val="lp11"/>
        <w:numPr>
          <w:ilvl w:val="0"/>
          <w:numId w:val="8"/>
        </w:numPr>
      </w:pPr>
      <w:r w:rsidRPr="004C69C2">
        <w:rPr>
          <w:b/>
          <w:bCs/>
        </w:rPr>
        <w:t>Disseminate information</w:t>
      </w:r>
      <w:r w:rsidRPr="004C69C2">
        <w:t xml:space="preserve"> and multiply formats so that more information is available (e.g., videos, insofar as you cannot organize trainings every weeks);</w:t>
      </w:r>
    </w:p>
    <w:p w14:paraId="7FA34AC1" w14:textId="77777777" w:rsidR="00C52545" w:rsidRPr="004C69C2" w:rsidRDefault="00C52545" w:rsidP="00C52545">
      <w:pPr>
        <w:pStyle w:val="lp11"/>
        <w:numPr>
          <w:ilvl w:val="0"/>
          <w:numId w:val="8"/>
        </w:numPr>
      </w:pPr>
      <w:r w:rsidRPr="004C69C2">
        <w:rPr>
          <w:b/>
          <w:bCs/>
        </w:rPr>
        <w:t>Teach the DNSH beyond RRP</w:t>
      </w:r>
      <w:r w:rsidRPr="004C69C2">
        <w:t xml:space="preserve"> (and beyond climate; there should be no cherry picking);</w:t>
      </w:r>
    </w:p>
    <w:p w14:paraId="3677DA74" w14:textId="77777777" w:rsidR="00C52545" w:rsidRPr="004C69C2" w:rsidRDefault="00C52545" w:rsidP="00C52545">
      <w:pPr>
        <w:pStyle w:val="lp11"/>
        <w:numPr>
          <w:ilvl w:val="0"/>
          <w:numId w:val="8"/>
        </w:numPr>
      </w:pPr>
      <w:r w:rsidRPr="004C69C2">
        <w:rPr>
          <w:b/>
          <w:bCs/>
        </w:rPr>
        <w:lastRenderedPageBreak/>
        <w:t>Train auditing teams</w:t>
      </w:r>
      <w:r w:rsidRPr="004C69C2">
        <w:t xml:space="preserve"> of the RRP and Financial Inspectors;</w:t>
      </w:r>
    </w:p>
    <w:p w14:paraId="2F047639" w14:textId="77777777" w:rsidR="00C52545" w:rsidRPr="004C69C2" w:rsidRDefault="00C52545" w:rsidP="00C52545">
      <w:pPr>
        <w:pStyle w:val="lp11"/>
        <w:numPr>
          <w:ilvl w:val="0"/>
          <w:numId w:val="8"/>
        </w:numPr>
      </w:pPr>
      <w:r w:rsidRPr="004C69C2">
        <w:rPr>
          <w:b/>
          <w:bCs/>
        </w:rPr>
        <w:t>Collate information and develop practical tools</w:t>
      </w:r>
      <w:r w:rsidRPr="004C69C2">
        <w:t>, insofar as questions are generally speaking the same;</w:t>
      </w:r>
    </w:p>
    <w:p w14:paraId="3D9D1CFC" w14:textId="4577DE39" w:rsidR="00C52545" w:rsidRPr="007608BA" w:rsidRDefault="00C52545" w:rsidP="00C52545">
      <w:pPr>
        <w:numPr>
          <w:ilvl w:val="0"/>
          <w:numId w:val="8"/>
        </w:numPr>
        <w:tabs>
          <w:tab w:val="left" w:pos="851"/>
        </w:tabs>
        <w:contextualSpacing/>
        <w:rPr>
          <w:lang w:val="en-GB"/>
        </w:rPr>
      </w:pPr>
      <w:r w:rsidRPr="004C69C2">
        <w:rPr>
          <w:b/>
        </w:rPr>
        <w:t>Build on the support of National Secretaries and Government</w:t>
      </w:r>
      <w:r w:rsidRPr="004C69C2">
        <w:t xml:space="preserve">. Resources </w:t>
      </w:r>
      <w:r w:rsidRPr="004C69C2">
        <w:rPr>
          <w:i/>
          <w:iCs/>
        </w:rPr>
        <w:t>are</w:t>
      </w:r>
      <w:r w:rsidRPr="004C69C2">
        <w:t xml:space="preserve"> needed to properly implement DNSH and this needs to be provided.</w:t>
      </w:r>
    </w:p>
    <w:p w14:paraId="22951530" w14:textId="77777777" w:rsidR="00C52545" w:rsidRPr="007608BA" w:rsidRDefault="00C52545" w:rsidP="007608BA">
      <w:pPr>
        <w:tabs>
          <w:tab w:val="left" w:pos="851"/>
        </w:tabs>
        <w:ind w:left="1287"/>
        <w:contextualSpacing/>
        <w:rPr>
          <w:lang w:val="en-GB"/>
        </w:rPr>
      </w:pPr>
    </w:p>
    <w:p w14:paraId="5D07B5EB" w14:textId="77777777" w:rsidR="00C52545" w:rsidRPr="004C69C2" w:rsidRDefault="00C52545" w:rsidP="007608BA">
      <w:pPr>
        <w:pStyle w:val="Nadpis2"/>
        <w:numPr>
          <w:ilvl w:val="0"/>
          <w:numId w:val="0"/>
        </w:numPr>
        <w:ind w:left="567"/>
      </w:pPr>
      <w:bookmarkStart w:id="145" w:name="_Toc127978743"/>
      <w:bookmarkStart w:id="146" w:name="_Toc131757492"/>
      <w:bookmarkStart w:id="147" w:name="_Toc131775885"/>
      <w:r w:rsidRPr="004C69C2">
        <w:t>Panel discussion</w:t>
      </w:r>
      <w:bookmarkEnd w:id="145"/>
      <w:bookmarkEnd w:id="146"/>
      <w:bookmarkEnd w:id="147"/>
    </w:p>
    <w:p w14:paraId="0BDAEFCF" w14:textId="77777777" w:rsidR="00C52545" w:rsidRPr="004C69C2" w:rsidRDefault="00C52545" w:rsidP="00C52545">
      <w:pPr>
        <w:rPr>
          <w:rFonts w:eastAsia="Calibri" w:cs="Arial"/>
          <w:b/>
          <w:bCs/>
          <w:lang w:val="en-GB"/>
        </w:rPr>
      </w:pPr>
      <w:r w:rsidRPr="004C69C2">
        <w:rPr>
          <w:rFonts w:eastAsia="Calibri" w:cs="Arial"/>
          <w:b/>
          <w:bCs/>
          <w:color w:val="F04E30"/>
          <w:lang w:val="en-GB"/>
        </w:rPr>
        <w:t>Project team</w:t>
      </w:r>
      <w:r w:rsidRPr="004C69C2">
        <w:rPr>
          <w:rFonts w:eastAsia="Calibri" w:cs="Arial"/>
          <w:color w:val="000000"/>
          <w:lang w:val="en-GB"/>
        </w:rPr>
        <w:t>: How to enhance the efficiency of governance processes? Are there valuable approaches for dividing the responsibilities for DNSH application?</w:t>
      </w:r>
    </w:p>
    <w:p w14:paraId="692EA034" w14:textId="77777777" w:rsidR="00C52545" w:rsidRPr="004C69C2" w:rsidRDefault="00C52545" w:rsidP="00C52545">
      <w:pPr>
        <w:rPr>
          <w:rFonts w:eastAsia="Calibri" w:cs="Arial"/>
          <w:lang w:val="en-GB"/>
        </w:rPr>
      </w:pPr>
      <w:r w:rsidRPr="004C69C2">
        <w:rPr>
          <w:rFonts w:eastAsia="Calibri" w:cs="Arial"/>
          <w:b/>
          <w:bCs/>
          <w:color w:val="2998FF"/>
        </w:rPr>
        <w:t>Lenka Růžičková</w:t>
      </w:r>
      <w:r w:rsidRPr="004C69C2">
        <w:rPr>
          <w:rFonts w:eastAsia="Calibri" w:cs="Arial"/>
          <w:lang w:val="en-GB"/>
        </w:rPr>
        <w:t xml:space="preserve">: The capacity to deal with </w:t>
      </w:r>
      <w:r>
        <w:rPr>
          <w:rFonts w:eastAsia="Calibri" w:cs="Arial"/>
          <w:lang w:val="en-GB"/>
        </w:rPr>
        <w:t xml:space="preserve">the </w:t>
      </w:r>
      <w:r w:rsidRPr="004C69C2">
        <w:rPr>
          <w:rFonts w:eastAsia="Calibri" w:cs="Arial"/>
          <w:lang w:val="en-GB"/>
        </w:rPr>
        <w:t xml:space="preserve">complexity of DNSH is still insufficient. RRF and </w:t>
      </w:r>
      <w:r>
        <w:rPr>
          <w:rFonts w:eastAsia="Calibri" w:cs="Arial"/>
          <w:lang w:val="en-GB"/>
        </w:rPr>
        <w:t>C</w:t>
      </w:r>
      <w:r w:rsidRPr="004C69C2">
        <w:rPr>
          <w:rFonts w:eastAsia="Calibri" w:cs="Arial"/>
          <w:lang w:val="en-GB"/>
        </w:rPr>
        <w:t xml:space="preserve">ohesion </w:t>
      </w:r>
      <w:r>
        <w:rPr>
          <w:rFonts w:eastAsia="Calibri" w:cs="Arial"/>
          <w:lang w:val="en-GB"/>
        </w:rPr>
        <w:t xml:space="preserve">Policy </w:t>
      </w:r>
      <w:r w:rsidRPr="004C69C2">
        <w:rPr>
          <w:rFonts w:eastAsia="Calibri" w:cs="Arial"/>
          <w:lang w:val="en-GB"/>
        </w:rPr>
        <w:t>funds are governed separate</w:t>
      </w:r>
      <w:r>
        <w:rPr>
          <w:rFonts w:eastAsia="Calibri" w:cs="Arial"/>
          <w:lang w:val="en-GB"/>
        </w:rPr>
        <w:t>ly</w:t>
      </w:r>
      <w:r w:rsidRPr="004C69C2">
        <w:rPr>
          <w:rFonts w:eastAsia="Calibri" w:cs="Arial"/>
          <w:lang w:val="en-GB"/>
        </w:rPr>
        <w:t xml:space="preserve">, such that the comparison with case studies presented is not easy. Cohesion </w:t>
      </w:r>
      <w:r>
        <w:rPr>
          <w:rFonts w:eastAsia="Calibri" w:cs="Arial"/>
          <w:lang w:val="en-GB"/>
        </w:rPr>
        <w:t xml:space="preserve">Policy </w:t>
      </w:r>
      <w:r w:rsidRPr="004C69C2">
        <w:rPr>
          <w:rFonts w:eastAsia="Calibri" w:cs="Arial"/>
          <w:lang w:val="en-GB"/>
        </w:rPr>
        <w:t>funds buil</w:t>
      </w:r>
      <w:r>
        <w:rPr>
          <w:rFonts w:eastAsia="Calibri" w:cs="Arial"/>
          <w:lang w:val="en-GB"/>
        </w:rPr>
        <w:t>d</w:t>
      </w:r>
      <w:r w:rsidRPr="004C69C2">
        <w:rPr>
          <w:rFonts w:eastAsia="Calibri" w:cs="Arial"/>
          <w:lang w:val="en-GB"/>
        </w:rPr>
        <w:t xml:space="preserve"> on lessons learned from </w:t>
      </w:r>
      <w:r>
        <w:rPr>
          <w:rFonts w:eastAsia="Calibri" w:cs="Arial"/>
          <w:lang w:val="en-GB"/>
        </w:rPr>
        <w:t>the application of</w:t>
      </w:r>
      <w:r w:rsidRPr="004C69C2">
        <w:rPr>
          <w:rFonts w:eastAsia="Calibri" w:cs="Arial"/>
          <w:lang w:val="en-GB"/>
        </w:rPr>
        <w:t xml:space="preserve"> the DNSH principle in the RRF. Comparison is also difficult with Belgium, where there is a balance of allocated funds to RRF and Cohesion Policy funds, while funds are largely more abundant for the Cohesion Policy funds in Czechia.</w:t>
      </w:r>
    </w:p>
    <w:p w14:paraId="3CC4DA16" w14:textId="77777777" w:rsidR="00C52545" w:rsidRPr="004C69C2" w:rsidRDefault="00C52545" w:rsidP="00C52545">
      <w:pPr>
        <w:rPr>
          <w:rFonts w:eastAsia="Calibri" w:cs="Arial"/>
          <w:lang w:val="en-GB"/>
        </w:rPr>
      </w:pPr>
    </w:p>
    <w:p w14:paraId="66EF46BF" w14:textId="77777777" w:rsidR="00C52545" w:rsidRPr="004C69C2" w:rsidRDefault="00C52545" w:rsidP="00C52545">
      <w:pPr>
        <w:rPr>
          <w:rFonts w:eastAsia="Calibri" w:cs="Arial"/>
          <w:b/>
          <w:bCs/>
          <w:lang w:val="en-GB"/>
        </w:rPr>
      </w:pPr>
      <w:r w:rsidRPr="004C69C2">
        <w:rPr>
          <w:rFonts w:eastAsia="Calibri" w:cs="Arial"/>
          <w:b/>
          <w:bCs/>
          <w:color w:val="F04E30"/>
          <w:lang w:val="en-GB"/>
        </w:rPr>
        <w:t>Project team</w:t>
      </w:r>
      <w:r w:rsidRPr="004C69C2">
        <w:rPr>
          <w:rFonts w:eastAsia="Calibri" w:cs="Arial"/>
          <w:color w:val="000000"/>
          <w:lang w:val="en-GB"/>
        </w:rPr>
        <w:t>:</w:t>
      </w:r>
      <w:r w:rsidRPr="004C69C2">
        <w:rPr>
          <w:rFonts w:eastAsia="Calibri" w:cs="Arial"/>
          <w:lang w:val="en-GB"/>
        </w:rPr>
        <w:t xml:space="preserve"> How is CPF approached in Spain?</w:t>
      </w:r>
    </w:p>
    <w:p w14:paraId="0479F58A" w14:textId="77777777" w:rsidR="00C52545" w:rsidRPr="004C69C2" w:rsidRDefault="00C52545" w:rsidP="00C52545">
      <w:pPr>
        <w:rPr>
          <w:rFonts w:eastAsia="Calibri" w:cs="Arial"/>
          <w:lang w:val="en-GB"/>
        </w:rPr>
      </w:pPr>
      <w:r w:rsidRPr="004C69C2">
        <w:rPr>
          <w:rFonts w:eastAsia="Calibri" w:cs="Arial"/>
          <w:b/>
          <w:color w:val="2998FF"/>
        </w:rPr>
        <w:t xml:space="preserve">Lucía </w:t>
      </w:r>
      <w:r w:rsidRPr="004C69C2">
        <w:rPr>
          <w:rFonts w:eastAsia="Calibri" w:cs="Arial"/>
          <w:b/>
          <w:bCs/>
          <w:color w:val="2998FF"/>
          <w:lang w:val="en-GB"/>
        </w:rPr>
        <w:t>Cobo</w:t>
      </w:r>
      <w:r w:rsidRPr="004C69C2">
        <w:rPr>
          <w:rFonts w:eastAsia="Calibri" w:cs="Arial"/>
          <w:lang w:val="en-GB"/>
        </w:rPr>
        <w:t>: The guide developed by the team for the strategic environmental evaluation and for DNSH assessments is used. DNSH guidance was written for the recovery plan, but a number of lessons learned apply to the Cohesion Policy funds. The approach also consisted in extending the capacity of the DNSH division (currently 10 colleagues). The Spanish approach is approved by the European Commission.</w:t>
      </w:r>
    </w:p>
    <w:p w14:paraId="55CD750A" w14:textId="77777777" w:rsidR="00C52545" w:rsidRPr="004C69C2" w:rsidRDefault="00C52545" w:rsidP="00C52545">
      <w:pPr>
        <w:rPr>
          <w:rFonts w:eastAsia="Calibri" w:cs="Arial"/>
          <w:lang w:val="en-GB"/>
        </w:rPr>
      </w:pPr>
    </w:p>
    <w:p w14:paraId="460FEC88" w14:textId="77777777" w:rsidR="00C52545" w:rsidRPr="004C69C2" w:rsidRDefault="00C52545" w:rsidP="00C52545">
      <w:pPr>
        <w:rPr>
          <w:rFonts w:eastAsia="Calibri" w:cs="Arial"/>
          <w:b/>
          <w:lang w:val="en-GB"/>
        </w:rPr>
      </w:pPr>
      <w:r w:rsidRPr="004C69C2">
        <w:rPr>
          <w:rFonts w:eastAsia="Calibri" w:cs="Arial"/>
          <w:b/>
          <w:bCs/>
          <w:color w:val="F04E30"/>
          <w:lang w:val="en-GB"/>
        </w:rPr>
        <w:t>Project team</w:t>
      </w:r>
      <w:r w:rsidRPr="004C69C2">
        <w:rPr>
          <w:rFonts w:eastAsia="Calibri" w:cs="Arial"/>
          <w:color w:val="000000"/>
          <w:lang w:val="en-GB"/>
        </w:rPr>
        <w:t>:</w:t>
      </w:r>
      <w:r w:rsidRPr="004C69C2">
        <w:rPr>
          <w:rFonts w:eastAsia="Calibri" w:cs="Arial"/>
          <w:lang w:val="en-GB"/>
        </w:rPr>
        <w:t xml:space="preserve"> On the topic of capacity building, what are the main considerations with regard to other presentations?</w:t>
      </w:r>
    </w:p>
    <w:p w14:paraId="6BF1E675" w14:textId="77777777" w:rsidR="00C52545" w:rsidRPr="004C69C2" w:rsidRDefault="00C52545" w:rsidP="00C52545">
      <w:pPr>
        <w:rPr>
          <w:rFonts w:eastAsia="Calibri" w:cs="Arial"/>
          <w:szCs w:val="18"/>
          <w:lang w:val="en-GB"/>
        </w:rPr>
      </w:pPr>
      <w:r w:rsidRPr="1E4C0714">
        <w:rPr>
          <w:rFonts w:eastAsia="Calibri" w:cs="Arial"/>
          <w:b/>
          <w:bCs/>
          <w:color w:val="2998FF"/>
          <w:szCs w:val="18"/>
          <w:lang w:val="fr-FR"/>
        </w:rPr>
        <w:t>Emma Terämä:</w:t>
      </w:r>
      <w:r w:rsidRPr="1E4C0714">
        <w:rPr>
          <w:rFonts w:eastAsia="Calibri" w:cs="Arial"/>
          <w:szCs w:val="18"/>
          <w:lang w:val="fr-FR"/>
        </w:rPr>
        <w:t xml:space="preserve"> Organisational structures differ. </w:t>
      </w:r>
      <w:r w:rsidRPr="1E4C0714">
        <w:rPr>
          <w:rFonts w:eastAsia="Calibri" w:cs="Arial"/>
          <w:szCs w:val="18"/>
          <w:lang w:val="en-GB"/>
        </w:rPr>
        <w:t xml:space="preserve">RRF is covered by the Ministry of Finance, while regional funding is </w:t>
      </w:r>
      <w:r>
        <w:rPr>
          <w:rFonts w:eastAsia="Calibri" w:cs="Arial"/>
          <w:szCs w:val="18"/>
          <w:lang w:val="en-GB"/>
        </w:rPr>
        <w:t xml:space="preserve">nested </w:t>
      </w:r>
      <w:r w:rsidRPr="1E4C0714">
        <w:rPr>
          <w:rFonts w:eastAsia="Calibri" w:cs="Arial"/>
          <w:szCs w:val="18"/>
          <w:lang w:val="en-GB"/>
        </w:rPr>
        <w:t>under Economic Affairs. Finland has been active and ambitious in the</w:t>
      </w:r>
      <w:r>
        <w:rPr>
          <w:rFonts w:eastAsia="Calibri" w:cs="Arial"/>
          <w:szCs w:val="18"/>
          <w:lang w:val="en-GB"/>
        </w:rPr>
        <w:t xml:space="preserve"> setup of</w:t>
      </w:r>
      <w:r w:rsidRPr="1E4C0714">
        <w:rPr>
          <w:rFonts w:eastAsia="Calibri" w:cs="Arial"/>
          <w:szCs w:val="18"/>
          <w:lang w:val="en-GB"/>
        </w:rPr>
        <w:t xml:space="preserve"> green transition targets, which helped to conduct DNSH-type of assessments at the programme level. The assessments are delegated to each Ministry that is implementing the measure and subsequent evaluation. The decentralised system keeps on working nowadays. This does not make it simple – typically, the different authorities had to be all contacted to check whether they had developed any documentation. The situation is stabilising (more guidance exists). The agency governing the reporting has developed documents. The question remains – would a centralised system not have been better suited?</w:t>
      </w:r>
    </w:p>
    <w:p w14:paraId="3A231A87" w14:textId="77777777" w:rsidR="00C52545" w:rsidRPr="004C69C2" w:rsidRDefault="00C52545" w:rsidP="00C52545">
      <w:pPr>
        <w:rPr>
          <w:rFonts w:eastAsia="Calibri" w:cs="Arial"/>
          <w:lang w:val="en-GB"/>
        </w:rPr>
      </w:pPr>
    </w:p>
    <w:p w14:paraId="6FBD88FA" w14:textId="77777777" w:rsidR="00C52545" w:rsidRPr="004C69C2" w:rsidRDefault="00C52545" w:rsidP="00C52545">
      <w:pPr>
        <w:rPr>
          <w:rFonts w:eastAsia="Calibri" w:cs="Arial"/>
          <w:lang w:val="en-GB"/>
        </w:rPr>
      </w:pPr>
      <w:r w:rsidRPr="004C69C2">
        <w:rPr>
          <w:rFonts w:eastAsia="Calibri" w:cs="Arial"/>
          <w:b/>
          <w:bCs/>
          <w:color w:val="F04E30"/>
          <w:lang w:val="en-GB"/>
        </w:rPr>
        <w:t>Project team</w:t>
      </w:r>
      <w:r w:rsidRPr="004C69C2">
        <w:rPr>
          <w:rFonts w:eastAsia="Calibri" w:cs="Arial"/>
          <w:lang w:val="en-GB"/>
        </w:rPr>
        <w:t>: Have there been any systems developed to ensure the consistency of DNSH application in the RRF and Cohesion Policy funds?</w:t>
      </w:r>
    </w:p>
    <w:p w14:paraId="553CDA27" w14:textId="77777777" w:rsidR="00C52545" w:rsidRPr="004C69C2" w:rsidRDefault="00C52545" w:rsidP="00C52545">
      <w:pPr>
        <w:rPr>
          <w:rFonts w:eastAsia="Calibri" w:cs="Arial"/>
          <w:lang w:val="en-GB"/>
        </w:rPr>
      </w:pPr>
      <w:r w:rsidRPr="004C69C2">
        <w:rPr>
          <w:rFonts w:eastAsia="Calibri" w:cs="Arial"/>
          <w:b/>
          <w:bCs/>
          <w:color w:val="2998FF"/>
          <w:lang w:val="en-GB"/>
        </w:rPr>
        <w:t>Stéphanie Baclin</w:t>
      </w:r>
      <w:r w:rsidRPr="004C69C2">
        <w:rPr>
          <w:rFonts w:eastAsia="Calibri" w:cs="Arial"/>
          <w:lang w:val="en-GB"/>
        </w:rPr>
        <w:t>: The ex-ante assessments from the Federal Plan Bureau attempted to do so. This provided an overview on the entire plan and of the DNSH application for all measures and thus helped to coordinate. For instance, this helped to know for which measures Stéphanie’s team can contact previous teams for previous measures to re-use the previous assessments. They do have consistency on their radar but the system is not perfect yet.</w:t>
      </w:r>
    </w:p>
    <w:p w14:paraId="1A89E369" w14:textId="77777777" w:rsidR="00C52545" w:rsidRPr="004C69C2" w:rsidRDefault="00C52545" w:rsidP="00C52545">
      <w:pPr>
        <w:rPr>
          <w:rFonts w:eastAsia="Calibri" w:cs="Arial"/>
          <w:lang w:val="en-GB"/>
        </w:rPr>
      </w:pPr>
      <w:r w:rsidRPr="004C69C2">
        <w:rPr>
          <w:rFonts w:eastAsia="Calibri" w:cs="Arial"/>
          <w:b/>
          <w:bCs/>
          <w:color w:val="2998FF"/>
          <w:lang w:val="en-GB"/>
        </w:rPr>
        <w:t>Emma Terämä</w:t>
      </w:r>
      <w:r w:rsidRPr="004C69C2">
        <w:rPr>
          <w:rFonts w:eastAsia="Calibri" w:cs="Arial"/>
          <w:lang w:val="en-GB"/>
        </w:rPr>
        <w:t xml:space="preserve">: </w:t>
      </w:r>
      <w:r>
        <w:rPr>
          <w:rFonts w:eastAsia="Calibri" w:cs="Arial"/>
          <w:lang w:val="en-GB"/>
        </w:rPr>
        <w:t>I</w:t>
      </w:r>
      <w:r w:rsidRPr="004C69C2">
        <w:rPr>
          <w:rFonts w:eastAsia="Calibri" w:cs="Arial"/>
          <w:lang w:val="en-GB"/>
        </w:rPr>
        <w:t>n many subjects, specific expertise is needed. Therefore, at this stage, only individual experts from specific units involved in the RRP can do the ex-ante assessments. Certainly a separate team (such as in Belgium) could make sense. But when discussing specific cases, it always boils down to very specific expertise. Therefore, a generic team is not the best suited.</w:t>
      </w:r>
    </w:p>
    <w:p w14:paraId="36E5F36F" w14:textId="77777777" w:rsidR="00C52545" w:rsidRPr="004C69C2" w:rsidRDefault="00C52545" w:rsidP="00C52545">
      <w:pPr>
        <w:rPr>
          <w:rFonts w:eastAsia="Calibri" w:cs="Arial"/>
          <w:lang w:val="en-GB"/>
        </w:rPr>
      </w:pPr>
    </w:p>
    <w:p w14:paraId="2EB8BD52" w14:textId="77777777" w:rsidR="00C52545" w:rsidRPr="004C69C2" w:rsidRDefault="00C52545" w:rsidP="00C52545">
      <w:pPr>
        <w:rPr>
          <w:rFonts w:eastAsia="Calibri" w:cs="Arial"/>
          <w:b/>
          <w:bCs/>
          <w:lang w:val="en-GB"/>
        </w:rPr>
      </w:pPr>
      <w:r w:rsidRPr="004C69C2">
        <w:rPr>
          <w:rFonts w:eastAsia="Calibri" w:cs="Arial"/>
          <w:b/>
          <w:bCs/>
          <w:color w:val="F04E30"/>
          <w:lang w:val="en-GB"/>
        </w:rPr>
        <w:t>Project team</w:t>
      </w:r>
      <w:r w:rsidRPr="004C69C2">
        <w:rPr>
          <w:rFonts w:eastAsia="Calibri" w:cs="Arial"/>
          <w:lang w:val="en-GB"/>
        </w:rPr>
        <w:t>: In terms of specific technical knowledge, what are the main challenges in Czechia?</w:t>
      </w:r>
    </w:p>
    <w:p w14:paraId="0043BE05" w14:textId="77777777" w:rsidR="00C52545" w:rsidRPr="004C69C2" w:rsidRDefault="00C52545" w:rsidP="00C52545">
      <w:pPr>
        <w:rPr>
          <w:rFonts w:eastAsia="Calibri" w:cs="Arial"/>
          <w:lang w:val="en-GB"/>
        </w:rPr>
      </w:pPr>
      <w:r w:rsidRPr="004C69C2">
        <w:rPr>
          <w:rFonts w:eastAsia="Calibri" w:cs="Arial"/>
          <w:b/>
          <w:color w:val="2998FF"/>
        </w:rPr>
        <w:t>Richard Juřík:</w:t>
      </w:r>
      <w:r w:rsidRPr="004C69C2">
        <w:rPr>
          <w:rFonts w:eastAsia="Calibri" w:cs="Arial"/>
          <w:lang w:val="en-GB"/>
        </w:rPr>
        <w:t xml:space="preserve"> Historically there has been a horizontal, strategic team at the Ministry of Environment. But the capacity to support component owners and the like is very limited (2 people). The Ministry thus tried to institutionalise and centralise the DNSH governance. However a strong opposition raised at the political level, as this would require to increase the number of civil servants. Now that the topic continues becoming more complex (e.g., CP under the Cohesion Policy funds), the horizontal team is not in the position to consult in a concrete manner to all the requests for help. It gave high-level recommendations for all objectives and framework guidance for CP. The specific implementation thus still relies on the component’s owners/managing authorities (e.g., for ex ante assessments). However, they are not always able to do so, as confirmed by the TSI project.</w:t>
      </w:r>
    </w:p>
    <w:p w14:paraId="41DD8761" w14:textId="77777777" w:rsidR="00C52545" w:rsidRPr="004C69C2" w:rsidRDefault="00C52545" w:rsidP="00C52545">
      <w:pPr>
        <w:rPr>
          <w:rFonts w:eastAsia="Calibri" w:cs="Arial"/>
          <w:lang w:val="en-GB"/>
        </w:rPr>
      </w:pPr>
      <w:r w:rsidRPr="004C69C2">
        <w:rPr>
          <w:rFonts w:eastAsia="Calibri" w:cs="Arial"/>
          <w:b/>
          <w:color w:val="2998FF"/>
        </w:rPr>
        <w:t xml:space="preserve">Lucía </w:t>
      </w:r>
      <w:r w:rsidRPr="004C69C2">
        <w:rPr>
          <w:rFonts w:eastAsia="Calibri" w:cs="Arial"/>
          <w:b/>
          <w:bCs/>
          <w:color w:val="2998FF"/>
        </w:rPr>
        <w:t>Cobo:</w:t>
      </w:r>
      <w:r w:rsidRPr="004C69C2">
        <w:rPr>
          <w:rFonts w:eastAsia="Calibri" w:cs="Arial"/>
          <w:lang w:val="en-GB"/>
        </w:rPr>
        <w:t xml:space="preserve"> Each ministry is responsible for establishing the managing procedures. It is more efficient to ask Ministries to conduct assessments, although larger companies are asked to conduct assessment themselves (in certain cases this includes third party validations or certifications). The DNSH principle is here to stay; companies must start sooner or later to incorporate it in their procedures. </w:t>
      </w:r>
    </w:p>
    <w:p w14:paraId="6A9F6B9B" w14:textId="77777777" w:rsidR="00C52545" w:rsidRPr="004C69C2" w:rsidRDefault="00C52545" w:rsidP="00C52545">
      <w:pPr>
        <w:rPr>
          <w:rFonts w:eastAsia="Calibri" w:cs="Arial"/>
          <w:lang w:val="en-GB"/>
        </w:rPr>
      </w:pPr>
    </w:p>
    <w:p w14:paraId="00EFF998" w14:textId="77777777" w:rsidR="00C52545" w:rsidRPr="004C69C2" w:rsidRDefault="00C52545" w:rsidP="00C52545">
      <w:pPr>
        <w:rPr>
          <w:rFonts w:eastAsia="Calibri" w:cs="Arial"/>
          <w:lang w:val="en-GB"/>
        </w:rPr>
      </w:pPr>
      <w:r w:rsidRPr="004C69C2">
        <w:rPr>
          <w:rFonts w:eastAsia="Calibri" w:cs="Arial"/>
          <w:b/>
          <w:bCs/>
          <w:color w:val="F04E30"/>
          <w:lang w:val="en-GB"/>
        </w:rPr>
        <w:t>Project team</w:t>
      </w:r>
      <w:r w:rsidRPr="004C69C2">
        <w:rPr>
          <w:rFonts w:eastAsia="Calibri" w:cs="Arial"/>
          <w:lang w:val="en-GB"/>
        </w:rPr>
        <w:t xml:space="preserve">: How do you approach capacity building at the national level? What are the main needs from the Ministry and project proponents? </w:t>
      </w:r>
    </w:p>
    <w:p w14:paraId="1146FF5C" w14:textId="77777777" w:rsidR="00C52545" w:rsidRPr="004C69C2" w:rsidRDefault="00C52545" w:rsidP="00C52545">
      <w:pPr>
        <w:rPr>
          <w:rFonts w:eastAsia="Calibri" w:cs="Arial"/>
          <w:lang w:val="en-GB"/>
        </w:rPr>
      </w:pPr>
      <w:r w:rsidRPr="004C69C2">
        <w:rPr>
          <w:rFonts w:eastAsia="Calibri" w:cs="Arial"/>
          <w:b/>
          <w:bCs/>
          <w:color w:val="2998FF"/>
        </w:rPr>
        <w:t>Lenka Růžičková</w:t>
      </w:r>
      <w:r w:rsidRPr="004C69C2">
        <w:rPr>
          <w:rFonts w:eastAsia="Calibri" w:cs="Arial"/>
          <w:lang w:val="en-GB"/>
        </w:rPr>
        <w:t xml:space="preserve">: This effort started with seminars two years ago. The trainings were integrated in the discussion around the EU Taxonomy and other topics. It thus remained high level, but helped to improve the capacity and sharing of information. It proved important to include different stakeholders. </w:t>
      </w:r>
    </w:p>
    <w:p w14:paraId="6BBF164E" w14:textId="77777777" w:rsidR="00C52545" w:rsidRPr="004C69C2" w:rsidRDefault="00C52545" w:rsidP="00C52545">
      <w:pPr>
        <w:rPr>
          <w:rFonts w:eastAsia="Calibri" w:cs="Arial"/>
          <w:lang w:val="en-GB"/>
        </w:rPr>
      </w:pPr>
    </w:p>
    <w:p w14:paraId="1CC7A849" w14:textId="77777777" w:rsidR="00C52545" w:rsidRPr="004C69C2" w:rsidRDefault="00C52545" w:rsidP="00C52545">
      <w:pPr>
        <w:rPr>
          <w:rFonts w:eastAsia="Calibri" w:cs="Arial"/>
          <w:b/>
          <w:bCs/>
          <w:lang w:val="en-GB"/>
        </w:rPr>
      </w:pPr>
      <w:r w:rsidRPr="004C69C2">
        <w:rPr>
          <w:rFonts w:eastAsia="Calibri" w:cs="Arial"/>
          <w:b/>
          <w:bCs/>
          <w:color w:val="F04E30"/>
          <w:lang w:val="en-GB"/>
        </w:rPr>
        <w:t>Project team</w:t>
      </w:r>
      <w:r w:rsidRPr="004C69C2">
        <w:rPr>
          <w:rFonts w:eastAsia="Calibri" w:cs="Arial"/>
          <w:lang w:val="en-GB"/>
        </w:rPr>
        <w:t>: In Belgium, the DNSH centre provides trainings. At a granular level, what have been the main capacity building needs? What are the questions mostly asked?</w:t>
      </w:r>
    </w:p>
    <w:p w14:paraId="328FB0A4" w14:textId="77777777" w:rsidR="00C52545" w:rsidRPr="004C69C2" w:rsidRDefault="00C52545" w:rsidP="00C52545">
      <w:pPr>
        <w:rPr>
          <w:rFonts w:eastAsia="Calibri" w:cs="Arial"/>
          <w:lang w:val="en-GB"/>
        </w:rPr>
      </w:pPr>
      <w:r w:rsidRPr="004C69C2">
        <w:rPr>
          <w:rFonts w:eastAsia="Calibri" w:cs="Arial"/>
          <w:b/>
          <w:color w:val="2998FF"/>
          <w:lang w:val="en-GB"/>
        </w:rPr>
        <w:t>Stéphanie</w:t>
      </w:r>
      <w:r w:rsidRPr="004C69C2">
        <w:rPr>
          <w:rFonts w:eastAsia="Calibri" w:cs="Arial"/>
          <w:b/>
          <w:bCs/>
          <w:color w:val="2998FF"/>
          <w:lang w:val="en-GB"/>
        </w:rPr>
        <w:t xml:space="preserve"> Baclin</w:t>
      </w:r>
      <w:r w:rsidRPr="004C69C2">
        <w:rPr>
          <w:rFonts w:eastAsia="Calibri" w:cs="Arial"/>
          <w:lang w:val="en-GB"/>
        </w:rPr>
        <w:t>: The questions are still broad and basic. Many participants ask about the notion of DNSH. Recipients raised that they did need this support and they felt much accompanied when received a basic description of the principle and clear steps to be followed. Knowing that they may rely on answers later on in the process from the helpdesk is also appreciated.</w:t>
      </w:r>
    </w:p>
    <w:p w14:paraId="4D785F4A" w14:textId="77777777" w:rsidR="00C52545" w:rsidRPr="004C69C2" w:rsidRDefault="00C52545" w:rsidP="00C52545">
      <w:pPr>
        <w:rPr>
          <w:rFonts w:eastAsia="Calibri" w:cs="Arial"/>
          <w:b/>
          <w:bCs/>
          <w:color w:val="0070C0"/>
          <w:lang w:val="en-GB"/>
        </w:rPr>
      </w:pPr>
    </w:p>
    <w:p w14:paraId="1DEC8050" w14:textId="77777777" w:rsidR="00C52545" w:rsidRPr="004C69C2" w:rsidRDefault="00C52545" w:rsidP="00C52545">
      <w:pPr>
        <w:rPr>
          <w:rFonts w:eastAsia="Calibri" w:cs="Arial"/>
          <w:b/>
          <w:bCs/>
          <w:lang w:val="en-GB"/>
        </w:rPr>
      </w:pPr>
      <w:r w:rsidRPr="004C69C2">
        <w:rPr>
          <w:rFonts w:eastAsia="Calibri" w:cs="Arial"/>
          <w:b/>
          <w:bCs/>
          <w:color w:val="F04E30"/>
          <w:lang w:val="en-GB"/>
        </w:rPr>
        <w:t>Project team</w:t>
      </w:r>
      <w:r w:rsidRPr="004C69C2">
        <w:rPr>
          <w:rFonts w:eastAsia="Calibri" w:cs="Arial"/>
          <w:lang w:val="en-GB"/>
        </w:rPr>
        <w:t>: What about the Spanish context?</w:t>
      </w:r>
    </w:p>
    <w:p w14:paraId="15033C28" w14:textId="77777777" w:rsidR="00C52545" w:rsidRPr="004C69C2" w:rsidRDefault="00C52545" w:rsidP="00C52545">
      <w:pPr>
        <w:rPr>
          <w:rFonts w:eastAsia="Calibri" w:cs="Arial"/>
          <w:lang w:val="en-GB"/>
        </w:rPr>
      </w:pPr>
      <w:r w:rsidRPr="004C69C2">
        <w:rPr>
          <w:rFonts w:eastAsia="Calibri" w:cs="Arial"/>
          <w:b/>
          <w:color w:val="2998FF"/>
          <w:lang w:val="en-GB"/>
        </w:rPr>
        <w:t>Lucía</w:t>
      </w:r>
      <w:r w:rsidRPr="004C69C2">
        <w:rPr>
          <w:rFonts w:eastAsia="Calibri" w:cs="Arial"/>
          <w:b/>
          <w:color w:val="002C54"/>
          <w:lang w:val="en-GB"/>
          <w14:textFill>
            <w14:solidFill>
              <w14:srgbClr w14:val="002C54">
                <w14:lumOff w14:val="50000"/>
                <w14:lumMod w14:val="50000"/>
              </w14:srgbClr>
            </w14:solidFill>
          </w14:textFill>
        </w:rPr>
        <w:t xml:space="preserve"> </w:t>
      </w:r>
      <w:r w:rsidRPr="004C69C2">
        <w:rPr>
          <w:rFonts w:eastAsia="Calibri" w:cs="Arial"/>
          <w:b/>
          <w:bCs/>
          <w:color w:val="2998FF"/>
          <w:lang w:val="en-GB"/>
        </w:rPr>
        <w:t>Cobo</w:t>
      </w:r>
      <w:r w:rsidRPr="004C69C2">
        <w:rPr>
          <w:rFonts w:eastAsia="Calibri" w:cs="Arial"/>
          <w:lang w:val="en-GB"/>
        </w:rPr>
        <w:t xml:space="preserve">: The DNSH division provides support to proponents to fill-in the self-assessment questionnaire. Questions that most frequently arise concern methods for data collection, label changing, level of requirements, etc. However other more complex questions also start to be asked. </w:t>
      </w:r>
    </w:p>
    <w:p w14:paraId="38277BC3" w14:textId="77777777" w:rsidR="00C52545" w:rsidRPr="004C69C2" w:rsidRDefault="00C52545" w:rsidP="00C52545">
      <w:pPr>
        <w:rPr>
          <w:rFonts w:eastAsia="Calibri" w:cs="Arial"/>
          <w:lang w:val="en-GB"/>
        </w:rPr>
      </w:pPr>
    </w:p>
    <w:p w14:paraId="5DC3A847" w14:textId="77777777" w:rsidR="00C52545" w:rsidRPr="004C69C2" w:rsidRDefault="00C52545" w:rsidP="00C52545">
      <w:pPr>
        <w:rPr>
          <w:rFonts w:eastAsia="Calibri" w:cs="Arial"/>
          <w:b/>
          <w:lang w:val="en-GB"/>
        </w:rPr>
      </w:pPr>
      <w:r w:rsidRPr="004C69C2">
        <w:rPr>
          <w:rFonts w:eastAsia="Calibri" w:cs="Arial"/>
          <w:b/>
          <w:color w:val="F04E30"/>
          <w:lang w:val="en-GB"/>
        </w:rPr>
        <w:t>Project team</w:t>
      </w:r>
      <w:r w:rsidRPr="004C69C2">
        <w:rPr>
          <w:rFonts w:eastAsia="Calibri" w:cs="Arial"/>
          <w:bCs/>
          <w:lang w:val="en-GB"/>
        </w:rPr>
        <w:t xml:space="preserve">: Do you try to tailor trainings based on </w:t>
      </w:r>
      <w:r>
        <w:rPr>
          <w:rFonts w:eastAsia="Calibri" w:cs="Arial"/>
          <w:bCs/>
          <w:lang w:val="en-GB"/>
        </w:rPr>
        <w:t>trainees’</w:t>
      </w:r>
      <w:r w:rsidRPr="004C69C2">
        <w:rPr>
          <w:rFonts w:eastAsia="Calibri" w:cs="Arial"/>
          <w:bCs/>
          <w:lang w:val="en-GB"/>
        </w:rPr>
        <w:t xml:space="preserve"> needs?</w:t>
      </w:r>
      <w:r w:rsidRPr="004C69C2">
        <w:rPr>
          <w:rFonts w:eastAsia="Calibri" w:cs="Arial"/>
          <w:b/>
          <w:lang w:val="en-GB"/>
        </w:rPr>
        <w:t xml:space="preserve"> </w:t>
      </w:r>
    </w:p>
    <w:p w14:paraId="361B8DBA" w14:textId="77777777" w:rsidR="00C52545" w:rsidRPr="004C69C2" w:rsidRDefault="00C52545" w:rsidP="00C52545">
      <w:pPr>
        <w:rPr>
          <w:rFonts w:eastAsia="Calibri" w:cs="Arial"/>
          <w:lang w:val="en-GB"/>
        </w:rPr>
      </w:pPr>
      <w:r w:rsidRPr="004C69C2">
        <w:rPr>
          <w:rFonts w:eastAsia="Calibri" w:cs="Arial"/>
          <w:b/>
          <w:color w:val="2998FF"/>
          <w:lang w:val="en-GB"/>
        </w:rPr>
        <w:t xml:space="preserve">Lucía </w:t>
      </w:r>
      <w:r w:rsidRPr="004C69C2">
        <w:rPr>
          <w:rFonts w:eastAsia="Calibri" w:cs="Arial"/>
          <w:b/>
          <w:bCs/>
          <w:color w:val="2998FF"/>
          <w:lang w:val="en-GB"/>
        </w:rPr>
        <w:t>Cobo</w:t>
      </w:r>
      <w:r w:rsidRPr="004C69C2">
        <w:rPr>
          <w:rFonts w:eastAsia="Calibri" w:cs="Arial"/>
          <w:lang w:val="en-GB"/>
        </w:rPr>
        <w:t xml:space="preserve">: Yes, the </w:t>
      </w:r>
      <w:r>
        <w:rPr>
          <w:rFonts w:eastAsia="Calibri" w:cs="Arial"/>
          <w:lang w:val="en-GB"/>
        </w:rPr>
        <w:t xml:space="preserve">DNSH </w:t>
      </w:r>
      <w:r w:rsidRPr="004C69C2">
        <w:rPr>
          <w:rFonts w:eastAsia="Calibri" w:cs="Arial"/>
          <w:lang w:val="en-GB"/>
        </w:rPr>
        <w:t xml:space="preserve">team always asks about their needs. There is a general training, to which are included answers to questions, specific measures and types of funding, etc. </w:t>
      </w:r>
    </w:p>
    <w:p w14:paraId="5A18DB8E" w14:textId="77777777" w:rsidR="00C52545" w:rsidRPr="004C69C2" w:rsidRDefault="00C52545" w:rsidP="00C52545">
      <w:pPr>
        <w:rPr>
          <w:rFonts w:eastAsia="Calibri" w:cs="Arial"/>
          <w:lang w:val="en-GB"/>
        </w:rPr>
      </w:pPr>
    </w:p>
    <w:p w14:paraId="06ABBF44" w14:textId="77777777" w:rsidR="00C52545" w:rsidRPr="004C69C2" w:rsidRDefault="00C52545" w:rsidP="00C52545">
      <w:pPr>
        <w:rPr>
          <w:rFonts w:eastAsia="Calibri" w:cs="Arial"/>
          <w:lang w:val="en-GB"/>
        </w:rPr>
      </w:pPr>
      <w:r w:rsidRPr="004C69C2">
        <w:rPr>
          <w:rFonts w:eastAsia="Calibri" w:cs="Arial"/>
          <w:b/>
          <w:color w:val="F04E30"/>
          <w:lang w:val="en-GB"/>
        </w:rPr>
        <w:t>Julian:</w:t>
      </w:r>
      <w:r w:rsidRPr="004C69C2">
        <w:rPr>
          <w:rFonts w:eastAsia="Calibri" w:cs="Arial"/>
          <w:b/>
          <w:lang w:val="en-GB"/>
        </w:rPr>
        <w:t xml:space="preserve"> </w:t>
      </w:r>
      <w:r w:rsidRPr="004C69C2">
        <w:rPr>
          <w:rFonts w:eastAsia="Calibri" w:cs="Arial"/>
          <w:lang w:val="en-GB"/>
        </w:rPr>
        <w:t>In terms of governance, how do you approach capacity building across ministries?</w:t>
      </w:r>
    </w:p>
    <w:p w14:paraId="05D53DAB" w14:textId="77777777" w:rsidR="00C52545" w:rsidRPr="004C69C2" w:rsidRDefault="00C52545" w:rsidP="00C52545">
      <w:pPr>
        <w:rPr>
          <w:rFonts w:eastAsia="Calibri" w:cs="Arial"/>
          <w:lang w:val="en-GB"/>
        </w:rPr>
      </w:pPr>
      <w:r w:rsidRPr="004C69C2">
        <w:rPr>
          <w:rFonts w:eastAsia="Calibri" w:cs="Arial"/>
          <w:b/>
          <w:color w:val="2998FF"/>
          <w:lang w:val="en-GB"/>
        </w:rPr>
        <w:t>Emma</w:t>
      </w:r>
      <w:r w:rsidRPr="004C69C2">
        <w:rPr>
          <w:rFonts w:eastAsia="Calibri" w:cs="Arial"/>
          <w:b/>
          <w:bCs/>
          <w:color w:val="2998FF"/>
          <w:lang w:val="en-GB"/>
        </w:rPr>
        <w:t xml:space="preserve"> Terämä</w:t>
      </w:r>
      <w:r w:rsidRPr="004C69C2">
        <w:rPr>
          <w:rFonts w:eastAsia="Calibri" w:cs="Arial"/>
          <w:lang w:val="en-GB"/>
        </w:rPr>
        <w:t xml:space="preserve">: The Ministry provided one training, which was useful to understand and expand the team’s ability on DNSH. The environmental integrity concept of DNSH was discussed and revealed complex. Moreover, similarly to Czechia, the 2-stages DNSH assessment is not very clear. </w:t>
      </w:r>
    </w:p>
    <w:p w14:paraId="60AB71CE" w14:textId="77777777" w:rsidR="00C52545" w:rsidRPr="004C69C2" w:rsidRDefault="00C52545" w:rsidP="00C52545">
      <w:pPr>
        <w:rPr>
          <w:rFonts w:eastAsia="Calibri" w:cs="Arial"/>
          <w:lang w:val="en-GB"/>
        </w:rPr>
      </w:pPr>
    </w:p>
    <w:p w14:paraId="2C39DDE1" w14:textId="77777777" w:rsidR="00C52545" w:rsidRPr="004C69C2" w:rsidRDefault="00C52545" w:rsidP="00C52545">
      <w:pPr>
        <w:rPr>
          <w:rFonts w:eastAsia="Calibri" w:cs="Arial"/>
          <w:b/>
          <w:bCs/>
          <w:lang w:val="en-GB"/>
        </w:rPr>
      </w:pPr>
      <w:r w:rsidRPr="004C69C2">
        <w:rPr>
          <w:rFonts w:eastAsia="Calibri" w:cs="Arial"/>
          <w:b/>
          <w:color w:val="F04E30"/>
          <w:lang w:val="en-GB"/>
        </w:rPr>
        <w:t xml:space="preserve">Project team </w:t>
      </w:r>
      <w:r w:rsidRPr="004C69C2">
        <w:rPr>
          <w:rFonts w:eastAsia="Calibri" w:cs="Arial"/>
          <w:bCs/>
          <w:lang w:val="en-GB"/>
        </w:rPr>
        <w:t>[Question from the chat]: Could we hear more about the practices related to railway infrastructure from Belgium?</w:t>
      </w:r>
    </w:p>
    <w:p w14:paraId="4301C5BF" w14:textId="77777777" w:rsidR="00C52545" w:rsidRPr="004C69C2" w:rsidRDefault="00C52545" w:rsidP="00C52545">
      <w:pPr>
        <w:rPr>
          <w:rFonts w:eastAsia="Calibri" w:cs="Arial"/>
          <w:lang w:val="en-GB"/>
        </w:rPr>
      </w:pPr>
      <w:r w:rsidRPr="004C69C2">
        <w:rPr>
          <w:rFonts w:eastAsia="Calibri" w:cs="Arial"/>
          <w:b/>
          <w:bCs/>
          <w:color w:val="2998FF"/>
          <w:lang w:val="en-GB"/>
        </w:rPr>
        <w:lastRenderedPageBreak/>
        <w:t>Stéphanie Baclin</w:t>
      </w:r>
      <w:r w:rsidRPr="004C69C2">
        <w:rPr>
          <w:rFonts w:eastAsia="Calibri" w:cs="Arial"/>
          <w:lang w:val="en-GB"/>
        </w:rPr>
        <w:t>: The training on railroads is to be conducted the day after the webinar, therefore there are no interesting perspectives to share yet.</w:t>
      </w:r>
    </w:p>
    <w:p w14:paraId="360C1564" w14:textId="7120F595" w:rsidR="00C52545" w:rsidRPr="004C69C2" w:rsidRDefault="00C52545" w:rsidP="00C52545">
      <w:pPr>
        <w:rPr>
          <w:rFonts w:eastAsia="Calibri" w:cs="Arial"/>
          <w:lang w:val="en-GB"/>
        </w:rPr>
      </w:pPr>
      <w:r w:rsidRPr="004C69C2">
        <w:rPr>
          <w:rFonts w:eastAsia="Calibri" w:cs="Arial"/>
          <w:b/>
          <w:color w:val="2998FF"/>
          <w:lang w:val="en-GB"/>
        </w:rPr>
        <w:t xml:space="preserve">Richard </w:t>
      </w:r>
      <w:r w:rsidRPr="004C69C2">
        <w:rPr>
          <w:rFonts w:eastAsia="Calibri" w:cs="Arial"/>
          <w:b/>
          <w:color w:val="2998FF"/>
        </w:rPr>
        <w:t>Juřík</w:t>
      </w:r>
      <w:r w:rsidRPr="004C69C2">
        <w:rPr>
          <w:rFonts w:eastAsia="Calibri" w:cs="Arial"/>
          <w:b/>
          <w:color w:val="2998FF"/>
          <w:lang w:val="en-GB"/>
        </w:rPr>
        <w:t>:</w:t>
      </w:r>
      <w:r w:rsidRPr="004C69C2">
        <w:rPr>
          <w:rFonts w:eastAsia="Calibri" w:cs="Arial"/>
          <w:lang w:val="en-GB"/>
        </w:rPr>
        <w:t xml:space="preserve"> Technical screening criteria is not mandatory</w:t>
      </w:r>
      <w:r w:rsidR="00AD0FB6">
        <w:rPr>
          <w:rFonts w:eastAsia="Calibri" w:cs="Arial"/>
          <w:lang w:val="en-GB"/>
        </w:rPr>
        <w:t>,</w:t>
      </w:r>
      <w:r w:rsidRPr="004C69C2">
        <w:rPr>
          <w:rFonts w:eastAsia="Calibri" w:cs="Arial"/>
          <w:lang w:val="en-GB"/>
        </w:rPr>
        <w:t xml:space="preserve"> but it can be used as reference, even if it does not answer specific questions.</w:t>
      </w:r>
    </w:p>
    <w:p w14:paraId="089D717A" w14:textId="77777777" w:rsidR="00C52545" w:rsidRPr="004C69C2" w:rsidRDefault="00C52545" w:rsidP="00C52545">
      <w:pPr>
        <w:rPr>
          <w:rFonts w:eastAsia="Calibri" w:cs="Arial"/>
          <w:lang w:val="en-GB"/>
        </w:rPr>
      </w:pPr>
    </w:p>
    <w:p w14:paraId="1B170820" w14:textId="77777777" w:rsidR="00C52545" w:rsidRPr="004C69C2" w:rsidRDefault="00C52545" w:rsidP="00C52545">
      <w:pPr>
        <w:rPr>
          <w:rFonts w:eastAsia="Calibri" w:cs="Arial"/>
          <w:lang w:val="en-GB"/>
        </w:rPr>
      </w:pPr>
      <w:r w:rsidRPr="004C69C2">
        <w:rPr>
          <w:rFonts w:eastAsia="Calibri" w:cs="Arial"/>
          <w:b/>
          <w:color w:val="F04E30"/>
          <w:lang w:val="en-GB"/>
        </w:rPr>
        <w:t xml:space="preserve">Project team: </w:t>
      </w:r>
      <w:r w:rsidRPr="004C69C2">
        <w:rPr>
          <w:rFonts w:eastAsia="Calibri" w:cs="Arial"/>
          <w:lang w:val="en-GB"/>
        </w:rPr>
        <w:t xml:space="preserve">For climate proofing, regarding the adaptation phase, data is needed. What is the current state of data sharing and data platforms? </w:t>
      </w:r>
    </w:p>
    <w:p w14:paraId="5D9F6CF2" w14:textId="77777777" w:rsidR="00C52545" w:rsidRPr="004C69C2" w:rsidRDefault="00C52545" w:rsidP="00C52545">
      <w:pPr>
        <w:rPr>
          <w:rFonts w:eastAsia="Calibri" w:cs="Arial"/>
          <w:lang w:val="en-GB"/>
        </w:rPr>
      </w:pPr>
      <w:r w:rsidRPr="004C69C2">
        <w:rPr>
          <w:rFonts w:eastAsia="Calibri" w:cs="Arial"/>
          <w:b/>
          <w:color w:val="2998FF"/>
          <w:lang w:val="en-GB"/>
        </w:rPr>
        <w:t xml:space="preserve">Richard </w:t>
      </w:r>
      <w:r w:rsidRPr="004C69C2">
        <w:rPr>
          <w:rFonts w:eastAsia="Calibri" w:cs="Arial"/>
          <w:b/>
          <w:color w:val="2998FF"/>
        </w:rPr>
        <w:t>Juřík</w:t>
      </w:r>
      <w:r w:rsidRPr="004C69C2">
        <w:rPr>
          <w:rFonts w:eastAsia="Calibri" w:cs="Arial"/>
          <w:b/>
          <w:color w:val="2998FF"/>
          <w:lang w:val="en-GB"/>
        </w:rPr>
        <w:t>:</w:t>
      </w:r>
      <w:r w:rsidRPr="004C69C2">
        <w:rPr>
          <w:rFonts w:eastAsia="Calibri" w:cs="Arial"/>
          <w:lang w:val="en-GB"/>
        </w:rPr>
        <w:t xml:space="preserve"> It is currently insufficient. Policies should be interlinked to help ESG reporting. It would make sense that colleagues dealing with sustainable finance policy also manage the DNSH principle and climate proofing. To support that, the Ministry is considering climate budgeting. Moreover, although there is no data cloud yet, a study about climate risks is being conducted, and a discussion has been launched to improve data servers. Climate proofing guidance makes sense for large projects, but it is not useful in practice from an environmental point of view for small projects because of its highly granular data requirements. An online system should be able to gather all types of data, which would provide step by step guidance. Currently, data sets are decentralized, not all of them are provided by governmental institutions. That is also why academia and others institutions are being involved.</w:t>
      </w:r>
    </w:p>
    <w:p w14:paraId="48235808" w14:textId="77777777" w:rsidR="00C52545" w:rsidRPr="004C69C2" w:rsidRDefault="00C52545" w:rsidP="00C52545">
      <w:pPr>
        <w:rPr>
          <w:rFonts w:eastAsia="Calibri" w:cs="Arial"/>
          <w:lang w:val="en-GB"/>
        </w:rPr>
      </w:pPr>
    </w:p>
    <w:p w14:paraId="0EF4F5C3" w14:textId="77777777" w:rsidR="00C52545" w:rsidRPr="004C69C2" w:rsidRDefault="00C52545" w:rsidP="00C52545">
      <w:pPr>
        <w:rPr>
          <w:rFonts w:eastAsia="Calibri" w:cs="Arial"/>
          <w:lang w:val="en-GB"/>
        </w:rPr>
      </w:pPr>
      <w:r w:rsidRPr="004C69C2">
        <w:rPr>
          <w:rFonts w:eastAsia="Calibri" w:cs="Arial"/>
          <w:b/>
          <w:bCs/>
          <w:color w:val="F04E30"/>
          <w:lang w:val="en-GB"/>
        </w:rPr>
        <w:t>Project team</w:t>
      </w:r>
      <w:r w:rsidRPr="004C69C2">
        <w:rPr>
          <w:rFonts w:eastAsia="Calibri" w:cs="Arial"/>
          <w:lang w:val="en-GB"/>
        </w:rPr>
        <w:t>: How do you address the governance and processes related to data?</w:t>
      </w:r>
    </w:p>
    <w:p w14:paraId="6684FEEC" w14:textId="77777777" w:rsidR="00C52545" w:rsidRPr="004C69C2" w:rsidRDefault="00C52545" w:rsidP="00C52545">
      <w:pPr>
        <w:rPr>
          <w:rFonts w:eastAsia="Calibri" w:cs="Arial"/>
          <w:lang w:val="en-GB"/>
        </w:rPr>
      </w:pPr>
      <w:r w:rsidRPr="004C69C2">
        <w:rPr>
          <w:rFonts w:eastAsia="Calibri" w:cs="Arial"/>
          <w:b/>
          <w:bCs/>
          <w:color w:val="2998FF"/>
          <w:lang w:val="en-GB"/>
        </w:rPr>
        <w:t>Lucía Cobo</w:t>
      </w:r>
      <w:r w:rsidRPr="004C69C2">
        <w:rPr>
          <w:rFonts w:eastAsia="Calibri" w:cs="Arial"/>
          <w:lang w:val="en-GB"/>
        </w:rPr>
        <w:t>: Spain developed a tool for EIAs and CP. The sources of data come from meteorological stations in Spain and Eurocordex and IPCC projections (cf. important messages in the chat below). The information is provided for the 50 coming years, and although it is not extremely precise for mountains (more for cities), the methodology has been re-used by institutions of reference, confirming the quality of the Spanish approach. The tool is available freely online.</w:t>
      </w:r>
    </w:p>
    <w:p w14:paraId="17348FB5" w14:textId="77777777" w:rsidR="00C52545" w:rsidRPr="004C69C2" w:rsidRDefault="00C52545" w:rsidP="00C52545">
      <w:pPr>
        <w:rPr>
          <w:rFonts w:eastAsia="Calibri" w:cs="Arial"/>
          <w:lang w:val="en-GB"/>
        </w:rPr>
      </w:pPr>
      <w:r w:rsidRPr="004C69C2">
        <w:rPr>
          <w:rFonts w:eastAsia="Calibri" w:cs="Arial"/>
          <w:b/>
          <w:bCs/>
          <w:color w:val="2998FF"/>
          <w:lang w:val="en-GB"/>
        </w:rPr>
        <w:t>Emma Terämä</w:t>
      </w:r>
      <w:r w:rsidRPr="004C69C2">
        <w:rPr>
          <w:rFonts w:eastAsia="Calibri" w:cs="Arial"/>
          <w:lang w:val="en-GB"/>
        </w:rPr>
        <w:t>: Finland wishes to provide more specific data tailored to DNSH. The questions are related to responsibilities: who should pay</w:t>
      </w:r>
      <w:r>
        <w:rPr>
          <w:rFonts w:eastAsia="Calibri" w:cs="Arial"/>
          <w:lang w:val="en-GB"/>
        </w:rPr>
        <w:t xml:space="preserve"> for this service</w:t>
      </w:r>
      <w:r w:rsidRPr="004C69C2">
        <w:rPr>
          <w:rFonts w:eastAsia="Calibri" w:cs="Arial"/>
          <w:lang w:val="en-GB"/>
        </w:rPr>
        <w:t>? Who should manage</w:t>
      </w:r>
      <w:r>
        <w:rPr>
          <w:rFonts w:eastAsia="Calibri" w:cs="Arial"/>
          <w:lang w:val="en-GB"/>
        </w:rPr>
        <w:t xml:space="preserve"> it</w:t>
      </w:r>
      <w:r w:rsidRPr="004C69C2">
        <w:rPr>
          <w:rFonts w:eastAsia="Calibri" w:cs="Arial"/>
          <w:lang w:val="en-GB"/>
        </w:rPr>
        <w:t>? To what extent would private actors benefit from it? How to deal with the sensitivity of data that comes from the private sector? The discussion remains. There is some data in RRF reporting of course, but it is not machine readable and thus its accessibility is quite limited.</w:t>
      </w:r>
    </w:p>
    <w:p w14:paraId="5679E2C7" w14:textId="77777777" w:rsidR="00C52545" w:rsidRPr="004C69C2" w:rsidRDefault="00C52545" w:rsidP="00C52545">
      <w:pPr>
        <w:rPr>
          <w:rFonts w:eastAsia="Calibri" w:cs="Arial"/>
          <w:lang w:val="en-GB"/>
        </w:rPr>
      </w:pPr>
    </w:p>
    <w:p w14:paraId="1CFDC5D6" w14:textId="77777777" w:rsidR="00C52545" w:rsidRPr="004C69C2" w:rsidRDefault="00C52545" w:rsidP="00C52545">
      <w:pPr>
        <w:rPr>
          <w:rFonts w:eastAsia="Calibri" w:cs="Arial"/>
          <w:lang w:val="en-GB"/>
        </w:rPr>
      </w:pPr>
      <w:r w:rsidRPr="004C69C2">
        <w:rPr>
          <w:rFonts w:eastAsia="Calibri" w:cs="Arial"/>
          <w:b/>
          <w:bCs/>
          <w:color w:val="F04E30"/>
          <w:lang w:val="en-GB"/>
        </w:rPr>
        <w:t>Project team</w:t>
      </w:r>
      <w:r w:rsidRPr="004C69C2">
        <w:rPr>
          <w:rFonts w:eastAsia="Calibri" w:cs="Arial"/>
          <w:lang w:val="en-GB"/>
        </w:rPr>
        <w:t xml:space="preserve">: Are legislative changes needed to support implementation of the DNSH principle? </w:t>
      </w:r>
    </w:p>
    <w:p w14:paraId="4E9B588A" w14:textId="77777777" w:rsidR="00C52545" w:rsidRPr="004C69C2" w:rsidRDefault="00C52545" w:rsidP="00C52545">
      <w:pPr>
        <w:rPr>
          <w:rFonts w:eastAsia="Calibri" w:cs="Arial"/>
          <w:lang w:val="en-GB"/>
        </w:rPr>
      </w:pPr>
      <w:r w:rsidRPr="004C69C2">
        <w:rPr>
          <w:rFonts w:eastAsia="Calibri" w:cs="Arial"/>
          <w:b/>
          <w:color w:val="2998FF"/>
        </w:rPr>
        <w:t>Lenka</w:t>
      </w:r>
      <w:r w:rsidRPr="004C69C2">
        <w:rPr>
          <w:rFonts w:eastAsia="Calibri" w:cs="Arial"/>
          <w:b/>
          <w:bCs/>
          <w:color w:val="2998FF"/>
        </w:rPr>
        <w:t xml:space="preserve"> Růžičková</w:t>
      </w:r>
      <w:r w:rsidRPr="004C69C2">
        <w:rPr>
          <w:rFonts w:eastAsia="Calibri" w:cs="Arial"/>
          <w:lang w:val="en-GB"/>
        </w:rPr>
        <w:t xml:space="preserve">: Czech authorities intend to improve national legislation to better reflect the DNSH-specific guidance, namely to accommodate the need of involvement of a larger scope of stakeholders. The goal is to increase </w:t>
      </w:r>
      <w:r w:rsidRPr="004C69C2">
        <w:rPr>
          <w:rFonts w:eastAsia="Calibri" w:cs="Arial"/>
        </w:rPr>
        <w:t>capacity in this area.</w:t>
      </w:r>
    </w:p>
    <w:p w14:paraId="38A09002" w14:textId="77777777" w:rsidR="00C52545" w:rsidRPr="004C69C2" w:rsidRDefault="00C52545" w:rsidP="00C52545">
      <w:pPr>
        <w:rPr>
          <w:rFonts w:eastAsia="Calibri" w:cs="Arial"/>
          <w:lang w:val="en-GB"/>
        </w:rPr>
      </w:pPr>
    </w:p>
    <w:p w14:paraId="02C16975" w14:textId="77777777" w:rsidR="00C52545" w:rsidRPr="004C69C2" w:rsidRDefault="00C52545" w:rsidP="00C52545">
      <w:pPr>
        <w:rPr>
          <w:rFonts w:eastAsia="Calibri" w:cs="Arial"/>
          <w:lang w:val="en-GB"/>
        </w:rPr>
      </w:pPr>
      <w:r w:rsidRPr="004C69C2">
        <w:rPr>
          <w:rFonts w:eastAsia="Calibri" w:cs="Arial"/>
          <w:b/>
          <w:bCs/>
          <w:color w:val="F04E30"/>
          <w:lang w:val="en-GB"/>
        </w:rPr>
        <w:t>Project team</w:t>
      </w:r>
      <w:r w:rsidRPr="004C69C2">
        <w:rPr>
          <w:rFonts w:eastAsia="Calibri" w:cs="Arial"/>
          <w:lang w:val="en-GB"/>
        </w:rPr>
        <w:t>: What are your main priority for the coming year?</w:t>
      </w:r>
    </w:p>
    <w:p w14:paraId="50F760FB" w14:textId="77777777" w:rsidR="00C52545" w:rsidRPr="004C69C2" w:rsidRDefault="00C52545" w:rsidP="00C52545">
      <w:pPr>
        <w:rPr>
          <w:rFonts w:eastAsia="Calibri" w:cs="Arial"/>
          <w:lang w:val="en-GB"/>
        </w:rPr>
      </w:pPr>
      <w:r w:rsidRPr="0039413F">
        <w:rPr>
          <w:rFonts w:eastAsia="Calibri" w:cs="Arial"/>
          <w:i/>
          <w:iCs/>
          <w:lang w:val="en-GB"/>
        </w:rPr>
        <w:t>In Belgium</w:t>
      </w:r>
      <w:r w:rsidRPr="004C69C2">
        <w:rPr>
          <w:rFonts w:eastAsia="Calibri" w:cs="Arial"/>
          <w:lang w:val="en-GB"/>
        </w:rPr>
        <w:t>: to better disseminate information;</w:t>
      </w:r>
    </w:p>
    <w:p w14:paraId="3D504EDC" w14:textId="77777777" w:rsidR="00C52545" w:rsidRPr="004C69C2" w:rsidRDefault="00C52545" w:rsidP="00C52545">
      <w:pPr>
        <w:rPr>
          <w:rFonts w:eastAsia="Calibri" w:cs="Arial"/>
          <w:lang w:val="en-GB"/>
        </w:rPr>
      </w:pPr>
      <w:r w:rsidRPr="0039413F">
        <w:rPr>
          <w:rFonts w:eastAsia="Calibri" w:cs="Arial"/>
          <w:i/>
          <w:iCs/>
          <w:lang w:val="en-GB"/>
        </w:rPr>
        <w:t>In Finland</w:t>
      </w:r>
      <w:r w:rsidRPr="004C69C2">
        <w:rPr>
          <w:rFonts w:eastAsia="Calibri" w:cs="Arial"/>
          <w:lang w:val="en-GB"/>
        </w:rPr>
        <w:t>: to develop guidelines;</w:t>
      </w:r>
    </w:p>
    <w:p w14:paraId="4CEE17F3" w14:textId="77777777" w:rsidR="00C52545" w:rsidRPr="004C69C2" w:rsidRDefault="00C52545" w:rsidP="00C52545">
      <w:pPr>
        <w:rPr>
          <w:rFonts w:eastAsia="Calibri" w:cs="Arial"/>
          <w:lang w:val="en-GB"/>
        </w:rPr>
      </w:pPr>
      <w:r w:rsidRPr="0039413F">
        <w:rPr>
          <w:rFonts w:eastAsia="Calibri" w:cs="Arial"/>
          <w:i/>
          <w:iCs/>
          <w:lang w:val="en-GB"/>
        </w:rPr>
        <w:t>In Spain</w:t>
      </w:r>
      <w:r w:rsidRPr="004C69C2">
        <w:rPr>
          <w:rFonts w:eastAsia="Calibri" w:cs="Arial"/>
          <w:lang w:val="en-GB"/>
        </w:rPr>
        <w:t>: to create verification mechanisms, to review irrelevant TSC or TSC that are too specific to be used, to integrate DNSH in the national legislation;</w:t>
      </w:r>
    </w:p>
    <w:p w14:paraId="6519B0CC" w14:textId="77777777" w:rsidR="00C52545" w:rsidRPr="004C69C2" w:rsidRDefault="00C52545" w:rsidP="00C52545">
      <w:pPr>
        <w:rPr>
          <w:rFonts w:eastAsia="Calibri" w:cs="Arial"/>
          <w:lang w:val="en-GB"/>
        </w:rPr>
      </w:pPr>
      <w:r w:rsidRPr="0039413F">
        <w:rPr>
          <w:rFonts w:eastAsia="Calibri" w:cs="Arial"/>
          <w:i/>
          <w:iCs/>
          <w:lang w:val="en-GB"/>
        </w:rPr>
        <w:t>In Czechia</w:t>
      </w:r>
      <w:r w:rsidRPr="004C69C2">
        <w:rPr>
          <w:rFonts w:eastAsia="Calibri" w:cs="Arial"/>
          <w:lang w:val="en-GB"/>
        </w:rPr>
        <w:t>: to better manage data provision, to integrate the DNSH principle in the Czech legislative framework (this will mainly consist in work at the political level), and to dig deeper in the framework guidelines.</w:t>
      </w:r>
    </w:p>
    <w:p w14:paraId="25A0750D" w14:textId="77777777" w:rsidR="00C52545" w:rsidRPr="004C69C2" w:rsidRDefault="00C52545" w:rsidP="00C52545">
      <w:pPr>
        <w:rPr>
          <w:rFonts w:eastAsia="Calibri" w:cs="Arial"/>
          <w:lang w:val="en-GB"/>
        </w:rPr>
      </w:pPr>
    </w:p>
    <w:p w14:paraId="17B73FA1" w14:textId="77777777" w:rsidR="00C52545" w:rsidRPr="004C69C2" w:rsidRDefault="00C52545" w:rsidP="007608BA">
      <w:pPr>
        <w:pStyle w:val="Nadpis3"/>
        <w:numPr>
          <w:ilvl w:val="0"/>
          <w:numId w:val="0"/>
        </w:numPr>
        <w:ind w:left="567"/>
      </w:pPr>
      <w:bookmarkStart w:id="148" w:name="_Toc127978744"/>
      <w:bookmarkStart w:id="149" w:name="_Toc131757493"/>
      <w:bookmarkStart w:id="150" w:name="_Toc131775886"/>
      <w:r w:rsidRPr="004C69C2">
        <w:t>Related questions from the chat</w:t>
      </w:r>
      <w:bookmarkEnd w:id="148"/>
      <w:bookmarkEnd w:id="149"/>
      <w:bookmarkEnd w:id="150"/>
    </w:p>
    <w:p w14:paraId="6C10B709" w14:textId="77777777" w:rsidR="00C52545" w:rsidRPr="004C69C2" w:rsidRDefault="00C52545" w:rsidP="00C52545">
      <w:pPr>
        <w:rPr>
          <w:rFonts w:eastAsia="Calibri" w:cs="Arial"/>
        </w:rPr>
      </w:pPr>
      <w:r w:rsidRPr="004C69C2">
        <w:rPr>
          <w:rFonts w:eastAsia="Calibri" w:cs="Arial"/>
          <w:b/>
        </w:rPr>
        <w:t>Comments from a Spanish representative:</w:t>
      </w:r>
      <w:r w:rsidRPr="004C69C2">
        <w:rPr>
          <w:rFonts w:eastAsia="Calibri" w:cs="Arial"/>
        </w:rPr>
        <w:t xml:space="preserve"> The DNSH assessments of recovery measures are public. Our investment 6 inside component 1 deals with the Trans-European Transport Network - European </w:t>
      </w:r>
      <w:r w:rsidRPr="004C69C2">
        <w:rPr>
          <w:rFonts w:eastAsia="Calibri" w:cs="Arial"/>
        </w:rPr>
        <w:lastRenderedPageBreak/>
        <w:t xml:space="preserve">Corridors. The info is here (see chapter 8): </w:t>
      </w:r>
      <w:hyperlink r:id="rId26" w:tgtFrame="_blank" w:tooltip="https://www.lamoncloa.gob.es/temas/fondos-recuperacion/documents/16062021-componente6.pdf" w:history="1">
        <w:r w:rsidRPr="004C69C2">
          <w:rPr>
            <w:rFonts w:eastAsia="Calibri" w:cs="Arial"/>
            <w:color w:val="005962"/>
            <w:u w:val="single"/>
          </w:rPr>
          <w:t>https://www.lamoncloa.gob.es/temas/fondos-recuperacion/Documents/16062021-Componente6.pdf</w:t>
        </w:r>
      </w:hyperlink>
    </w:p>
    <w:p w14:paraId="584AD346" w14:textId="77777777" w:rsidR="00C52545" w:rsidRPr="004C69C2" w:rsidRDefault="00C52545" w:rsidP="00C52545">
      <w:pPr>
        <w:rPr>
          <w:rFonts w:eastAsia="Calibri" w:cs="Arial"/>
          <w:lang w:val="it-IT"/>
        </w:rPr>
      </w:pPr>
      <w:r w:rsidRPr="004C69C2">
        <w:rPr>
          <w:rFonts w:eastAsia="Calibri" w:cs="Arial"/>
        </w:rPr>
        <w:t xml:space="preserve">AdapteCCa is a platform for consulting and exchanging information on impacts, vulnerability and adaptation to climate change. </w:t>
      </w:r>
      <w:hyperlink r:id="rId27" w:history="1">
        <w:r w:rsidRPr="004C69C2">
          <w:rPr>
            <w:rFonts w:eastAsia="Calibri" w:cs="Arial"/>
            <w:color w:val="005962"/>
            <w:u w:val="single"/>
            <w:lang w:val="it-IT"/>
          </w:rPr>
          <w:t>https://www.adaptecca.es</w:t>
        </w:r>
      </w:hyperlink>
      <w:r w:rsidRPr="004C69C2">
        <w:rPr>
          <w:rFonts w:eastAsia="Calibri" w:cs="Arial"/>
          <w:lang w:val="it-IT"/>
        </w:rPr>
        <w:t xml:space="preserve"> climate change scenario viewer </w:t>
      </w:r>
      <w:hyperlink r:id="rId28" w:anchor="&amp;model=EURO-CORDEX-EQM.average&amp;variable=tasmax&amp;scenario=rcp85&amp;temporalFilter=year&amp;layers=AREAS&amp;period=MEDIUM_FUTURE&amp;anomaly=RAW_VALUE" w:history="1">
        <w:r w:rsidRPr="004C69C2">
          <w:rPr>
            <w:rFonts w:eastAsia="Calibri" w:cs="Arial"/>
            <w:color w:val="005962"/>
            <w:u w:val="single"/>
            <w:lang w:val="it-IT"/>
          </w:rPr>
          <w:t>https://escenarios.adaptecca.es/#&amp;model=EURO-CORDEX-EQM.average&amp;variable=tasmax&amp;scenario=rcp85&amp;temporalFilter=year&amp;layers=AREAS&amp;period=MEDIUM_FUTURE&amp;anomaly=RAW_VALUE</w:t>
        </w:r>
      </w:hyperlink>
      <w:r w:rsidRPr="004C69C2">
        <w:rPr>
          <w:rFonts w:eastAsia="Calibri" w:cs="Arial"/>
          <w:lang w:val="it-IT"/>
        </w:rPr>
        <w:t xml:space="preserve"> </w:t>
      </w:r>
    </w:p>
    <w:p w14:paraId="4997F9C6" w14:textId="77777777" w:rsidR="00C52545" w:rsidRPr="004C69C2" w:rsidRDefault="00C52545" w:rsidP="00C52545">
      <w:pPr>
        <w:rPr>
          <w:rFonts w:eastAsia="Calibri" w:cs="Arial"/>
          <w:lang w:val="it-IT"/>
        </w:rPr>
      </w:pPr>
    </w:p>
    <w:p w14:paraId="6655F67F" w14:textId="77777777" w:rsidR="00C52545" w:rsidRPr="004C69C2" w:rsidRDefault="00C52545" w:rsidP="00C52545">
      <w:pPr>
        <w:spacing w:after="200" w:line="276" w:lineRule="auto"/>
        <w:rPr>
          <w:rFonts w:eastAsia="Calibri" w:cs="Arial"/>
          <w:lang w:val="it-IT"/>
        </w:rPr>
      </w:pPr>
      <w:r w:rsidRPr="004C69C2">
        <w:rPr>
          <w:rFonts w:eastAsia="Calibri" w:cs="Arial"/>
          <w:lang w:val="it-IT"/>
        </w:rPr>
        <w:br w:type="page"/>
      </w:r>
    </w:p>
    <w:p w14:paraId="0ADE509D" w14:textId="75048DC0" w:rsidR="00C52545" w:rsidRPr="004C69C2" w:rsidRDefault="00C52545" w:rsidP="007608BA">
      <w:pPr>
        <w:pStyle w:val="Nadpis1"/>
        <w:numPr>
          <w:ilvl w:val="0"/>
          <w:numId w:val="0"/>
        </w:numPr>
        <w:ind w:left="927"/>
      </w:pPr>
      <w:bookmarkStart w:id="151" w:name="_Toc127978745"/>
      <w:bookmarkStart w:id="152" w:name="_Toc131775887"/>
      <w:r>
        <w:lastRenderedPageBreak/>
        <w:t>Annex D – Minutes of w</w:t>
      </w:r>
      <w:r w:rsidRPr="1E4C0714">
        <w:t>ebinar 2</w:t>
      </w:r>
      <w:r>
        <w:t>:</w:t>
      </w:r>
      <w:bookmarkEnd w:id="151"/>
      <w:r w:rsidR="007608BA">
        <w:t xml:space="preserve"> </w:t>
      </w:r>
      <w:r w:rsidRPr="1E4C0714">
        <w:t>Implementation of simplified and detailed DNSH assessments</w:t>
      </w:r>
      <w:bookmarkEnd w:id="152"/>
    </w:p>
    <w:p w14:paraId="32262DE4" w14:textId="77777777" w:rsidR="00C52545" w:rsidRPr="004C69C2" w:rsidRDefault="00C52545" w:rsidP="007608BA">
      <w:pPr>
        <w:pStyle w:val="Nadpis2"/>
        <w:numPr>
          <w:ilvl w:val="0"/>
          <w:numId w:val="0"/>
        </w:numPr>
        <w:ind w:left="567"/>
      </w:pPr>
      <w:bookmarkStart w:id="153" w:name="_Toc127978747"/>
      <w:bookmarkStart w:id="154" w:name="_Toc131757495"/>
      <w:bookmarkStart w:id="155" w:name="_Toc131775888"/>
      <w:r w:rsidRPr="004C69C2">
        <w:t>Setting the scene (Peter Janoska, Trinomics)</w:t>
      </w:r>
      <w:bookmarkEnd w:id="153"/>
      <w:bookmarkEnd w:id="154"/>
      <w:bookmarkEnd w:id="155"/>
    </w:p>
    <w:p w14:paraId="7DBB587E" w14:textId="77777777" w:rsidR="00C52545" w:rsidRPr="00BE6B5E" w:rsidRDefault="00C52545" w:rsidP="00C52545">
      <w:pPr>
        <w:rPr>
          <w:rFonts w:eastAsia="Calibri" w:cs="Arial"/>
        </w:rPr>
      </w:pPr>
      <w:r w:rsidRPr="004C69C2">
        <w:rPr>
          <w:rFonts w:eastAsia="Calibri" w:cs="Arial"/>
        </w:rPr>
        <w:t>The webinar will center on the procedures and lessons learned for carrying out both simplified and detailed assessments of the DNSH principle.</w:t>
      </w:r>
      <w:r>
        <w:rPr>
          <w:rFonts w:eastAsia="Calibri" w:cs="Arial"/>
        </w:rPr>
        <w:t xml:space="preserve"> </w:t>
      </w:r>
      <w:r w:rsidRPr="004C69C2">
        <w:rPr>
          <w:rFonts w:eastAsia="Calibri" w:cs="Arial"/>
        </w:rPr>
        <w:t xml:space="preserve">The typology of programs and projects is important to determine what type of DNSH </w:t>
      </w:r>
      <w:r>
        <w:rPr>
          <w:rFonts w:eastAsia="Calibri" w:cs="Arial"/>
        </w:rPr>
        <w:t xml:space="preserve">assessment </w:t>
      </w:r>
      <w:r w:rsidRPr="004C69C2">
        <w:rPr>
          <w:rFonts w:eastAsia="Calibri" w:cs="Arial"/>
        </w:rPr>
        <w:t>is needed, and all the activities have to comply with the DNSH</w:t>
      </w:r>
      <w:r>
        <w:rPr>
          <w:rFonts w:eastAsia="Calibri" w:cs="Arial"/>
        </w:rPr>
        <w:t xml:space="preserve"> principle</w:t>
      </w:r>
      <w:r w:rsidRPr="004C69C2">
        <w:rPr>
          <w:rFonts w:eastAsia="Calibri" w:cs="Arial"/>
        </w:rPr>
        <w:t xml:space="preserve">. </w:t>
      </w:r>
      <w:r>
        <w:rPr>
          <w:rFonts w:eastAsia="Calibri" w:cs="Arial"/>
        </w:rPr>
        <w:t>Under the Cohesion Policy funds, p</w:t>
      </w:r>
      <w:r w:rsidRPr="004C69C2">
        <w:rPr>
          <w:rFonts w:eastAsia="Calibri" w:cs="Arial"/>
        </w:rPr>
        <w:t xml:space="preserve">rograms need to be precisely defined in order for DNSH principle to be ensured at the project level. Projects must be selected in a way that they answer to </w:t>
      </w:r>
      <w:r>
        <w:rPr>
          <w:rFonts w:eastAsia="Calibri" w:cs="Arial"/>
        </w:rPr>
        <w:t>the</w:t>
      </w:r>
      <w:r w:rsidRPr="004C69C2">
        <w:rPr>
          <w:rFonts w:eastAsia="Calibri" w:cs="Arial"/>
        </w:rPr>
        <w:t xml:space="preserve"> definition</w:t>
      </w:r>
      <w:r>
        <w:rPr>
          <w:rFonts w:eastAsia="Calibri" w:cs="Arial"/>
        </w:rPr>
        <w:t xml:space="preserve"> of programmes</w:t>
      </w:r>
      <w:r w:rsidRPr="004C69C2">
        <w:rPr>
          <w:rFonts w:eastAsia="Calibri" w:cs="Arial"/>
        </w:rPr>
        <w:t xml:space="preserve">. </w:t>
      </w:r>
    </w:p>
    <w:p w14:paraId="173EE3B8" w14:textId="77777777" w:rsidR="00C52545" w:rsidRPr="004C69C2" w:rsidRDefault="00C52545" w:rsidP="00C52545">
      <w:pPr>
        <w:rPr>
          <w:rFonts w:eastAsia="Calibri" w:cs="Arial"/>
          <w:lang w:val="en-GB"/>
        </w:rPr>
      </w:pPr>
    </w:p>
    <w:p w14:paraId="62B2CCC1" w14:textId="77777777" w:rsidR="00C52545" w:rsidRPr="004C69C2" w:rsidRDefault="00C52545" w:rsidP="00C52545">
      <w:pPr>
        <w:rPr>
          <w:rFonts w:eastAsia="Calibri" w:cs="Arial"/>
          <w:lang w:val="en-GB"/>
        </w:rPr>
      </w:pPr>
      <w:r w:rsidRPr="004C69C2">
        <w:rPr>
          <w:rFonts w:eastAsia="Calibri" w:cs="Arial"/>
          <w:lang w:val="en-GB"/>
        </w:rPr>
        <w:t xml:space="preserve">Environmental integrity must be assessed at the national level to ensure that environmental integrity is not violated. If an investment contributes significantly to one of the environmental objectives, it must be evaluated against the DNSH principle in order to be considered a sustainable investment. Determining what constitutes a "substantial contribution" is another challenge. As a result, assessing compliance with environmental objectives can be difficult; some of the objectives are difficult to interpret, which brings us to the legislative framework. European legislation transposed to national legislation can help address this issue, but transposition is not a guarantee of compliance with the DNSH principle. Circular economy is particularly difficult, not only for </w:t>
      </w:r>
      <w:r>
        <w:rPr>
          <w:rFonts w:eastAsia="Calibri" w:cs="Arial"/>
          <w:lang w:val="en-GB"/>
        </w:rPr>
        <w:t>Czechia</w:t>
      </w:r>
      <w:r w:rsidRPr="004C69C2">
        <w:rPr>
          <w:rFonts w:eastAsia="Calibri" w:cs="Arial"/>
          <w:lang w:val="en-GB"/>
        </w:rPr>
        <w:t xml:space="preserve"> but also for other </w:t>
      </w:r>
      <w:r>
        <w:rPr>
          <w:rFonts w:eastAsia="Calibri" w:cs="Arial"/>
          <w:lang w:val="en-GB"/>
        </w:rPr>
        <w:t>peer Member States</w:t>
      </w:r>
      <w:r w:rsidRPr="004C69C2">
        <w:rPr>
          <w:rFonts w:eastAsia="Calibri" w:cs="Arial"/>
          <w:lang w:val="en-GB"/>
        </w:rPr>
        <w:t>.</w:t>
      </w:r>
    </w:p>
    <w:p w14:paraId="0065E9D3" w14:textId="77777777" w:rsidR="00C52545" w:rsidRPr="004C69C2" w:rsidRDefault="00C52545" w:rsidP="00C52545">
      <w:pPr>
        <w:rPr>
          <w:rFonts w:eastAsia="Calibri" w:cs="Arial"/>
          <w:lang w:val="en-GB"/>
        </w:rPr>
      </w:pPr>
    </w:p>
    <w:p w14:paraId="60C7F1BB" w14:textId="77777777" w:rsidR="00C52545" w:rsidRPr="004C69C2" w:rsidRDefault="00C52545" w:rsidP="007608BA">
      <w:pPr>
        <w:pStyle w:val="Nadpis2"/>
        <w:numPr>
          <w:ilvl w:val="0"/>
          <w:numId w:val="0"/>
        </w:numPr>
        <w:ind w:left="567"/>
      </w:pPr>
      <w:bookmarkStart w:id="156" w:name="_Toc127978748"/>
      <w:bookmarkStart w:id="157" w:name="_Toc131757496"/>
      <w:bookmarkStart w:id="158" w:name="_Toc131775889"/>
      <w:r w:rsidRPr="004C69C2">
        <w:t xml:space="preserve">Jan </w:t>
      </w:r>
      <w:bookmarkStart w:id="159" w:name="_Hlk131685068"/>
      <w:r w:rsidRPr="004C69C2">
        <w:t xml:space="preserve">Hlaváček </w:t>
      </w:r>
      <w:bookmarkEnd w:id="159"/>
      <w:r w:rsidRPr="004C69C2">
        <w:t>– Operational Programme Just Transition (Czechia)</w:t>
      </w:r>
      <w:bookmarkEnd w:id="156"/>
      <w:bookmarkEnd w:id="157"/>
      <w:bookmarkEnd w:id="158"/>
    </w:p>
    <w:p w14:paraId="719187F8" w14:textId="77777777" w:rsidR="00C52545" w:rsidRPr="004C69C2" w:rsidRDefault="00C52545" w:rsidP="007608BA">
      <w:pPr>
        <w:pStyle w:val="Nadpis3"/>
        <w:numPr>
          <w:ilvl w:val="0"/>
          <w:numId w:val="0"/>
        </w:numPr>
        <w:ind w:left="567"/>
      </w:pPr>
      <w:bookmarkStart w:id="160" w:name="_Toc127978749"/>
      <w:bookmarkStart w:id="161" w:name="_Toc131757497"/>
      <w:bookmarkStart w:id="162" w:name="_Toc131775890"/>
      <w:r w:rsidRPr="004C69C2">
        <w:t>Context</w:t>
      </w:r>
      <w:bookmarkEnd w:id="160"/>
      <w:bookmarkEnd w:id="161"/>
      <w:bookmarkEnd w:id="162"/>
    </w:p>
    <w:p w14:paraId="771A390A" w14:textId="77777777" w:rsidR="00C52545" w:rsidRPr="004C69C2" w:rsidRDefault="00C52545" w:rsidP="00C52545">
      <w:pPr>
        <w:rPr>
          <w:rFonts w:eastAsia="Calibri" w:cs="Arial"/>
          <w:lang w:val="en-GB"/>
        </w:rPr>
      </w:pPr>
      <w:r w:rsidRPr="004C69C2">
        <w:rPr>
          <w:rFonts w:eastAsia="Calibri" w:cs="Arial"/>
          <w:lang w:val="en-GB"/>
        </w:rPr>
        <w:t>Jan</w:t>
      </w:r>
      <w:r>
        <w:rPr>
          <w:rFonts w:eastAsia="Calibri" w:cs="Arial"/>
          <w:lang w:val="en-GB"/>
        </w:rPr>
        <w:t xml:space="preserve"> </w:t>
      </w:r>
      <w:r w:rsidRPr="00211886">
        <w:rPr>
          <w:rFonts w:eastAsia="Calibri" w:cs="Arial"/>
          <w:lang w:val="en-GB"/>
        </w:rPr>
        <w:t>Hlaváček</w:t>
      </w:r>
      <w:r w:rsidRPr="004C69C2">
        <w:rPr>
          <w:rFonts w:eastAsia="Calibri" w:cs="Arial"/>
          <w:lang w:val="en-GB"/>
        </w:rPr>
        <w:t>’s team has been the managing authority of programme for environment (since 2004, it combines notably the Cohesion Fund and the ERDF) and of the Just Transition. The latter was approved in 2022, and covers varied topics including R&amp;D, SMEs and education in the regions producing coal. This broad focus explains the dire need for assessments to ensure environmental integrity.</w:t>
      </w:r>
    </w:p>
    <w:p w14:paraId="440B2FE4" w14:textId="77777777" w:rsidR="00C52545" w:rsidRPr="004C69C2" w:rsidRDefault="00C52545" w:rsidP="00C52545">
      <w:pPr>
        <w:rPr>
          <w:rFonts w:eastAsia="Calibri" w:cs="Arial"/>
          <w:lang w:val="en-GB"/>
        </w:rPr>
      </w:pPr>
    </w:p>
    <w:p w14:paraId="7C391005" w14:textId="77777777" w:rsidR="00C52545" w:rsidRPr="004C69C2" w:rsidRDefault="00C52545" w:rsidP="00C52545">
      <w:pPr>
        <w:rPr>
          <w:rFonts w:eastAsia="Calibri" w:cs="Arial"/>
          <w:lang w:val="en-GB"/>
        </w:rPr>
      </w:pPr>
      <w:r w:rsidRPr="004C69C2">
        <w:rPr>
          <w:rFonts w:eastAsia="Calibri" w:cs="Arial"/>
          <w:lang w:val="en-GB"/>
        </w:rPr>
        <w:t>DNSH is a new issue for all final proponents and managing authorities. It represents an administrative burden, which limits the absorption of EU funds – the approach is thus to avoid adding any administrative burden/requirements on top of DNSH, keeping in mind that there were already many environmental requirements to be applied in previous programmes. The time constraint set up by EU regulations urges to allocate 70% of funding by 2026.</w:t>
      </w:r>
    </w:p>
    <w:p w14:paraId="342899FC" w14:textId="77777777" w:rsidR="00C52545" w:rsidRPr="004C69C2" w:rsidRDefault="00C52545" w:rsidP="00C52545">
      <w:pPr>
        <w:rPr>
          <w:rFonts w:eastAsia="Calibri" w:cs="Arial"/>
          <w:lang w:val="en-GB"/>
        </w:rPr>
      </w:pPr>
      <w:r w:rsidRPr="004C69C2">
        <w:rPr>
          <w:rFonts w:eastAsia="Calibri" w:cs="Arial"/>
          <w:lang w:val="en-GB"/>
        </w:rPr>
        <w:t xml:space="preserve">Therefore, final recipients should not make detailed assessments (those should happen at the programme level). Requirements should be clear and easy to implement </w:t>
      </w:r>
      <w:r>
        <w:rPr>
          <w:rFonts w:eastAsia="Calibri" w:cs="Arial"/>
          <w:lang w:val="en-GB"/>
        </w:rPr>
        <w:t>by</w:t>
      </w:r>
      <w:r w:rsidRPr="004C69C2">
        <w:rPr>
          <w:rFonts w:eastAsia="Calibri" w:cs="Arial"/>
          <w:lang w:val="en-GB"/>
        </w:rPr>
        <w:t xml:space="preserve"> final recipients.</w:t>
      </w:r>
    </w:p>
    <w:p w14:paraId="14A8304A" w14:textId="77777777" w:rsidR="00C52545" w:rsidRPr="004C69C2" w:rsidRDefault="00C52545" w:rsidP="00C52545">
      <w:pPr>
        <w:rPr>
          <w:rFonts w:eastAsia="Calibri" w:cs="Arial"/>
          <w:lang w:val="en-GB"/>
        </w:rPr>
      </w:pPr>
    </w:p>
    <w:p w14:paraId="13515543"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63" w:name="_Toc127978750"/>
      <w:bookmarkStart w:id="164" w:name="_Toc131757498"/>
      <w:bookmarkStart w:id="165" w:name="_Toc131775891"/>
      <w:r w:rsidRPr="004C69C2">
        <w:rPr>
          <w:rFonts w:eastAsia="Calibri" w:cs="Arial"/>
          <w:b/>
          <w:i/>
          <w:color w:val="F04E30"/>
          <w:lang w:val="en-GB"/>
        </w:rPr>
        <w:t>Presentation of the practice in Czechia</w:t>
      </w:r>
      <w:bookmarkEnd w:id="163"/>
      <w:bookmarkEnd w:id="164"/>
      <w:bookmarkEnd w:id="165"/>
    </w:p>
    <w:p w14:paraId="32409EAB" w14:textId="77777777" w:rsidR="00C52545" w:rsidRPr="004C69C2" w:rsidRDefault="00C52545" w:rsidP="00C52545">
      <w:pPr>
        <w:rPr>
          <w:rFonts w:eastAsia="Calibri" w:cs="Arial"/>
          <w:lang w:val="en-GB"/>
        </w:rPr>
      </w:pPr>
      <w:r w:rsidRPr="004C69C2">
        <w:rPr>
          <w:rFonts w:eastAsia="Calibri" w:cs="Arial"/>
          <w:lang w:val="en-GB"/>
        </w:rPr>
        <w:t xml:space="preserve">In this context, 2 programme assessment were conducted and submitted to the </w:t>
      </w:r>
      <w:r>
        <w:rPr>
          <w:rFonts w:eastAsia="Calibri" w:cs="Arial"/>
          <w:lang w:val="en-GB"/>
        </w:rPr>
        <w:t>EC</w:t>
      </w:r>
      <w:r w:rsidRPr="004C69C2">
        <w:rPr>
          <w:rFonts w:eastAsia="Calibri" w:cs="Arial"/>
          <w:lang w:val="en-GB"/>
        </w:rPr>
        <w:t xml:space="preserve"> during the negotiations. Assessments are however not part of the programme themselves – there is thus flexibility to change their modalities in the future. This flexibility is an important point for Czechia (e.g., for allowing a learning process to take place).</w:t>
      </w:r>
    </w:p>
    <w:p w14:paraId="7413C9DA" w14:textId="77777777" w:rsidR="00C52545" w:rsidRPr="004C69C2" w:rsidRDefault="00C52545" w:rsidP="00C52545">
      <w:pPr>
        <w:rPr>
          <w:rFonts w:eastAsia="Calibri" w:cs="Arial"/>
          <w:lang w:val="en-GB"/>
        </w:rPr>
      </w:pPr>
    </w:p>
    <w:p w14:paraId="3633B831" w14:textId="77777777" w:rsidR="00C52545" w:rsidRPr="004C69C2" w:rsidRDefault="00C52545" w:rsidP="00C52545">
      <w:pPr>
        <w:rPr>
          <w:rFonts w:eastAsia="Calibri" w:cs="Arial"/>
          <w:lang w:val="en-GB"/>
        </w:rPr>
      </w:pPr>
      <w:r w:rsidRPr="004C69C2">
        <w:rPr>
          <w:rFonts w:eastAsia="Calibri" w:cs="Arial"/>
          <w:lang w:val="en-GB"/>
        </w:rPr>
        <w:lastRenderedPageBreak/>
        <w:t>Assessments are conducted for each of the 6 objectives, although there are no specific objectives for the JTF programme. In both cases, four steps are set:</w:t>
      </w:r>
    </w:p>
    <w:p w14:paraId="792DFD59" w14:textId="77777777" w:rsidR="00C52545" w:rsidRPr="004C69C2" w:rsidRDefault="00C52545" w:rsidP="00C52545">
      <w:pPr>
        <w:pStyle w:val="lp11"/>
        <w:numPr>
          <w:ilvl w:val="0"/>
          <w:numId w:val="53"/>
        </w:numPr>
      </w:pPr>
      <w:r w:rsidRPr="004C69C2">
        <w:t xml:space="preserve">Harmful activities are excluded: the exclusion list is based on the JTF regulation and additional Czech exclusions (e.g., battery energy storage technologies, activities not aligned with the polluter pay principle). Exclusions mainly cover fossil fuels, industries covered by the ETS, and heavy industries. </w:t>
      </w:r>
    </w:p>
    <w:p w14:paraId="745D3F75" w14:textId="77777777" w:rsidR="00C52545" w:rsidRPr="004C69C2" w:rsidRDefault="00C52545" w:rsidP="00C52545">
      <w:pPr>
        <w:pStyle w:val="lp11"/>
        <w:numPr>
          <w:ilvl w:val="0"/>
          <w:numId w:val="53"/>
        </w:numPr>
      </w:pPr>
      <w:r w:rsidRPr="004C69C2">
        <w:t>Technical conditions (to support the activities) are applied: these are derived from the EU Taxonomy, the CPR and the RRP. These are specific criteria. There are also Czech requirements (e.g., BAT-related, minimum warranty of 20 years for PV output, etc.).</w:t>
      </w:r>
    </w:p>
    <w:p w14:paraId="38585CB9" w14:textId="77777777" w:rsidR="00C52545" w:rsidRPr="004C69C2" w:rsidRDefault="00C52545" w:rsidP="00C52545">
      <w:pPr>
        <w:pStyle w:val="lp11"/>
        <w:numPr>
          <w:ilvl w:val="0"/>
          <w:numId w:val="53"/>
        </w:numPr>
      </w:pPr>
      <w:r w:rsidRPr="004C69C2">
        <w:t>Consistency is ensured with strategic documents: these include regional waste management plans, plans related to water management, floods, and sewerage.</w:t>
      </w:r>
    </w:p>
    <w:p w14:paraId="30E9EA5E" w14:textId="77777777" w:rsidR="00C52545" w:rsidRPr="004C69C2" w:rsidRDefault="00C52545" w:rsidP="00C52545">
      <w:pPr>
        <w:pStyle w:val="lp11"/>
        <w:numPr>
          <w:ilvl w:val="0"/>
          <w:numId w:val="53"/>
        </w:numPr>
      </w:pPr>
      <w:r w:rsidRPr="004C69C2">
        <w:t>Recommendations or bonuses (for green activities) are applied: there is an incentive to make additional measures such as green roofs, adaptation measures, and energy performance measures.</w:t>
      </w:r>
    </w:p>
    <w:p w14:paraId="18D0E4BA" w14:textId="77777777" w:rsidR="00C52545" w:rsidRPr="004C69C2" w:rsidRDefault="00C52545" w:rsidP="00C52545">
      <w:pPr>
        <w:rPr>
          <w:rFonts w:eastAsia="Calibri" w:cs="Arial"/>
          <w:lang w:val="en-GB"/>
        </w:rPr>
      </w:pPr>
    </w:p>
    <w:p w14:paraId="20E37F7A" w14:textId="77777777" w:rsidR="00C52545" w:rsidRPr="004C69C2" w:rsidRDefault="00C52545" w:rsidP="00C52545">
      <w:pPr>
        <w:rPr>
          <w:rFonts w:eastAsia="Calibri" w:cs="Arial"/>
          <w:lang w:val="en-GB"/>
        </w:rPr>
      </w:pPr>
      <w:r w:rsidRPr="004C69C2">
        <w:rPr>
          <w:rFonts w:eastAsia="Calibri" w:cs="Arial"/>
          <w:lang w:val="en-GB"/>
        </w:rPr>
        <w:t>Managers verify the feasibility studies, project documentation,</w:t>
      </w:r>
      <w:r>
        <w:rPr>
          <w:rFonts w:eastAsia="Calibri" w:cs="Arial"/>
          <w:lang w:val="en-GB"/>
        </w:rPr>
        <w:t xml:space="preserve"> and</w:t>
      </w:r>
      <w:r w:rsidRPr="004C69C2">
        <w:rPr>
          <w:rFonts w:eastAsia="Calibri" w:cs="Arial"/>
          <w:lang w:val="en-GB"/>
        </w:rPr>
        <w:t xml:space="preserve"> certifications (e.g., EIA). There must be an approval from the authority responsible for the alignment with strategic documents, along with a declaration of honour (the actual verification only happens on the case audits are conducted). The conditions are more or less verified depending on their level of priority (e.g., showers and toilets types).</w:t>
      </w:r>
    </w:p>
    <w:p w14:paraId="529E1EDF" w14:textId="77777777" w:rsidR="00C52545" w:rsidRPr="004C69C2" w:rsidRDefault="00C52545" w:rsidP="00C52545">
      <w:pPr>
        <w:rPr>
          <w:rFonts w:eastAsia="Calibri" w:cs="Arial"/>
          <w:lang w:val="en-GB"/>
        </w:rPr>
      </w:pPr>
    </w:p>
    <w:p w14:paraId="171329A8"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66" w:name="_Toc127978751"/>
      <w:bookmarkStart w:id="167" w:name="_Toc131757499"/>
      <w:bookmarkStart w:id="168" w:name="_Toc131775892"/>
      <w:r w:rsidRPr="004C69C2">
        <w:rPr>
          <w:rFonts w:eastAsia="Calibri" w:cs="Arial"/>
          <w:b/>
          <w:i/>
          <w:color w:val="F04E30"/>
          <w:lang w:val="en-GB"/>
        </w:rPr>
        <w:t>Challenges</w:t>
      </w:r>
      <w:bookmarkEnd w:id="166"/>
      <w:bookmarkEnd w:id="167"/>
      <w:bookmarkEnd w:id="168"/>
    </w:p>
    <w:p w14:paraId="5531C0EF" w14:textId="77777777" w:rsidR="00C52545" w:rsidRPr="004C69C2" w:rsidRDefault="00C52545" w:rsidP="00C52545">
      <w:pPr>
        <w:rPr>
          <w:rFonts w:eastAsia="Calibri" w:cs="Arial"/>
          <w:lang w:val="en-GB"/>
        </w:rPr>
      </w:pPr>
      <w:r w:rsidRPr="004C69C2">
        <w:rPr>
          <w:rFonts w:eastAsia="Calibri" w:cs="Arial"/>
          <w:lang w:val="en-GB"/>
        </w:rPr>
        <w:t>The team is aware of the limitations of its approach, and notably of:</w:t>
      </w:r>
    </w:p>
    <w:p w14:paraId="70C385C9" w14:textId="77777777" w:rsidR="00C52545" w:rsidRPr="004C69C2" w:rsidRDefault="00C52545" w:rsidP="00C52545">
      <w:pPr>
        <w:pStyle w:val="lp11"/>
        <w:numPr>
          <w:ilvl w:val="0"/>
          <w:numId w:val="8"/>
        </w:numPr>
      </w:pPr>
      <w:r w:rsidRPr="004C69C2">
        <w:t>Oversimplification;</w:t>
      </w:r>
    </w:p>
    <w:p w14:paraId="17F05E9E" w14:textId="77777777" w:rsidR="00C52545" w:rsidRPr="004C69C2" w:rsidRDefault="00C52545" w:rsidP="00C52545">
      <w:pPr>
        <w:pStyle w:val="lp11"/>
        <w:numPr>
          <w:ilvl w:val="0"/>
          <w:numId w:val="8"/>
        </w:numPr>
      </w:pPr>
      <w:r w:rsidRPr="004C69C2">
        <w:t>The fact that the approach does not fit all (typically, it is difficult to set general rules for climate adaptation measures, which are highly context-dependent);</w:t>
      </w:r>
    </w:p>
    <w:p w14:paraId="7B6A8AC4" w14:textId="77777777" w:rsidR="00C52545" w:rsidRPr="004C69C2" w:rsidRDefault="00C52545" w:rsidP="00C52545">
      <w:pPr>
        <w:pStyle w:val="lp11"/>
        <w:numPr>
          <w:ilvl w:val="0"/>
          <w:numId w:val="8"/>
        </w:numPr>
      </w:pPr>
      <w:r w:rsidRPr="004C69C2">
        <w:t>The difficulty to strike a balance between over-complexification and the absence of guidelines, or flawed guidelines.</w:t>
      </w:r>
    </w:p>
    <w:p w14:paraId="415A8A52" w14:textId="77777777" w:rsidR="00C52545" w:rsidRPr="004C69C2" w:rsidRDefault="00C52545" w:rsidP="00C52545">
      <w:pPr>
        <w:tabs>
          <w:tab w:val="left" w:pos="851"/>
        </w:tabs>
        <w:contextualSpacing/>
        <w:rPr>
          <w:rFonts w:eastAsia="Calibri" w:cs="Arial"/>
          <w:lang w:val="en-GB"/>
        </w:rPr>
      </w:pPr>
      <w:r w:rsidRPr="004C69C2">
        <w:rPr>
          <w:rFonts w:eastAsia="Calibri" w:cs="Arial"/>
          <w:lang w:val="en-GB"/>
        </w:rPr>
        <w:t>Efforts are thus being dedicated to the improvement of the guidelines.</w:t>
      </w:r>
    </w:p>
    <w:p w14:paraId="49795537" w14:textId="77777777" w:rsidR="00C52545" w:rsidRPr="004C69C2" w:rsidRDefault="00C52545" w:rsidP="00C52545">
      <w:pPr>
        <w:rPr>
          <w:rFonts w:eastAsia="Calibri" w:cs="Arial"/>
          <w:lang w:val="en-GB"/>
        </w:rPr>
      </w:pPr>
    </w:p>
    <w:p w14:paraId="4EC6E842" w14:textId="77777777" w:rsidR="00C52545" w:rsidRPr="004C69C2" w:rsidRDefault="00C52545" w:rsidP="007608BA">
      <w:pPr>
        <w:numPr>
          <w:ilvl w:val="1"/>
          <w:numId w:val="0"/>
        </w:numPr>
        <w:tabs>
          <w:tab w:val="left" w:pos="851"/>
        </w:tabs>
        <w:spacing w:before="120" w:after="120"/>
        <w:ind w:left="567"/>
        <w:contextualSpacing/>
        <w:outlineLvl w:val="1"/>
        <w:rPr>
          <w:rFonts w:eastAsia="Calibri" w:cs="Arial"/>
          <w:b/>
          <w:color w:val="005962"/>
          <w:sz w:val="24"/>
          <w:lang w:val="en-GB"/>
        </w:rPr>
      </w:pPr>
      <w:bookmarkStart w:id="169" w:name="_Toc127978752"/>
      <w:bookmarkStart w:id="170" w:name="_Toc131757500"/>
      <w:bookmarkStart w:id="171" w:name="_Toc131775893"/>
      <w:r w:rsidRPr="004C69C2">
        <w:rPr>
          <w:rFonts w:eastAsia="Calibri" w:cs="Arial"/>
          <w:b/>
          <w:color w:val="005962"/>
          <w:sz w:val="24"/>
          <w:lang w:val="en-GB"/>
        </w:rPr>
        <w:t>Kristína Korčeková - Office of the Government of the Slovak Republic (Slovakia)</w:t>
      </w:r>
      <w:bookmarkEnd w:id="169"/>
      <w:bookmarkEnd w:id="170"/>
      <w:bookmarkEnd w:id="171"/>
    </w:p>
    <w:p w14:paraId="3FC91E8B"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72" w:name="_Toc127978753"/>
      <w:bookmarkStart w:id="173" w:name="_Toc131757501"/>
      <w:bookmarkStart w:id="174" w:name="_Toc131775894"/>
      <w:r w:rsidRPr="004C69C2">
        <w:rPr>
          <w:rFonts w:eastAsia="Calibri" w:cs="Arial"/>
          <w:b/>
          <w:i/>
          <w:color w:val="F04E30"/>
          <w:lang w:val="en-GB"/>
        </w:rPr>
        <w:t>Context</w:t>
      </w:r>
      <w:bookmarkEnd w:id="172"/>
      <w:bookmarkEnd w:id="173"/>
      <w:bookmarkEnd w:id="174"/>
    </w:p>
    <w:p w14:paraId="21A589EC" w14:textId="77777777" w:rsidR="00C52545" w:rsidRPr="004C69C2" w:rsidRDefault="00C52545" w:rsidP="00C52545">
      <w:pPr>
        <w:rPr>
          <w:rFonts w:eastAsia="Calibri" w:cs="Arial"/>
        </w:rPr>
      </w:pPr>
      <w:r w:rsidRPr="004C69C2">
        <w:rPr>
          <w:rFonts w:eastAsia="Calibri" w:cs="Arial"/>
        </w:rPr>
        <w:t xml:space="preserve">Slovakia </w:t>
      </w:r>
      <w:r>
        <w:rPr>
          <w:rFonts w:eastAsia="Calibri" w:cs="Arial"/>
        </w:rPr>
        <w:t xml:space="preserve">aims at </w:t>
      </w:r>
      <w:r w:rsidRPr="004C69C2">
        <w:rPr>
          <w:rFonts w:eastAsia="Calibri" w:cs="Arial"/>
        </w:rPr>
        <w:t>position</w:t>
      </w:r>
      <w:r>
        <w:rPr>
          <w:rFonts w:eastAsia="Calibri" w:cs="Arial"/>
        </w:rPr>
        <w:t>ing</w:t>
      </w:r>
      <w:r w:rsidRPr="004C69C2">
        <w:rPr>
          <w:rFonts w:eastAsia="Calibri" w:cs="Arial"/>
        </w:rPr>
        <w:t xml:space="preserve"> itself as a leader in the RRF implementation, </w:t>
      </w:r>
      <w:r>
        <w:rPr>
          <w:rFonts w:eastAsia="Calibri" w:cs="Arial"/>
        </w:rPr>
        <w:t xml:space="preserve">and was </w:t>
      </w:r>
      <w:r w:rsidRPr="004C69C2">
        <w:rPr>
          <w:rFonts w:eastAsia="Calibri" w:cs="Arial"/>
        </w:rPr>
        <w:t xml:space="preserve">one of the first </w:t>
      </w:r>
      <w:r>
        <w:rPr>
          <w:rFonts w:eastAsia="Calibri" w:cs="Arial"/>
        </w:rPr>
        <w:t>Member States</w:t>
      </w:r>
      <w:r w:rsidRPr="004C69C2">
        <w:rPr>
          <w:rFonts w:eastAsia="Calibri" w:cs="Arial"/>
        </w:rPr>
        <w:t xml:space="preserve"> to begin the</w:t>
      </w:r>
      <w:r>
        <w:rPr>
          <w:rFonts w:eastAsia="Calibri" w:cs="Arial"/>
        </w:rPr>
        <w:t xml:space="preserve"> RRP</w:t>
      </w:r>
      <w:r w:rsidRPr="004C69C2">
        <w:rPr>
          <w:rFonts w:eastAsia="Calibri" w:cs="Arial"/>
        </w:rPr>
        <w:t xml:space="preserve"> process. This not only demonstrates </w:t>
      </w:r>
      <w:r>
        <w:rPr>
          <w:rFonts w:eastAsia="Calibri" w:cs="Arial"/>
        </w:rPr>
        <w:t>the Slovak</w:t>
      </w:r>
      <w:r w:rsidRPr="004C69C2">
        <w:rPr>
          <w:rFonts w:eastAsia="Calibri" w:cs="Arial"/>
        </w:rPr>
        <w:t xml:space="preserve"> proactive approach to the </w:t>
      </w:r>
      <w:r>
        <w:rPr>
          <w:rFonts w:eastAsia="Calibri" w:cs="Arial"/>
        </w:rPr>
        <w:t>topic</w:t>
      </w:r>
      <w:r w:rsidRPr="004C69C2">
        <w:rPr>
          <w:rFonts w:eastAsia="Calibri" w:cs="Arial"/>
        </w:rPr>
        <w:t xml:space="preserve">, but also </w:t>
      </w:r>
      <w:r>
        <w:rPr>
          <w:rFonts w:eastAsia="Calibri" w:cs="Arial"/>
        </w:rPr>
        <w:t>its</w:t>
      </w:r>
      <w:r w:rsidRPr="004C69C2">
        <w:rPr>
          <w:rFonts w:eastAsia="Calibri" w:cs="Arial"/>
        </w:rPr>
        <w:t xml:space="preserve"> willingness to embrace better practices. Slovakia has established a comprehensive RRF implementation system that is adaptable to future developments as their capacity grows. This includes a strong legal framework, as well as the ability to add new components over time. In general, simple guidelines are preferable.</w:t>
      </w:r>
    </w:p>
    <w:p w14:paraId="66A8EAE3" w14:textId="77777777" w:rsidR="00C52545" w:rsidRPr="004C69C2" w:rsidRDefault="00C52545" w:rsidP="00C52545">
      <w:pPr>
        <w:rPr>
          <w:rFonts w:eastAsia="Calibri" w:cs="Arial"/>
        </w:rPr>
      </w:pPr>
    </w:p>
    <w:p w14:paraId="79480398" w14:textId="77777777" w:rsidR="00C52545" w:rsidRPr="004C69C2" w:rsidRDefault="00C52545" w:rsidP="00C52545">
      <w:pPr>
        <w:rPr>
          <w:rFonts w:eastAsia="Calibri" w:cs="Arial"/>
        </w:rPr>
      </w:pPr>
      <w:r w:rsidRPr="004C69C2">
        <w:rPr>
          <w:rFonts w:eastAsia="Calibri" w:cs="Arial"/>
        </w:rPr>
        <w:t xml:space="preserve">Slovakia allocated 6.5 billion euros in grants to the green economy, along with other </w:t>
      </w:r>
      <w:r>
        <w:rPr>
          <w:rFonts w:eastAsia="Calibri" w:cs="Arial"/>
        </w:rPr>
        <w:t>“</w:t>
      </w:r>
      <w:r w:rsidRPr="004C69C2">
        <w:rPr>
          <w:rFonts w:eastAsia="Calibri" w:cs="Arial"/>
        </w:rPr>
        <w:t>green</w:t>
      </w:r>
      <w:r>
        <w:rPr>
          <w:rFonts w:eastAsia="Calibri" w:cs="Arial"/>
        </w:rPr>
        <w:t>”</w:t>
      </w:r>
      <w:r w:rsidRPr="004C69C2">
        <w:rPr>
          <w:rFonts w:eastAsia="Calibri" w:cs="Arial"/>
        </w:rPr>
        <w:t xml:space="preserve"> measures in other budgetary components, such as </w:t>
      </w:r>
      <w:r>
        <w:rPr>
          <w:rFonts w:eastAsia="Calibri" w:cs="Arial"/>
        </w:rPr>
        <w:t xml:space="preserve">in investments in buildings </w:t>
      </w:r>
      <w:r w:rsidRPr="004C69C2">
        <w:rPr>
          <w:rFonts w:eastAsia="Calibri" w:cs="Arial"/>
        </w:rPr>
        <w:t xml:space="preserve">(where green tagging is used). </w:t>
      </w:r>
    </w:p>
    <w:p w14:paraId="5ABEC518" w14:textId="77777777" w:rsidR="00C52545" w:rsidRPr="004C69C2" w:rsidRDefault="00C52545" w:rsidP="00C52545">
      <w:pPr>
        <w:rPr>
          <w:rFonts w:eastAsia="Calibri" w:cs="Arial"/>
        </w:rPr>
      </w:pPr>
    </w:p>
    <w:p w14:paraId="7585FC7F" w14:textId="410B9A5B" w:rsidR="00C52545" w:rsidRPr="004C69C2" w:rsidRDefault="00AD0FB6" w:rsidP="00AD0FB6">
      <w:pPr>
        <w:numPr>
          <w:ilvl w:val="2"/>
          <w:numId w:val="0"/>
        </w:numPr>
        <w:tabs>
          <w:tab w:val="left" w:pos="851"/>
        </w:tabs>
        <w:ind w:left="567" w:hanging="567"/>
        <w:contextualSpacing/>
        <w:outlineLvl w:val="2"/>
        <w:rPr>
          <w:rFonts w:eastAsia="Calibri" w:cs="Arial"/>
          <w:b/>
          <w:bCs/>
          <w:lang w:val="en-GB"/>
        </w:rPr>
      </w:pPr>
      <w:bookmarkStart w:id="175" w:name="_Toc127978754"/>
      <w:bookmarkStart w:id="176" w:name="_Toc131757502"/>
      <w:r>
        <w:rPr>
          <w:rFonts w:eastAsia="Calibri" w:cs="Arial"/>
          <w:b/>
          <w:i/>
          <w:color w:val="F04E30"/>
          <w:lang w:val="en-GB"/>
        </w:rPr>
        <w:tab/>
      </w:r>
      <w:bookmarkStart w:id="177" w:name="_Toc131775895"/>
      <w:r w:rsidR="00C52545" w:rsidRPr="004C69C2">
        <w:rPr>
          <w:rFonts w:eastAsia="Calibri" w:cs="Arial"/>
          <w:b/>
          <w:i/>
          <w:color w:val="F04E30"/>
          <w:lang w:val="en-GB"/>
        </w:rPr>
        <w:t>Presentation of the practice in Slovakia</w:t>
      </w:r>
      <w:bookmarkEnd w:id="175"/>
      <w:bookmarkEnd w:id="176"/>
      <w:bookmarkEnd w:id="177"/>
    </w:p>
    <w:p w14:paraId="30347911" w14:textId="77777777" w:rsidR="00C52545" w:rsidRPr="007B3E93" w:rsidRDefault="00C52545" w:rsidP="00C52545">
      <w:pPr>
        <w:rPr>
          <w:rFonts w:eastAsia="Calibri" w:cs="Arial"/>
        </w:rPr>
      </w:pPr>
      <w:r w:rsidRPr="1E4C0714">
        <w:rPr>
          <w:rFonts w:eastAsia="Calibri" w:cs="Arial"/>
          <w:szCs w:val="18"/>
        </w:rPr>
        <w:t xml:space="preserve">The Office of Government is not responsible for </w:t>
      </w:r>
      <w:r>
        <w:rPr>
          <w:rFonts w:eastAsia="Calibri" w:cs="Arial"/>
          <w:szCs w:val="18"/>
        </w:rPr>
        <w:t xml:space="preserve">applying the </w:t>
      </w:r>
      <w:r w:rsidRPr="1E4C0714">
        <w:rPr>
          <w:rFonts w:eastAsia="Calibri" w:cs="Arial"/>
          <w:szCs w:val="18"/>
        </w:rPr>
        <w:t>DNSH</w:t>
      </w:r>
      <w:r>
        <w:rPr>
          <w:rFonts w:eastAsia="Calibri" w:cs="Arial"/>
          <w:szCs w:val="18"/>
        </w:rPr>
        <w:t xml:space="preserve"> principle</w:t>
      </w:r>
      <w:r w:rsidRPr="1E4C0714">
        <w:rPr>
          <w:rFonts w:eastAsia="Calibri" w:cs="Arial"/>
          <w:szCs w:val="18"/>
        </w:rPr>
        <w:t xml:space="preserve">. It works with 3 </w:t>
      </w:r>
      <w:r>
        <w:rPr>
          <w:rFonts w:eastAsia="Calibri" w:cs="Arial"/>
          <w:szCs w:val="18"/>
        </w:rPr>
        <w:t>M</w:t>
      </w:r>
      <w:r w:rsidRPr="1E4C0714">
        <w:rPr>
          <w:rFonts w:eastAsia="Calibri" w:cs="Arial"/>
          <w:szCs w:val="18"/>
        </w:rPr>
        <w:t xml:space="preserve">inistries that designate intermediates to </w:t>
      </w:r>
      <w:r>
        <w:rPr>
          <w:rFonts w:eastAsia="Calibri" w:cs="Arial"/>
          <w:szCs w:val="18"/>
        </w:rPr>
        <w:t>apply the</w:t>
      </w:r>
      <w:r w:rsidRPr="1E4C0714">
        <w:rPr>
          <w:rFonts w:eastAsia="Calibri" w:cs="Arial"/>
          <w:szCs w:val="18"/>
        </w:rPr>
        <w:t xml:space="preserve"> DNSH</w:t>
      </w:r>
      <w:r>
        <w:rPr>
          <w:rFonts w:eastAsia="Calibri" w:cs="Arial"/>
          <w:szCs w:val="18"/>
        </w:rPr>
        <w:t xml:space="preserve"> principle</w:t>
      </w:r>
      <w:r w:rsidRPr="1E4C0714">
        <w:rPr>
          <w:rFonts w:eastAsia="Calibri" w:cs="Arial"/>
          <w:szCs w:val="18"/>
        </w:rPr>
        <w:t xml:space="preserve">, aiming for more agility in the process. </w:t>
      </w:r>
      <w:r w:rsidRPr="1E4C0714">
        <w:rPr>
          <w:rFonts w:eastAsia="Calibri" w:cs="Arial"/>
          <w:szCs w:val="18"/>
        </w:rPr>
        <w:lastRenderedPageBreak/>
        <w:t xml:space="preserve">Recipients can be </w:t>
      </w:r>
      <w:r>
        <w:rPr>
          <w:rFonts w:eastAsia="Calibri" w:cs="Arial"/>
          <w:szCs w:val="18"/>
        </w:rPr>
        <w:t>M</w:t>
      </w:r>
      <w:r w:rsidRPr="1E4C0714">
        <w:rPr>
          <w:rFonts w:eastAsia="Calibri" w:cs="Arial"/>
          <w:szCs w:val="18"/>
        </w:rPr>
        <w:t xml:space="preserve">inistries, private people, cities, companies. </w:t>
      </w:r>
      <w:r>
        <w:rPr>
          <w:rFonts w:eastAsia="Calibri" w:cs="Arial"/>
          <w:szCs w:val="18"/>
        </w:rPr>
        <w:t>A</w:t>
      </w:r>
      <w:r w:rsidRPr="1E4C0714">
        <w:rPr>
          <w:rFonts w:eastAsia="Calibri" w:cs="Arial"/>
          <w:szCs w:val="18"/>
        </w:rPr>
        <w:t xml:space="preserve">n </w:t>
      </w:r>
      <w:r>
        <w:rPr>
          <w:rFonts w:eastAsia="Calibri" w:cs="Arial"/>
          <w:szCs w:val="18"/>
        </w:rPr>
        <w:t xml:space="preserve">independent </w:t>
      </w:r>
      <w:r w:rsidRPr="1E4C0714">
        <w:rPr>
          <w:rFonts w:eastAsia="Calibri" w:cs="Arial"/>
          <w:szCs w:val="18"/>
        </w:rPr>
        <w:t xml:space="preserve">advisory body </w:t>
      </w:r>
      <w:r>
        <w:rPr>
          <w:rFonts w:eastAsia="Calibri" w:cs="Arial"/>
          <w:szCs w:val="18"/>
        </w:rPr>
        <w:t xml:space="preserve">consisting in </w:t>
      </w:r>
      <w:r w:rsidRPr="1E4C0714">
        <w:rPr>
          <w:rFonts w:eastAsia="Calibri" w:cs="Arial"/>
          <w:szCs w:val="18"/>
        </w:rPr>
        <w:t>experts</w:t>
      </w:r>
      <w:r>
        <w:rPr>
          <w:rFonts w:eastAsia="Calibri" w:cs="Arial"/>
          <w:szCs w:val="18"/>
        </w:rPr>
        <w:t xml:space="preserve"> supports the process</w:t>
      </w:r>
      <w:r w:rsidRPr="1E4C0714">
        <w:rPr>
          <w:rFonts w:eastAsia="Calibri" w:cs="Arial"/>
          <w:szCs w:val="18"/>
        </w:rPr>
        <w:t xml:space="preserve">. </w:t>
      </w:r>
      <w:r w:rsidRPr="00F9736B">
        <w:rPr>
          <w:rFonts w:eastAsia="Calibri" w:cs="Arial"/>
        </w:rPr>
        <w:t>The current DNSH governance is</w:t>
      </w:r>
      <w:r>
        <w:rPr>
          <w:rFonts w:eastAsia="Calibri" w:cs="Arial"/>
          <w:b/>
          <w:bCs/>
        </w:rPr>
        <w:t xml:space="preserve"> </w:t>
      </w:r>
      <w:r w:rsidRPr="004C69C2">
        <w:rPr>
          <w:rFonts w:eastAsia="Calibri" w:cs="Arial"/>
        </w:rPr>
        <w:t xml:space="preserve">not set </w:t>
      </w:r>
      <w:r>
        <w:rPr>
          <w:rFonts w:eastAsia="Calibri" w:cs="Arial"/>
        </w:rPr>
        <w:t>in</w:t>
      </w:r>
      <w:r w:rsidRPr="004C69C2">
        <w:rPr>
          <w:rFonts w:eastAsia="Calibri" w:cs="Arial"/>
        </w:rPr>
        <w:t xml:space="preserve"> stone</w:t>
      </w:r>
      <w:r>
        <w:rPr>
          <w:rFonts w:eastAsia="Calibri" w:cs="Arial"/>
        </w:rPr>
        <w:t xml:space="preserve"> and varies across sectors</w:t>
      </w:r>
      <w:r w:rsidRPr="004C69C2">
        <w:rPr>
          <w:rFonts w:eastAsia="Calibri" w:cs="Arial"/>
        </w:rPr>
        <w:t>.</w:t>
      </w:r>
      <w:r>
        <w:rPr>
          <w:rFonts w:eastAsia="Calibri" w:cs="Arial"/>
        </w:rPr>
        <w:t xml:space="preserve"> For instance, t</w:t>
      </w:r>
      <w:r w:rsidRPr="004C69C2">
        <w:rPr>
          <w:rFonts w:eastAsia="Calibri" w:cs="Arial"/>
        </w:rPr>
        <w:t xml:space="preserve">he Office of Government is in charge of green buildings because </w:t>
      </w:r>
      <w:r>
        <w:rPr>
          <w:rFonts w:eastAsia="Calibri" w:cs="Arial"/>
        </w:rPr>
        <w:t>the application of the DNSH principle to this sector</w:t>
      </w:r>
      <w:r w:rsidRPr="004C69C2">
        <w:rPr>
          <w:rFonts w:eastAsia="Calibri" w:cs="Arial"/>
        </w:rPr>
        <w:t xml:space="preserve"> is streamlined </w:t>
      </w:r>
      <w:r>
        <w:rPr>
          <w:rFonts w:eastAsia="Calibri" w:cs="Arial"/>
        </w:rPr>
        <w:t>across</w:t>
      </w:r>
      <w:r w:rsidRPr="004C69C2">
        <w:rPr>
          <w:rFonts w:eastAsia="Calibri" w:cs="Arial"/>
        </w:rPr>
        <w:t xml:space="preserve"> several ministries</w:t>
      </w:r>
      <w:r>
        <w:rPr>
          <w:rFonts w:eastAsia="Calibri" w:cs="Arial"/>
        </w:rPr>
        <w:t xml:space="preserve">; at the same time, </w:t>
      </w:r>
      <w:r w:rsidRPr="004C69C2">
        <w:rPr>
          <w:rFonts w:eastAsia="Calibri" w:cs="Arial"/>
        </w:rPr>
        <w:t xml:space="preserve">the Ministry of Economy is more </w:t>
      </w:r>
      <w:r>
        <w:rPr>
          <w:rFonts w:eastAsia="Calibri" w:cs="Arial"/>
        </w:rPr>
        <w:t xml:space="preserve">independent in its application of the DNSH principle </w:t>
      </w:r>
      <w:r w:rsidRPr="004C69C2">
        <w:rPr>
          <w:rFonts w:eastAsia="Calibri" w:cs="Arial"/>
        </w:rPr>
        <w:t xml:space="preserve">and </w:t>
      </w:r>
      <w:r>
        <w:rPr>
          <w:rFonts w:eastAsia="Calibri" w:cs="Arial"/>
        </w:rPr>
        <w:t xml:space="preserve">covers the </w:t>
      </w:r>
      <w:r w:rsidRPr="004C69C2">
        <w:rPr>
          <w:rFonts w:eastAsia="Calibri" w:cs="Arial"/>
        </w:rPr>
        <w:t>renewable</w:t>
      </w:r>
      <w:r>
        <w:rPr>
          <w:rFonts w:eastAsia="Calibri" w:cs="Arial"/>
        </w:rPr>
        <w:t xml:space="preserve"> energy sub-sector</w:t>
      </w:r>
      <w:r w:rsidRPr="004C69C2">
        <w:rPr>
          <w:rFonts w:eastAsia="Calibri" w:cs="Arial"/>
        </w:rPr>
        <w:t>.</w:t>
      </w:r>
    </w:p>
    <w:p w14:paraId="68154E6D" w14:textId="77777777" w:rsidR="00C52545" w:rsidRPr="004C69C2" w:rsidRDefault="00C52545" w:rsidP="00C52545">
      <w:pPr>
        <w:rPr>
          <w:rFonts w:eastAsia="Calibri" w:cs="Arial"/>
        </w:rPr>
      </w:pPr>
    </w:p>
    <w:p w14:paraId="146E8FDB" w14:textId="77777777" w:rsidR="00C52545" w:rsidRPr="004C69C2" w:rsidRDefault="00C52545" w:rsidP="00C52545">
      <w:pPr>
        <w:rPr>
          <w:rFonts w:eastAsia="Calibri" w:cs="Arial"/>
        </w:rPr>
      </w:pPr>
      <w:r w:rsidRPr="00381B5E">
        <w:rPr>
          <w:rFonts w:eastAsia="Calibri" w:cs="Arial"/>
        </w:rPr>
        <w:t>The</w:t>
      </w:r>
      <w:r>
        <w:rPr>
          <w:rFonts w:eastAsia="Calibri" w:cs="Arial"/>
          <w:b/>
          <w:bCs/>
        </w:rPr>
        <w:t xml:space="preserve"> </w:t>
      </w:r>
      <w:r w:rsidRPr="004C69C2">
        <w:rPr>
          <w:rFonts w:eastAsia="Calibri" w:cs="Arial"/>
        </w:rPr>
        <w:t xml:space="preserve">RRP was written by the Ministry of Finance and Office of Government after DNSH assessment guidance for all areas was completed. Additional technical assistance for buildings was developed specifically through green tag conditions, setting verification mechanisms listed in the assessment. Only if these safeguards are met </w:t>
      </w:r>
      <w:r>
        <w:rPr>
          <w:rFonts w:eastAsia="Calibri" w:cs="Arial"/>
        </w:rPr>
        <w:t>is</w:t>
      </w:r>
      <w:r w:rsidRPr="004C69C2">
        <w:rPr>
          <w:rFonts w:eastAsia="Calibri" w:cs="Arial"/>
        </w:rPr>
        <w:t xml:space="preserve"> </w:t>
      </w:r>
      <w:r>
        <w:rPr>
          <w:rFonts w:eastAsia="Calibri" w:cs="Arial"/>
        </w:rPr>
        <w:t xml:space="preserve">an </w:t>
      </w:r>
      <w:r w:rsidRPr="004C69C2">
        <w:rPr>
          <w:rFonts w:eastAsia="Calibri" w:cs="Arial"/>
        </w:rPr>
        <w:t>investment considered c</w:t>
      </w:r>
      <w:r w:rsidRPr="00F9736B">
        <w:rPr>
          <w:rFonts w:eastAsia="Calibri" w:cs="Arial"/>
        </w:rPr>
        <w:t>ompliant.</w:t>
      </w:r>
    </w:p>
    <w:p w14:paraId="70917961" w14:textId="77777777" w:rsidR="00C52545" w:rsidRPr="004C69C2" w:rsidRDefault="00C52545" w:rsidP="00C52545">
      <w:pPr>
        <w:rPr>
          <w:rFonts w:eastAsia="Calibri" w:cs="Arial"/>
        </w:rPr>
      </w:pPr>
    </w:p>
    <w:p w14:paraId="17EA809E" w14:textId="77777777" w:rsidR="00C52545" w:rsidRPr="004C69C2" w:rsidRDefault="00C52545" w:rsidP="00C52545">
      <w:pPr>
        <w:rPr>
          <w:rFonts w:eastAsia="Calibri" w:cs="Arial"/>
        </w:rPr>
      </w:pPr>
      <w:r w:rsidRPr="00D57B8A">
        <w:rPr>
          <w:rFonts w:eastAsia="Calibri" w:cs="Arial"/>
        </w:rPr>
        <w:t xml:space="preserve">The team focusing on the DNSH principle at the Office of Government conducted DNSH assessments for building investments specifically. They are consistent with the climate mitigation goal, followed by </w:t>
      </w:r>
      <w:r w:rsidRPr="004C69C2">
        <w:rPr>
          <w:rFonts w:eastAsia="Calibri" w:cs="Arial"/>
        </w:rPr>
        <w:t>safeguards for other goals. Concrete actions are more simplified, with a checklist for ministries to use when creating an open call to check which conditions they are using and how, as well as which they believe are irrelevant. For example, a single-family home renovation is not subject to bird-related regulation. The team is trying to strike a balance in order to simplify the process. It completed the assessment in order to be evaluated positively, but there are conditions for complying with the DNSH.</w:t>
      </w:r>
    </w:p>
    <w:p w14:paraId="1A54E2FA" w14:textId="77777777" w:rsidR="00C52545" w:rsidRPr="004C69C2" w:rsidRDefault="00C52545" w:rsidP="00C52545">
      <w:pPr>
        <w:pStyle w:val="lp11"/>
        <w:numPr>
          <w:ilvl w:val="0"/>
          <w:numId w:val="8"/>
        </w:numPr>
      </w:pPr>
      <w:r w:rsidRPr="004C69C2">
        <w:t>Exclusion criteria;</w:t>
      </w:r>
    </w:p>
    <w:p w14:paraId="45943F6D" w14:textId="77777777" w:rsidR="00C52545" w:rsidRPr="004C69C2" w:rsidRDefault="00C52545" w:rsidP="00C52545">
      <w:pPr>
        <w:pStyle w:val="lp11"/>
        <w:numPr>
          <w:ilvl w:val="0"/>
          <w:numId w:val="8"/>
        </w:numPr>
      </w:pPr>
      <w:r w:rsidRPr="004C69C2">
        <w:t xml:space="preserve">Technical conditions; </w:t>
      </w:r>
    </w:p>
    <w:p w14:paraId="635211B0" w14:textId="77777777" w:rsidR="00C52545" w:rsidRPr="004C69C2" w:rsidRDefault="00C52545" w:rsidP="00C52545">
      <w:pPr>
        <w:pStyle w:val="lp11"/>
        <w:numPr>
          <w:ilvl w:val="0"/>
          <w:numId w:val="8"/>
        </w:numPr>
      </w:pPr>
      <w:r w:rsidRPr="004C69C2">
        <w:t>Conditions that require consistency of current legislation;</w:t>
      </w:r>
    </w:p>
    <w:p w14:paraId="5E7D65A7" w14:textId="77777777" w:rsidR="00C52545" w:rsidRPr="004C69C2" w:rsidRDefault="00C52545" w:rsidP="00C52545">
      <w:pPr>
        <w:pStyle w:val="lp11"/>
        <w:numPr>
          <w:ilvl w:val="0"/>
          <w:numId w:val="8"/>
        </w:numPr>
      </w:pPr>
      <w:r w:rsidRPr="004C69C2">
        <w:t>Recommendations.</w:t>
      </w:r>
    </w:p>
    <w:p w14:paraId="0BB193E9" w14:textId="77777777" w:rsidR="00C52545" w:rsidRPr="004C69C2" w:rsidRDefault="00C52545" w:rsidP="00C52545">
      <w:pPr>
        <w:rPr>
          <w:rFonts w:eastAsia="Calibri" w:cs="Arial"/>
        </w:rPr>
      </w:pPr>
    </w:p>
    <w:p w14:paraId="3683F5C3"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78" w:name="_Toc127978755"/>
      <w:bookmarkStart w:id="179" w:name="_Toc131757503"/>
      <w:bookmarkStart w:id="180" w:name="_Toc131775896"/>
      <w:r w:rsidRPr="004C69C2">
        <w:rPr>
          <w:rFonts w:eastAsia="Calibri" w:cs="Arial"/>
          <w:b/>
          <w:i/>
          <w:color w:val="F04E30"/>
          <w:lang w:val="en-GB"/>
        </w:rPr>
        <w:t>Verification process in Slovakia</w:t>
      </w:r>
      <w:bookmarkEnd w:id="178"/>
      <w:bookmarkEnd w:id="179"/>
      <w:bookmarkEnd w:id="180"/>
    </w:p>
    <w:p w14:paraId="7F780271" w14:textId="77777777" w:rsidR="00C52545" w:rsidRPr="004C69C2" w:rsidRDefault="00C52545" w:rsidP="00C52545">
      <w:pPr>
        <w:rPr>
          <w:rFonts w:eastAsia="Calibri" w:cs="Arial"/>
          <w:szCs w:val="18"/>
        </w:rPr>
      </w:pPr>
      <w:r w:rsidRPr="00D57B8A">
        <w:rPr>
          <w:rFonts w:eastAsia="Calibri" w:cs="Arial"/>
          <w:szCs w:val="18"/>
        </w:rPr>
        <w:t xml:space="preserve">Verification of the application of DNSH criteria is under the responsibility of the Office of Government. </w:t>
      </w:r>
      <w:r>
        <w:rPr>
          <w:rFonts w:eastAsia="Calibri" w:cs="Arial"/>
          <w:szCs w:val="18"/>
        </w:rPr>
        <w:t xml:space="preserve">Certain </w:t>
      </w:r>
      <w:r w:rsidRPr="1E4C0714">
        <w:rPr>
          <w:rFonts w:eastAsia="Calibri" w:cs="Arial"/>
          <w:szCs w:val="18"/>
        </w:rPr>
        <w:t xml:space="preserve">criteria are assessed and defined at the call level. The call's design makes it DNSH compliant. For example, biomass is not supported (by exclusion) or on the list of things that are financed (by inclusion, listing). </w:t>
      </w:r>
      <w:r>
        <w:rPr>
          <w:rFonts w:eastAsia="Calibri" w:cs="Arial"/>
          <w:szCs w:val="18"/>
        </w:rPr>
        <w:t xml:space="preserve">Proponents do not need to justify that they abide by applicable environmental laws. </w:t>
      </w:r>
      <w:r w:rsidRPr="1E4C0714">
        <w:rPr>
          <w:rFonts w:eastAsia="Calibri" w:cs="Arial"/>
          <w:szCs w:val="18"/>
        </w:rPr>
        <w:t>However, legislative acts</w:t>
      </w:r>
      <w:r>
        <w:rPr>
          <w:rFonts w:eastAsia="Calibri" w:cs="Arial"/>
          <w:szCs w:val="18"/>
        </w:rPr>
        <w:t xml:space="preserve"> that are specific to the call, </w:t>
      </w:r>
      <w:r w:rsidRPr="1E4C0714">
        <w:rPr>
          <w:rFonts w:eastAsia="Calibri" w:cs="Arial"/>
          <w:szCs w:val="18"/>
        </w:rPr>
        <w:t>such as material quality, may be included in the call level criteria. Active justification is required by the EC and must be included in the operational agreement (for example, 70% of recycling waste). This approach seeks to develop a comprehensive approach for line ministries to use in practice.</w:t>
      </w:r>
    </w:p>
    <w:p w14:paraId="3A02A9A1" w14:textId="77777777" w:rsidR="00C52545" w:rsidRPr="004C69C2" w:rsidRDefault="00C52545" w:rsidP="00C52545">
      <w:pPr>
        <w:rPr>
          <w:rFonts w:eastAsia="Calibri" w:cs="Arial"/>
        </w:rPr>
      </w:pPr>
    </w:p>
    <w:p w14:paraId="133253A4" w14:textId="77777777" w:rsidR="00C52545" w:rsidRPr="004C69C2" w:rsidRDefault="00C52545" w:rsidP="007608BA">
      <w:pPr>
        <w:numPr>
          <w:ilvl w:val="1"/>
          <w:numId w:val="0"/>
        </w:numPr>
        <w:tabs>
          <w:tab w:val="left" w:pos="851"/>
        </w:tabs>
        <w:spacing w:before="120" w:after="120"/>
        <w:ind w:left="1134" w:hanging="567"/>
        <w:contextualSpacing/>
        <w:outlineLvl w:val="1"/>
        <w:rPr>
          <w:rFonts w:eastAsia="Calibri" w:cs="Arial"/>
          <w:b/>
          <w:color w:val="005962"/>
          <w:sz w:val="24"/>
          <w:lang w:val="en-GB"/>
        </w:rPr>
      </w:pPr>
      <w:bookmarkStart w:id="181" w:name="_Toc127978756"/>
      <w:bookmarkStart w:id="182" w:name="_Toc131757504"/>
      <w:bookmarkStart w:id="183" w:name="_Toc131775897"/>
      <w:r w:rsidRPr="004C69C2">
        <w:rPr>
          <w:rFonts w:eastAsia="Calibri" w:cs="Arial"/>
          <w:b/>
          <w:color w:val="005962"/>
          <w:sz w:val="24"/>
          <w:lang w:val="en-GB"/>
        </w:rPr>
        <w:t>Emma Terämä - Ministry of the Environment (Finland)</w:t>
      </w:r>
      <w:bookmarkEnd w:id="181"/>
      <w:bookmarkEnd w:id="182"/>
      <w:bookmarkEnd w:id="183"/>
    </w:p>
    <w:p w14:paraId="0CBF7F5E"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84" w:name="_Toc127978757"/>
      <w:bookmarkStart w:id="185" w:name="_Toc131757505"/>
      <w:bookmarkStart w:id="186" w:name="_Toc131775898"/>
      <w:r w:rsidRPr="004C69C2">
        <w:rPr>
          <w:rFonts w:eastAsia="Calibri" w:cs="Arial"/>
          <w:b/>
          <w:i/>
          <w:color w:val="F04E30"/>
          <w:lang w:val="en-GB"/>
        </w:rPr>
        <w:t>Context</w:t>
      </w:r>
      <w:bookmarkEnd w:id="184"/>
      <w:bookmarkEnd w:id="185"/>
      <w:bookmarkEnd w:id="186"/>
    </w:p>
    <w:p w14:paraId="2985E2E3" w14:textId="77777777" w:rsidR="00C52545" w:rsidRPr="004C69C2" w:rsidRDefault="00C52545" w:rsidP="00C52545">
      <w:pPr>
        <w:rPr>
          <w:rFonts w:eastAsia="Calibri" w:cs="Arial"/>
          <w:szCs w:val="18"/>
          <w:lang w:val="en-GB"/>
        </w:rPr>
      </w:pPr>
      <w:r w:rsidRPr="1E4C0714">
        <w:rPr>
          <w:rFonts w:eastAsia="Calibri" w:cs="Arial"/>
          <w:szCs w:val="18"/>
          <w:lang w:val="en-GB"/>
        </w:rPr>
        <w:t xml:space="preserve">Currently, in Finland, environmental assessments are used in the preparation of legislation (regulatory </w:t>
      </w:r>
      <w:r>
        <w:rPr>
          <w:rFonts w:eastAsia="Calibri" w:cs="Arial"/>
          <w:szCs w:val="18"/>
          <w:lang w:val="en-GB"/>
        </w:rPr>
        <w:t>impact assessments</w:t>
      </w:r>
      <w:r w:rsidRPr="1E4C0714">
        <w:rPr>
          <w:rFonts w:eastAsia="Calibri" w:cs="Arial"/>
          <w:szCs w:val="18"/>
          <w:lang w:val="en-GB"/>
        </w:rPr>
        <w:t>, use of the Taxonomy, RRF legislation for implementation, fast-track permitting for 2023-2026) and in the implementation of plans.</w:t>
      </w:r>
    </w:p>
    <w:p w14:paraId="105DD89D" w14:textId="77777777" w:rsidR="00C52545" w:rsidRPr="004C69C2" w:rsidRDefault="00C52545" w:rsidP="00C52545">
      <w:pPr>
        <w:rPr>
          <w:rFonts w:eastAsia="Calibri" w:cs="Arial"/>
          <w:lang w:val="en-GB"/>
        </w:rPr>
      </w:pPr>
    </w:p>
    <w:p w14:paraId="7B4BB0B6"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87" w:name="_Toc127978758"/>
      <w:bookmarkStart w:id="188" w:name="_Toc131757506"/>
      <w:bookmarkStart w:id="189" w:name="_Toc131775899"/>
      <w:r w:rsidRPr="004C69C2">
        <w:rPr>
          <w:rFonts w:eastAsia="Calibri" w:cs="Arial"/>
          <w:b/>
          <w:i/>
          <w:color w:val="F04E30"/>
          <w:lang w:val="en-GB"/>
        </w:rPr>
        <w:t>Relevance and use of DNSH criteria beyond European funding</w:t>
      </w:r>
      <w:bookmarkEnd w:id="187"/>
      <w:bookmarkEnd w:id="188"/>
      <w:bookmarkEnd w:id="189"/>
    </w:p>
    <w:p w14:paraId="21C7205E" w14:textId="77777777" w:rsidR="00C52545" w:rsidRPr="004C69C2" w:rsidRDefault="00C52545" w:rsidP="00C52545">
      <w:pPr>
        <w:rPr>
          <w:rFonts w:eastAsia="Calibri" w:cs="Arial"/>
          <w:lang w:val="en-GB"/>
        </w:rPr>
      </w:pPr>
      <w:r w:rsidRPr="004C69C2">
        <w:rPr>
          <w:rFonts w:eastAsia="Calibri" w:cs="Arial"/>
          <w:lang w:val="en-GB"/>
        </w:rPr>
        <w:t>During the recovery period, criteria were already used to ensure that recovery investments supported the environmental integrity. In this regard, DNSH could be useful overarching criteria to allow actors to cover all aspects of environmental integrity.</w:t>
      </w:r>
    </w:p>
    <w:p w14:paraId="6F317F80" w14:textId="77777777" w:rsidR="00C52545" w:rsidRPr="004C69C2" w:rsidRDefault="00C52545" w:rsidP="00C52545">
      <w:pPr>
        <w:rPr>
          <w:rFonts w:eastAsia="Calibri" w:cs="Arial"/>
          <w:lang w:val="en-GB"/>
        </w:rPr>
      </w:pPr>
      <w:r w:rsidRPr="004C69C2">
        <w:rPr>
          <w:rFonts w:eastAsia="Calibri" w:cs="Arial"/>
          <w:lang w:val="en-GB"/>
        </w:rPr>
        <w:t xml:space="preserve">A working group also noticed that permitting could be a hindrance to fast implementation. This is particularly the case for energy-related investments. This led to the idea of developing a legislation </w:t>
      </w:r>
      <w:r w:rsidRPr="004C69C2">
        <w:rPr>
          <w:rFonts w:eastAsia="Calibri" w:cs="Arial"/>
          <w:lang w:val="en-GB"/>
        </w:rPr>
        <w:lastRenderedPageBreak/>
        <w:t>that requires a screening of future investments at the permit stage, using the DNSH principle. The DNSH principle thus became the key tool to access fast-track. This requires major capability improvements for the Regional State Administrative Agencies.</w:t>
      </w:r>
    </w:p>
    <w:p w14:paraId="58F54B08" w14:textId="77777777" w:rsidR="00C52545" w:rsidRPr="004C69C2" w:rsidRDefault="00C52545" w:rsidP="00C52545">
      <w:pPr>
        <w:rPr>
          <w:rFonts w:eastAsia="Calibri" w:cs="Arial"/>
          <w:lang w:val="en-GB"/>
        </w:rPr>
      </w:pPr>
    </w:p>
    <w:p w14:paraId="554C63B9" w14:textId="77777777" w:rsidR="00C52545" w:rsidRPr="004C69C2" w:rsidRDefault="00C52545" w:rsidP="00C52545">
      <w:pPr>
        <w:rPr>
          <w:rFonts w:eastAsia="Calibri" w:cs="Arial"/>
          <w:lang w:val="en-GB"/>
        </w:rPr>
      </w:pPr>
      <w:r w:rsidRPr="004C69C2">
        <w:rPr>
          <w:rFonts w:eastAsia="Calibri" w:cs="Arial"/>
          <w:lang w:val="en-GB"/>
        </w:rPr>
        <w:t>The DNSH principle does not affect environmental permitting itself. It only ensures a guarantee for eligible projects that permitting will be provided within 12 months.</w:t>
      </w:r>
      <w:r>
        <w:rPr>
          <w:rFonts w:eastAsia="Calibri" w:cs="Arial"/>
          <w:lang w:val="en-GB"/>
        </w:rPr>
        <w:t xml:space="preserve"> </w:t>
      </w:r>
      <w:r w:rsidRPr="004C69C2">
        <w:rPr>
          <w:rFonts w:eastAsia="Calibri" w:cs="Arial"/>
          <w:lang w:val="en-GB"/>
        </w:rPr>
        <w:t>In practice, there is a single stage with a general assessment. No LCAs nor exclusions are conducted. There is a sectoral selection, but no the exclusions from the RRF. No quantitative criteria are used (although a quantitative threshold can be used to justify a good performance). There is no hierarchy between different types of impacts.</w:t>
      </w:r>
    </w:p>
    <w:p w14:paraId="6E9A86AC" w14:textId="77777777" w:rsidR="00C52545" w:rsidRPr="004C69C2" w:rsidRDefault="00C52545" w:rsidP="00C52545">
      <w:pPr>
        <w:rPr>
          <w:rFonts w:eastAsia="Calibri" w:cs="Arial"/>
          <w:lang w:val="en-GB"/>
        </w:rPr>
      </w:pPr>
    </w:p>
    <w:p w14:paraId="392D65DA"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190" w:name="_Toc127978759"/>
      <w:bookmarkStart w:id="191" w:name="_Toc131757507"/>
      <w:bookmarkStart w:id="192" w:name="_Toc131775900"/>
      <w:r w:rsidRPr="004C69C2">
        <w:rPr>
          <w:rFonts w:eastAsia="Calibri" w:cs="Arial"/>
          <w:b/>
          <w:i/>
          <w:color w:val="F04E30"/>
          <w:lang w:val="en-GB"/>
        </w:rPr>
        <w:t>Practical considerations</w:t>
      </w:r>
      <w:bookmarkEnd w:id="190"/>
      <w:bookmarkEnd w:id="191"/>
      <w:bookmarkEnd w:id="192"/>
    </w:p>
    <w:p w14:paraId="1DA92F4B" w14:textId="1C492AC1" w:rsidR="00C52545" w:rsidRDefault="00C52545" w:rsidP="00C52545">
      <w:pPr>
        <w:rPr>
          <w:rFonts w:eastAsia="Calibri" w:cs="Arial"/>
          <w:lang w:val="en-GB"/>
        </w:rPr>
      </w:pPr>
      <w:r w:rsidRPr="004C69C2">
        <w:rPr>
          <w:rFonts w:eastAsia="Calibri" w:cs="Arial"/>
          <w:lang w:val="en-GB"/>
        </w:rPr>
        <w:t>This system require</w:t>
      </w:r>
      <w:r>
        <w:rPr>
          <w:rFonts w:eastAsia="Calibri" w:cs="Arial"/>
          <w:lang w:val="en-GB"/>
        </w:rPr>
        <w:t>s</w:t>
      </w:r>
      <w:r w:rsidRPr="004C69C2">
        <w:rPr>
          <w:rFonts w:eastAsia="Calibri" w:cs="Arial"/>
          <w:lang w:val="en-GB"/>
        </w:rPr>
        <w:t xml:space="preserve"> a strong</w:t>
      </w:r>
      <w:r>
        <w:rPr>
          <w:rFonts w:eastAsia="Calibri" w:cs="Arial"/>
          <w:lang w:val="en-GB"/>
        </w:rPr>
        <w:t xml:space="preserve"> </w:t>
      </w:r>
      <w:r w:rsidRPr="004C69C2">
        <w:rPr>
          <w:rFonts w:eastAsia="Calibri" w:cs="Arial"/>
          <w:lang w:val="en-GB"/>
        </w:rPr>
        <w:t>inter-ministerial cooperation. Line ministries are responsible for conducting impact assessments that fall under their sectors. This is needed to understand better the relevance of each type of assessment towards DNSH, insofar as niche expertise may be needed.</w:t>
      </w:r>
    </w:p>
    <w:p w14:paraId="3DF9E410" w14:textId="77777777" w:rsidR="006427C1" w:rsidRPr="004C69C2" w:rsidRDefault="006427C1" w:rsidP="00C52545">
      <w:pPr>
        <w:rPr>
          <w:rFonts w:eastAsia="Calibri" w:cs="Arial"/>
          <w:lang w:val="en-GB"/>
        </w:rPr>
      </w:pPr>
    </w:p>
    <w:p w14:paraId="7E881494" w14:textId="77777777" w:rsidR="00C52545" w:rsidRPr="004C69C2" w:rsidRDefault="00C52545" w:rsidP="007608BA">
      <w:pPr>
        <w:pStyle w:val="Nadpis2"/>
        <w:numPr>
          <w:ilvl w:val="0"/>
          <w:numId w:val="0"/>
        </w:numPr>
        <w:ind w:left="567"/>
      </w:pPr>
      <w:bookmarkStart w:id="193" w:name="_Toc127978760"/>
      <w:bookmarkStart w:id="194" w:name="_Toc131757508"/>
      <w:bookmarkStart w:id="195" w:name="_Toc131775901"/>
      <w:r w:rsidRPr="004C69C2">
        <w:t>Panel discussion</w:t>
      </w:r>
      <w:bookmarkEnd w:id="193"/>
      <w:bookmarkEnd w:id="194"/>
      <w:bookmarkEnd w:id="195"/>
    </w:p>
    <w:p w14:paraId="458A64C8"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xml:space="preserve">: Does any panelist wish to mention a practice that has not been discussed yet? </w:t>
      </w:r>
    </w:p>
    <w:p w14:paraId="69491F9A" w14:textId="77777777" w:rsidR="00C52545" w:rsidRPr="005C6CEC" w:rsidRDefault="00C52545" w:rsidP="00C52545">
      <w:pPr>
        <w:rPr>
          <w:rFonts w:eastAsia="Calibri" w:cs="Arial"/>
          <w:szCs w:val="18"/>
        </w:rPr>
      </w:pPr>
      <w:r w:rsidRPr="1E4C0714">
        <w:rPr>
          <w:rFonts w:eastAsia="Calibri" w:cs="Arial"/>
          <w:b/>
          <w:bCs/>
          <w:color w:val="2998FF"/>
          <w:szCs w:val="18"/>
        </w:rPr>
        <w:t>Moritz Schwarz</w:t>
      </w:r>
      <w:r w:rsidRPr="1E4C0714">
        <w:rPr>
          <w:rFonts w:eastAsia="Calibri" w:cs="Arial"/>
          <w:szCs w:val="18"/>
        </w:rPr>
        <w:t>: The Ministry of Finance oversees the RRF implementation and DNSH assessments. Furthermore, a TSI project will be launched soon to delve deeper into these topics. So far, the line ministries have evaluated the DNSH principle. There are differences between Ministries, as well as some differences in their methodologies. The goal now is to standardize the evaluations and implementation (with a priority on the RRP). DNSH-related concepts are attempted to be incorporated into legislation, processes, and green budgeting by the Ministry.</w:t>
      </w:r>
      <w:r>
        <w:rPr>
          <w:rFonts w:eastAsia="Calibri" w:cs="Arial"/>
          <w:szCs w:val="18"/>
        </w:rPr>
        <w:t xml:space="preserve"> </w:t>
      </w:r>
      <w:r w:rsidRPr="004C69C2">
        <w:rPr>
          <w:rFonts w:eastAsia="Calibri" w:cs="Arial"/>
        </w:rPr>
        <w:t xml:space="preserve">The goal is to combine the DNSH principle and related approaches </w:t>
      </w:r>
      <w:r w:rsidRPr="00D57B8A">
        <w:rPr>
          <w:rFonts w:eastAsia="Calibri" w:cs="Arial"/>
        </w:rPr>
        <w:t>with green budgeting processes to create a systematic approach. The DNSH principle can play an important role in green budgeting, though the level of detail will need to be increased over time (step by step). In a</w:t>
      </w:r>
      <w:r w:rsidRPr="004C69C2">
        <w:rPr>
          <w:rFonts w:eastAsia="Calibri" w:cs="Arial"/>
        </w:rPr>
        <w:t xml:space="preserve"> nutshell, Austria takes a bottom-up approach, paying special attention to budgetary elements that require more careful attention in order to align with the DNSH principle.</w:t>
      </w:r>
    </w:p>
    <w:p w14:paraId="354E33B5" w14:textId="77777777" w:rsidR="00C52545" w:rsidRPr="004C69C2" w:rsidRDefault="00C52545" w:rsidP="00C52545">
      <w:pPr>
        <w:rPr>
          <w:rFonts w:eastAsia="Calibri" w:cs="Arial"/>
        </w:rPr>
      </w:pPr>
    </w:p>
    <w:p w14:paraId="14227BA7"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Are there examples of exclusions based on the polluter pays principle in Finland?</w:t>
      </w:r>
    </w:p>
    <w:p w14:paraId="09EE616E" w14:textId="77777777" w:rsidR="00C52545" w:rsidRPr="004C69C2" w:rsidRDefault="00C52545" w:rsidP="00C52545">
      <w:pPr>
        <w:rPr>
          <w:rFonts w:eastAsia="Calibri" w:cs="Arial"/>
        </w:rPr>
      </w:pPr>
      <w:r w:rsidRPr="004C69C2">
        <w:rPr>
          <w:rFonts w:eastAsia="Calibri" w:cs="Arial"/>
          <w:b/>
          <w:color w:val="2998FF"/>
        </w:rPr>
        <w:t>Emma</w:t>
      </w:r>
      <w:r w:rsidRPr="004C69C2">
        <w:rPr>
          <w:rFonts w:eastAsia="Calibri" w:cs="Arial"/>
          <w:b/>
          <w:bCs/>
          <w:color w:val="2998FF"/>
        </w:rPr>
        <w:t xml:space="preserve"> Terämä</w:t>
      </w:r>
      <w:r w:rsidRPr="004C69C2">
        <w:rPr>
          <w:rFonts w:eastAsia="Calibri" w:cs="Arial"/>
        </w:rPr>
        <w:t>: No. There is an interesting program to reduce oil heating in buildings from administrative to private residencies. There, the exclusion principle was used to shift to centralized heating systems. Since the latter can still rely on old coal systems, district heating might still be supported by what is excluded elsewhere (this is only due to a transition period).</w:t>
      </w:r>
    </w:p>
    <w:p w14:paraId="191C6F70" w14:textId="77777777" w:rsidR="00C52545" w:rsidRPr="004C69C2" w:rsidRDefault="00C52545" w:rsidP="00C52545">
      <w:pPr>
        <w:rPr>
          <w:rFonts w:eastAsia="Calibri" w:cs="Arial"/>
        </w:rPr>
      </w:pPr>
    </w:p>
    <w:p w14:paraId="72EBD12F"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Are you consid</w:t>
      </w:r>
      <w:r w:rsidRPr="002E6D50">
        <w:rPr>
          <w:rFonts w:eastAsia="Calibri" w:cs="Arial"/>
        </w:rPr>
        <w:t>ering legislative amendments to</w:t>
      </w:r>
      <w:r w:rsidRPr="004C69C2">
        <w:rPr>
          <w:rFonts w:eastAsia="Calibri" w:cs="Arial"/>
        </w:rPr>
        <w:t xml:space="preserve"> comply with DNSH? </w:t>
      </w:r>
    </w:p>
    <w:p w14:paraId="5BC4EC70" w14:textId="77777777" w:rsidR="00C52545" w:rsidRPr="004C69C2" w:rsidRDefault="00C52545" w:rsidP="00C52545">
      <w:pPr>
        <w:rPr>
          <w:rFonts w:eastAsia="Calibri" w:cs="Arial"/>
        </w:rPr>
      </w:pPr>
      <w:r w:rsidRPr="004C69C2">
        <w:rPr>
          <w:rFonts w:eastAsia="Calibri" w:cs="Arial"/>
          <w:b/>
          <w:bCs/>
          <w:color w:val="2998FF"/>
        </w:rPr>
        <w:t>Jan</w:t>
      </w:r>
      <w:r w:rsidRPr="004C69C2">
        <w:rPr>
          <w:rFonts w:eastAsia="Calibri" w:cs="Arial"/>
          <w:color w:val="2998FF"/>
        </w:rPr>
        <w:t xml:space="preserve"> </w:t>
      </w:r>
      <w:r w:rsidRPr="004C69C2">
        <w:rPr>
          <w:rFonts w:eastAsia="Calibri" w:cs="Arial"/>
          <w:b/>
          <w:bCs/>
          <w:color w:val="2998FF"/>
        </w:rPr>
        <w:t>Hlaváček</w:t>
      </w:r>
      <w:r w:rsidRPr="004C69C2">
        <w:rPr>
          <w:rFonts w:eastAsia="Calibri" w:cs="Arial"/>
        </w:rPr>
        <w:t>:</w:t>
      </w:r>
      <w:r w:rsidRPr="002E6D50">
        <w:rPr>
          <w:rFonts w:eastAsia="Calibri" w:cs="Arial"/>
        </w:rPr>
        <w:t xml:space="preserve"> It could be useful in the case of environmental impact assessment, with the goal of improving climate covera</w:t>
      </w:r>
      <w:r w:rsidRPr="004C69C2">
        <w:rPr>
          <w:rFonts w:eastAsia="Calibri" w:cs="Arial"/>
        </w:rPr>
        <w:t>ge. This possibility is still being discussed.</w:t>
      </w:r>
    </w:p>
    <w:p w14:paraId="2CAF61FA" w14:textId="77777777" w:rsidR="00C52545" w:rsidRPr="004C69C2" w:rsidRDefault="00C52545" w:rsidP="00C52545">
      <w:pPr>
        <w:rPr>
          <w:rFonts w:eastAsia="Calibri" w:cs="Arial"/>
          <w:szCs w:val="18"/>
        </w:rPr>
      </w:pPr>
      <w:r w:rsidRPr="1E4C0714">
        <w:rPr>
          <w:rFonts w:eastAsia="Calibri" w:cs="Arial"/>
          <w:b/>
          <w:bCs/>
          <w:color w:val="2998FF"/>
          <w:szCs w:val="18"/>
        </w:rPr>
        <w:t>Kristína Korčekova:</w:t>
      </w:r>
      <w:r w:rsidRPr="1E4C0714">
        <w:rPr>
          <w:rFonts w:eastAsia="Calibri" w:cs="Arial"/>
          <w:szCs w:val="18"/>
        </w:rPr>
        <w:t xml:space="preserve"> </w:t>
      </w:r>
      <w:r>
        <w:rPr>
          <w:rFonts w:eastAsia="Calibri" w:cs="Arial"/>
          <w:szCs w:val="18"/>
        </w:rPr>
        <w:t>Certain aspects</w:t>
      </w:r>
      <w:r w:rsidRPr="1E4C0714">
        <w:rPr>
          <w:rFonts w:eastAsia="Calibri" w:cs="Arial"/>
          <w:szCs w:val="18"/>
        </w:rPr>
        <w:t xml:space="preserve"> such as the 70% recycling waste have already been translated into national law (from technical conditions to legal requirement). Other changes similar to this may occur in relation to other criteria.</w:t>
      </w:r>
    </w:p>
    <w:p w14:paraId="5F4E6CC4" w14:textId="77777777" w:rsidR="00C52545" w:rsidRPr="004C69C2" w:rsidRDefault="00C52545" w:rsidP="00C52545">
      <w:pPr>
        <w:rPr>
          <w:rFonts w:eastAsia="Calibri" w:cs="Arial"/>
        </w:rPr>
      </w:pPr>
    </w:p>
    <w:p w14:paraId="5EAF76D7"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xml:space="preserve">: The approaches presented suggest uneven levels of integrity between detailed/simplified assessments. What would be an </w:t>
      </w:r>
      <w:r w:rsidRPr="004C69C2">
        <w:rPr>
          <w:rFonts w:eastAsia="Calibri" w:cs="Arial"/>
          <w:i/>
        </w:rPr>
        <w:t>absolute</w:t>
      </w:r>
      <w:r w:rsidRPr="004C69C2">
        <w:rPr>
          <w:rFonts w:eastAsia="Calibri" w:cs="Arial"/>
        </w:rPr>
        <w:t xml:space="preserve"> acceptable level?</w:t>
      </w:r>
    </w:p>
    <w:p w14:paraId="0C6EF591" w14:textId="77777777" w:rsidR="00C52545" w:rsidRPr="00D57B8A" w:rsidRDefault="00C52545" w:rsidP="00C52545">
      <w:pPr>
        <w:rPr>
          <w:rFonts w:eastAsia="Calibri" w:cs="Arial"/>
        </w:rPr>
      </w:pPr>
      <w:r w:rsidRPr="004C69C2">
        <w:rPr>
          <w:rFonts w:eastAsia="Calibri" w:cs="Arial"/>
          <w:b/>
          <w:bCs/>
          <w:color w:val="2998FF"/>
        </w:rPr>
        <w:lastRenderedPageBreak/>
        <w:t>Emma Terämä</w:t>
      </w:r>
      <w:r w:rsidRPr="004C69C2">
        <w:rPr>
          <w:rFonts w:eastAsia="Calibri" w:cs="Arial"/>
        </w:rPr>
        <w:t>: When the RRF was launched, the Environmental Institute was asked to clarify what would be integrity levels for each sector (i.e., which aspects and interpretation is needed for applying the DNSH principle in each sector). This resulted in the preparation of guidelines, which partly rely on national legislation. Now that the DNSH principle i</w:t>
      </w:r>
      <w:r w:rsidRPr="00D57B8A">
        <w:rPr>
          <w:rFonts w:eastAsia="Calibri" w:cs="Arial"/>
        </w:rPr>
        <w:t>s gradually being integrated in national legislation, the question boils down to the need to make the DNSH principle clear to all project developers. This is particularly tricky since the Taxonomy’s TSC are evolving – this was not the initial expectation.</w:t>
      </w:r>
    </w:p>
    <w:p w14:paraId="17CF7EE4" w14:textId="77777777" w:rsidR="00C52545" w:rsidRPr="004C69C2" w:rsidRDefault="00C52545" w:rsidP="00C52545">
      <w:pPr>
        <w:rPr>
          <w:rFonts w:eastAsia="Calibri" w:cs="Arial"/>
        </w:rPr>
      </w:pPr>
      <w:r w:rsidRPr="00D57B8A">
        <w:rPr>
          <w:rFonts w:eastAsia="Calibri" w:cs="Arial"/>
        </w:rPr>
        <w:t>More broadly, there should be a reflection on justifying/clarifying when to use the DNSH principle, keeping in mind the end-user’s needs and capacity. First, it could be used to raise awareness; second, it could be used to guarantee that t</w:t>
      </w:r>
      <w:r w:rsidRPr="004C69C2">
        <w:rPr>
          <w:rFonts w:eastAsia="Calibri" w:cs="Arial"/>
        </w:rPr>
        <w:t xml:space="preserve">here will not be significant harm. National thresholds already exist and should be listed in the guidelines. </w:t>
      </w:r>
    </w:p>
    <w:p w14:paraId="0E43A1AF" w14:textId="77777777" w:rsidR="00C52545" w:rsidRPr="004C69C2" w:rsidRDefault="00C52545" w:rsidP="00C52545">
      <w:pPr>
        <w:rPr>
          <w:rFonts w:eastAsia="Calibri" w:cs="Arial"/>
        </w:rPr>
      </w:pPr>
    </w:p>
    <w:p w14:paraId="539E7A89"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xml:space="preserve">: In terms of avoiding administrative burden, what practices can be used </w:t>
      </w:r>
      <w:r>
        <w:rPr>
          <w:rFonts w:eastAsia="Calibri" w:cs="Arial"/>
        </w:rPr>
        <w:t>or</w:t>
      </w:r>
      <w:r w:rsidRPr="004C69C2">
        <w:rPr>
          <w:rFonts w:eastAsia="Calibri" w:cs="Arial"/>
        </w:rPr>
        <w:t xml:space="preserve"> improved?</w:t>
      </w:r>
    </w:p>
    <w:p w14:paraId="01CFA9F2" w14:textId="77777777" w:rsidR="00C52545" w:rsidRPr="004C69C2" w:rsidRDefault="00C52545" w:rsidP="00C52545">
      <w:pPr>
        <w:rPr>
          <w:rFonts w:eastAsia="Calibri" w:cs="Arial"/>
          <w:szCs w:val="18"/>
        </w:rPr>
      </w:pPr>
      <w:r w:rsidRPr="1E4C0714">
        <w:rPr>
          <w:rFonts w:eastAsia="Calibri" w:cs="Arial"/>
          <w:b/>
          <w:bCs/>
          <w:color w:val="2998FF"/>
          <w:szCs w:val="18"/>
        </w:rPr>
        <w:t>Kristína Korčekova</w:t>
      </w:r>
      <w:r w:rsidRPr="1E4C0714">
        <w:rPr>
          <w:rFonts w:eastAsia="Calibri" w:cs="Arial"/>
          <w:color w:val="2998FF"/>
          <w:szCs w:val="18"/>
        </w:rPr>
        <w:t>:</w:t>
      </w:r>
      <w:r w:rsidRPr="1E4C0714">
        <w:rPr>
          <w:rFonts w:eastAsia="Calibri" w:cs="Arial"/>
          <w:szCs w:val="18"/>
        </w:rPr>
        <w:t xml:space="preserve"> It is critical to leave room for interpretati</w:t>
      </w:r>
      <w:r w:rsidRPr="00D57B8A">
        <w:rPr>
          <w:rFonts w:eastAsia="Calibri" w:cs="Arial"/>
          <w:szCs w:val="18"/>
        </w:rPr>
        <w:t xml:space="preserve">on when designing processes. Because the DNSH policy already prohibits harmful activities, it is best to simplify the process. Furthermore, the DNSH policy should not be the end goal and should not prevent good investments, so it should be flexible. When considering potential mining projects, for example, it is critical to remember that the alternative is obtaining these materials from outside the EU, where environmental standards are frequently low. Creating safeguards in such cases can be a good strategy for mitigating any negative environmental </w:t>
      </w:r>
      <w:r w:rsidRPr="1E4C0714">
        <w:rPr>
          <w:rFonts w:eastAsia="Calibri" w:cs="Arial"/>
          <w:szCs w:val="18"/>
        </w:rPr>
        <w:t>impact. It is also critical to determine who is in charge of ensuring compliance, whether at the state or ministry level.</w:t>
      </w:r>
    </w:p>
    <w:p w14:paraId="16B76A08" w14:textId="77777777" w:rsidR="00C52545" w:rsidRPr="004C69C2" w:rsidRDefault="00C52545" w:rsidP="00C52545">
      <w:pPr>
        <w:rPr>
          <w:rFonts w:eastAsia="Calibri" w:cs="Arial"/>
        </w:rPr>
      </w:pPr>
    </w:p>
    <w:p w14:paraId="156B6278"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How do you navigate differing priorities while keeping a user-friendly system?</w:t>
      </w:r>
    </w:p>
    <w:p w14:paraId="53AD4A7E" w14:textId="77777777" w:rsidR="00C52545" w:rsidRPr="004C69C2" w:rsidRDefault="00C52545" w:rsidP="00C52545">
      <w:pPr>
        <w:rPr>
          <w:rFonts w:eastAsia="Calibri" w:cs="Arial"/>
          <w:szCs w:val="18"/>
        </w:rPr>
      </w:pPr>
      <w:r w:rsidRPr="1E4C0714">
        <w:rPr>
          <w:rFonts w:eastAsia="Calibri" w:cs="Arial"/>
          <w:b/>
          <w:bCs/>
          <w:color w:val="2998FF"/>
          <w:szCs w:val="18"/>
        </w:rPr>
        <w:t>Jan Hlaváček</w:t>
      </w:r>
      <w:r w:rsidRPr="1E4C0714">
        <w:rPr>
          <w:rFonts w:eastAsia="Calibri" w:cs="Arial"/>
          <w:szCs w:val="18"/>
        </w:rPr>
        <w:t>: One of the main priorities is to make sure that requirements are clear for end-users. This means that the criteria should focus on the priorities for each sector.</w:t>
      </w:r>
    </w:p>
    <w:p w14:paraId="3A0FA6C1" w14:textId="77777777" w:rsidR="00C52545" w:rsidRPr="004C69C2" w:rsidRDefault="00C52545" w:rsidP="00C52545">
      <w:pPr>
        <w:rPr>
          <w:rFonts w:eastAsia="Calibri" w:cs="Arial"/>
        </w:rPr>
      </w:pPr>
    </w:p>
    <w:p w14:paraId="057D11EF"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Are there any differences between</w:t>
      </w:r>
      <w:r w:rsidRPr="00ED28FF">
        <w:rPr>
          <w:rFonts w:eastAsia="Calibri" w:cs="Arial"/>
        </w:rPr>
        <w:t xml:space="preserve"> financial instruments</w:t>
      </w:r>
      <w:r w:rsidRPr="004C69C2">
        <w:rPr>
          <w:rFonts w:eastAsia="Calibri" w:cs="Arial"/>
        </w:rPr>
        <w:t xml:space="preserve"> and other investments?</w:t>
      </w:r>
    </w:p>
    <w:p w14:paraId="2A25ACCE" w14:textId="77777777" w:rsidR="00C52545" w:rsidRPr="004C69C2" w:rsidRDefault="00C52545" w:rsidP="00C52545">
      <w:pPr>
        <w:rPr>
          <w:rFonts w:eastAsia="Calibri" w:cs="Arial"/>
        </w:rPr>
      </w:pPr>
      <w:r w:rsidRPr="004C69C2">
        <w:rPr>
          <w:rFonts w:eastAsia="Calibri" w:cs="Arial"/>
          <w:b/>
          <w:color w:val="2998FF"/>
        </w:rPr>
        <w:t>Jan</w:t>
      </w:r>
      <w:r w:rsidRPr="004C69C2">
        <w:rPr>
          <w:rFonts w:eastAsia="Calibri" w:cs="Arial"/>
          <w:b/>
          <w:bCs/>
          <w:color w:val="2998FF"/>
        </w:rPr>
        <w:t xml:space="preserve"> Hlaváček</w:t>
      </w:r>
      <w:r w:rsidRPr="004C69C2">
        <w:rPr>
          <w:rFonts w:eastAsia="Calibri" w:cs="Arial"/>
        </w:rPr>
        <w:t>: A loan will be launched under the JTF. The approach is the same. There are technical conditions to be met by the end-user. Given that the administrative burden is even heavier than for grants, only the most important conditions are included (i.e., no full assessments).</w:t>
      </w:r>
    </w:p>
    <w:p w14:paraId="02633068" w14:textId="77777777" w:rsidR="00C52545" w:rsidRPr="004C69C2" w:rsidRDefault="00C52545" w:rsidP="00C52545">
      <w:pPr>
        <w:rPr>
          <w:rFonts w:eastAsia="Calibri" w:cs="Arial"/>
          <w:szCs w:val="18"/>
        </w:rPr>
      </w:pPr>
      <w:r w:rsidRPr="1E4C0714">
        <w:rPr>
          <w:rFonts w:eastAsia="Calibri" w:cs="Arial"/>
          <w:b/>
          <w:bCs/>
          <w:color w:val="2998FF"/>
          <w:szCs w:val="18"/>
        </w:rPr>
        <w:t>Moritz Schwarz</w:t>
      </w:r>
      <w:r w:rsidRPr="1E4C0714">
        <w:rPr>
          <w:rFonts w:eastAsia="Calibri" w:cs="Arial"/>
          <w:szCs w:val="18"/>
        </w:rPr>
        <w:t>: The administrative procedure differs</w:t>
      </w:r>
      <w:r w:rsidRPr="00ED28FF">
        <w:rPr>
          <w:rFonts w:eastAsia="Calibri" w:cs="Arial"/>
          <w:szCs w:val="18"/>
        </w:rPr>
        <w:t>. The principle and the interpretation of the principle should be standardized as much as possible. The out</w:t>
      </w:r>
      <w:r w:rsidRPr="1E4C0714">
        <w:rPr>
          <w:rFonts w:eastAsia="Calibri" w:cs="Arial"/>
          <w:szCs w:val="18"/>
        </w:rPr>
        <w:t xml:space="preserve">come and general direction should not depend on the instrument used to support stakeholders, especially if the aim is that the DNSH principle delivers impact in the longer-run. Transparency on this policy is needed (in case DNSH is not ensured, a strong political justification is needed, e.g., buying gas during the energy crisis). Ultimately, all policies must align with the DNSH principle – the implementation is a matter of interpretation, but </w:t>
      </w:r>
      <w:r>
        <w:rPr>
          <w:rFonts w:eastAsia="Calibri" w:cs="Arial"/>
          <w:szCs w:val="18"/>
        </w:rPr>
        <w:t xml:space="preserve">not </w:t>
      </w:r>
      <w:r w:rsidRPr="1E4C0714">
        <w:rPr>
          <w:rFonts w:eastAsia="Calibri" w:cs="Arial"/>
          <w:szCs w:val="18"/>
        </w:rPr>
        <w:t>its mandatory nature.</w:t>
      </w:r>
    </w:p>
    <w:p w14:paraId="3244C9E4" w14:textId="77777777" w:rsidR="00C52545" w:rsidRPr="004C69C2" w:rsidRDefault="00C52545" w:rsidP="00C52545">
      <w:pPr>
        <w:rPr>
          <w:rFonts w:eastAsia="Calibri" w:cs="Arial"/>
        </w:rPr>
      </w:pPr>
    </w:p>
    <w:p w14:paraId="14020DF2"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Would legislative changes help to simplify DNSH assessment, given that</w:t>
      </w:r>
      <w:r>
        <w:rPr>
          <w:rFonts w:eastAsia="Calibri" w:cs="Arial"/>
        </w:rPr>
        <w:t xml:space="preserve"> the</w:t>
      </w:r>
      <w:r w:rsidRPr="004C69C2">
        <w:rPr>
          <w:rFonts w:eastAsia="Calibri" w:cs="Arial"/>
        </w:rPr>
        <w:t xml:space="preserve"> DNSH </w:t>
      </w:r>
      <w:r>
        <w:rPr>
          <w:rFonts w:eastAsia="Calibri" w:cs="Arial"/>
        </w:rPr>
        <w:t xml:space="preserve">principle </w:t>
      </w:r>
      <w:r w:rsidRPr="004C69C2">
        <w:rPr>
          <w:rFonts w:eastAsia="Calibri" w:cs="Arial"/>
        </w:rPr>
        <w:t>is here to stay and may expand in the future?</w:t>
      </w:r>
    </w:p>
    <w:p w14:paraId="2DDDA66D" w14:textId="77777777" w:rsidR="00C52545" w:rsidRPr="004C69C2" w:rsidRDefault="00C52545" w:rsidP="00C52545">
      <w:pPr>
        <w:rPr>
          <w:rFonts w:eastAsia="Calibri" w:cs="Arial"/>
        </w:rPr>
      </w:pPr>
      <w:r w:rsidRPr="004C69C2">
        <w:rPr>
          <w:rFonts w:eastAsia="Calibri" w:cs="Arial"/>
          <w:b/>
          <w:color w:val="2998FF"/>
        </w:rPr>
        <w:t>Moritz S</w:t>
      </w:r>
      <w:r>
        <w:rPr>
          <w:rFonts w:eastAsia="Calibri" w:cs="Arial"/>
          <w:b/>
          <w:color w:val="2998FF"/>
        </w:rPr>
        <w:t>c</w:t>
      </w:r>
      <w:r w:rsidRPr="004C69C2">
        <w:rPr>
          <w:rFonts w:eastAsia="Calibri" w:cs="Arial"/>
          <w:b/>
          <w:color w:val="2998FF"/>
        </w:rPr>
        <w:t>hwarz</w:t>
      </w:r>
      <w:r w:rsidRPr="004C69C2">
        <w:rPr>
          <w:rFonts w:eastAsia="Calibri" w:cs="Arial"/>
          <w:b/>
          <w:bCs/>
        </w:rPr>
        <w:t xml:space="preserve">: </w:t>
      </w:r>
      <w:r w:rsidRPr="00F86198">
        <w:rPr>
          <w:rFonts w:eastAsia="Calibri" w:cs="Arial"/>
        </w:rPr>
        <w:t>Legislative changes may not make the process easier, as policy is expected to become increasingly complex over the next 10-15 years. This c</w:t>
      </w:r>
      <w:r w:rsidRPr="004C69C2">
        <w:rPr>
          <w:rFonts w:eastAsia="Calibri" w:cs="Arial"/>
        </w:rPr>
        <w:t>ould be the case with RRF legislation. The question is whether it was the best course of action.</w:t>
      </w:r>
    </w:p>
    <w:p w14:paraId="2B466F34" w14:textId="77777777" w:rsidR="00C52545" w:rsidRPr="004C69C2" w:rsidRDefault="00C52545" w:rsidP="00C52545">
      <w:pPr>
        <w:rPr>
          <w:rFonts w:eastAsia="Calibri" w:cs="Arial"/>
        </w:rPr>
      </w:pPr>
      <w:r w:rsidRPr="004C69C2">
        <w:rPr>
          <w:rFonts w:eastAsia="Calibri" w:cs="Arial"/>
          <w:b/>
          <w:bCs/>
          <w:color w:val="2998FF"/>
        </w:rPr>
        <w:t>Emma Terämä</w:t>
      </w:r>
      <w:r w:rsidRPr="004C69C2">
        <w:rPr>
          <w:rFonts w:eastAsia="Calibri" w:cs="Arial"/>
          <w:b/>
          <w:bCs/>
        </w:rPr>
        <w:t>:</w:t>
      </w:r>
      <w:r w:rsidRPr="004C69C2">
        <w:rPr>
          <w:rFonts w:eastAsia="Calibri" w:cs="Arial"/>
        </w:rPr>
        <w:t xml:space="preserve"> Transparency is essential, and all government spending must adhere to DNSH regulations. However, it is critical to find common ground when analyzing various environmental targets. The Ministry can prioritize its efforts toward achieving sustainable development goals by </w:t>
      </w:r>
      <w:r w:rsidRPr="004C69C2">
        <w:rPr>
          <w:rFonts w:eastAsia="Calibri" w:cs="Arial"/>
        </w:rPr>
        <w:lastRenderedPageBreak/>
        <w:t>identifying "bad" investments and their environmental impact. As a result, it is critical to ensure that the process of identifying bad investments is open and transparent.</w:t>
      </w:r>
    </w:p>
    <w:p w14:paraId="4824DBEE" w14:textId="77777777" w:rsidR="00C52545" w:rsidRPr="004C69C2" w:rsidRDefault="00C52545" w:rsidP="00C52545">
      <w:pPr>
        <w:rPr>
          <w:rFonts w:eastAsia="Calibri" w:cs="Arial"/>
          <w:szCs w:val="18"/>
        </w:rPr>
      </w:pPr>
      <w:r w:rsidRPr="1E4C0714">
        <w:rPr>
          <w:rFonts w:eastAsia="Calibri" w:cs="Arial"/>
          <w:b/>
          <w:bCs/>
          <w:color w:val="2998FF"/>
          <w:szCs w:val="18"/>
        </w:rPr>
        <w:t>Kristína Korčekova:</w:t>
      </w:r>
      <w:r w:rsidRPr="1E4C0714">
        <w:rPr>
          <w:rFonts w:eastAsia="Calibri" w:cs="Arial"/>
          <w:color w:val="2998FF"/>
          <w:szCs w:val="18"/>
        </w:rPr>
        <w:t xml:space="preserve"> </w:t>
      </w:r>
      <w:r w:rsidRPr="1E4C0714">
        <w:rPr>
          <w:rFonts w:eastAsia="Calibri" w:cs="Arial"/>
          <w:szCs w:val="18"/>
        </w:rPr>
        <w:t>While reading through various RRF reports, it becomes clear that there is a significant disparity between them, particularly in terms of the need for safeguards</w:t>
      </w:r>
      <w:r w:rsidRPr="1E4C0714">
        <w:rPr>
          <w:rFonts w:eastAsia="Calibri" w:cs="Arial"/>
          <w:b/>
          <w:bCs/>
          <w:szCs w:val="18"/>
        </w:rPr>
        <w:t xml:space="preserve">. </w:t>
      </w:r>
      <w:r w:rsidRPr="00FB4689">
        <w:rPr>
          <w:rFonts w:eastAsia="Calibri" w:cs="Arial"/>
          <w:szCs w:val="18"/>
        </w:rPr>
        <w:t>If DNSH is truly a European principle, it must be more clearly defined at the European Commission level to ensure consistency and comparability, even if it does not take the form of a directive. The Office of Government hopes to align its approach with the EC's expectations through a TSI project. It is, however, having difficulty getting clear answers</w:t>
      </w:r>
      <w:r w:rsidRPr="1E4C0714">
        <w:rPr>
          <w:rFonts w:eastAsia="Calibri" w:cs="Arial"/>
          <w:szCs w:val="18"/>
        </w:rPr>
        <w:t xml:space="preserve"> from </w:t>
      </w:r>
      <w:r>
        <w:rPr>
          <w:rFonts w:eastAsia="Calibri" w:cs="Arial"/>
          <w:szCs w:val="18"/>
        </w:rPr>
        <w:t>the EC</w:t>
      </w:r>
      <w:r w:rsidRPr="1E4C0714">
        <w:rPr>
          <w:rFonts w:eastAsia="Calibri" w:cs="Arial"/>
          <w:szCs w:val="18"/>
        </w:rPr>
        <w:t xml:space="preserve">. Despite </w:t>
      </w:r>
      <w:r>
        <w:rPr>
          <w:rFonts w:eastAsia="Calibri" w:cs="Arial"/>
          <w:szCs w:val="18"/>
        </w:rPr>
        <w:t xml:space="preserve">the will to obtain </w:t>
      </w:r>
      <w:r w:rsidRPr="1E4C0714">
        <w:rPr>
          <w:rFonts w:eastAsia="Calibri" w:cs="Arial"/>
          <w:szCs w:val="18"/>
        </w:rPr>
        <w:t>answers</w:t>
      </w:r>
      <w:r>
        <w:rPr>
          <w:rFonts w:eastAsia="Calibri" w:cs="Arial"/>
          <w:szCs w:val="18"/>
        </w:rPr>
        <w:t xml:space="preserve"> from the EC</w:t>
      </w:r>
      <w:r w:rsidRPr="1E4C0714">
        <w:rPr>
          <w:rFonts w:eastAsia="Calibri" w:cs="Arial"/>
          <w:szCs w:val="18"/>
        </w:rPr>
        <w:t>, it does not appear to be a viable option at this time.</w:t>
      </w:r>
    </w:p>
    <w:p w14:paraId="49162296" w14:textId="77777777" w:rsidR="00C52545" w:rsidRPr="004C69C2" w:rsidRDefault="00C52545" w:rsidP="00C52545">
      <w:pPr>
        <w:rPr>
          <w:rFonts w:eastAsia="Calibri" w:cs="Arial"/>
          <w:szCs w:val="18"/>
        </w:rPr>
      </w:pPr>
      <w:r w:rsidRPr="1E4C0714">
        <w:rPr>
          <w:rFonts w:eastAsia="Calibri" w:cs="Arial"/>
          <w:b/>
          <w:bCs/>
          <w:color w:val="2998FF"/>
          <w:szCs w:val="18"/>
        </w:rPr>
        <w:t>Kristína Korčekova</w:t>
      </w:r>
      <w:r w:rsidRPr="1E4C0714">
        <w:rPr>
          <w:rFonts w:eastAsia="Calibri" w:cs="Arial"/>
          <w:color w:val="2998FF"/>
          <w:szCs w:val="18"/>
        </w:rPr>
        <w:t>:</w:t>
      </w:r>
      <w:r w:rsidRPr="1E4C0714">
        <w:rPr>
          <w:rFonts w:eastAsia="Calibri" w:cs="Arial"/>
          <w:szCs w:val="18"/>
        </w:rPr>
        <w:t xml:space="preserve"> Buildings are simple. You can write it down, but innovation is more difficult. As can be seen, the buildings approach can be applied to other sectors, but larger projects require different rules. There are many buildings to be built or renovated, so standardization is simple, but larger programs require their own DNSH approach.  </w:t>
      </w:r>
    </w:p>
    <w:p w14:paraId="7139A842" w14:textId="77777777" w:rsidR="00C52545" w:rsidRPr="004C69C2" w:rsidRDefault="00C52545" w:rsidP="00C52545">
      <w:pPr>
        <w:rPr>
          <w:rFonts w:eastAsia="Calibri" w:cs="Arial"/>
        </w:rPr>
      </w:pPr>
    </w:p>
    <w:p w14:paraId="4BF8EF07"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What is the most appropriate level to implement the DNSH principle and CP?</w:t>
      </w:r>
    </w:p>
    <w:p w14:paraId="27F6AD8C" w14:textId="77777777" w:rsidR="00C52545" w:rsidRPr="004C69C2" w:rsidRDefault="00C52545" w:rsidP="00C52545">
      <w:pPr>
        <w:rPr>
          <w:rFonts w:eastAsia="Calibri" w:cs="Arial"/>
        </w:rPr>
      </w:pPr>
      <w:r w:rsidRPr="004C69C2">
        <w:rPr>
          <w:rFonts w:eastAsia="Calibri" w:cs="Arial"/>
          <w:b/>
          <w:color w:val="2998FF"/>
        </w:rPr>
        <w:t>Moritz</w:t>
      </w:r>
      <w:r w:rsidRPr="004C69C2">
        <w:rPr>
          <w:rFonts w:eastAsia="Calibri" w:cs="Arial"/>
          <w:b/>
          <w:bCs/>
          <w:color w:val="2998FF"/>
        </w:rPr>
        <w:t xml:space="preserve"> Schwarz</w:t>
      </w:r>
      <w:r w:rsidRPr="004C69C2">
        <w:rPr>
          <w:rFonts w:eastAsia="Calibri" w:cs="Arial"/>
        </w:rPr>
        <w:t xml:space="preserve">: The answer depends on who answers. At the Ministry of Finance, large programmes are developed, where final users are individuals. The approach is thus to </w:t>
      </w:r>
      <w:r>
        <w:rPr>
          <w:rFonts w:eastAsia="Calibri" w:cs="Arial"/>
        </w:rPr>
        <w:t>develop</w:t>
      </w:r>
      <w:r w:rsidRPr="004C69C2">
        <w:rPr>
          <w:rFonts w:eastAsia="Calibri" w:cs="Arial"/>
        </w:rPr>
        <w:t xml:space="preserve"> precise guidelines </w:t>
      </w:r>
      <w:r>
        <w:rPr>
          <w:rFonts w:eastAsia="Calibri" w:cs="Arial"/>
        </w:rPr>
        <w:t>at</w:t>
      </w:r>
      <w:r w:rsidRPr="004C69C2">
        <w:rPr>
          <w:rFonts w:eastAsia="Calibri" w:cs="Arial"/>
        </w:rPr>
        <w:t xml:space="preserve"> the programme</w:t>
      </w:r>
      <w:r>
        <w:rPr>
          <w:rFonts w:eastAsia="Calibri" w:cs="Arial"/>
        </w:rPr>
        <w:t xml:space="preserve"> </w:t>
      </w:r>
      <w:r w:rsidRPr="004C69C2">
        <w:rPr>
          <w:rFonts w:eastAsia="Calibri" w:cs="Arial"/>
        </w:rPr>
        <w:t>level. This needs to be standardized, insofar as the implementation varies. In any case, for green budgeting, DNSH or CP, this is done at the program-level, because this is where most standardized-information can be found.</w:t>
      </w:r>
    </w:p>
    <w:p w14:paraId="3D6C8AB5" w14:textId="77777777" w:rsidR="00C52545" w:rsidRPr="004C69C2" w:rsidRDefault="00C52545" w:rsidP="00C52545">
      <w:pPr>
        <w:rPr>
          <w:rFonts w:eastAsia="Calibri" w:cs="Arial"/>
        </w:rPr>
      </w:pPr>
    </w:p>
    <w:p w14:paraId="08121A19"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In the case of simplified assessment, what is the most challenging environmental objective?</w:t>
      </w:r>
    </w:p>
    <w:p w14:paraId="397FEA7A" w14:textId="77777777" w:rsidR="00C52545" w:rsidRPr="004C69C2" w:rsidRDefault="00C52545" w:rsidP="00C52545">
      <w:pPr>
        <w:rPr>
          <w:rFonts w:eastAsia="Calibri" w:cs="Arial"/>
        </w:rPr>
      </w:pPr>
      <w:r w:rsidRPr="004C69C2">
        <w:rPr>
          <w:rFonts w:eastAsia="Calibri" w:cs="Arial"/>
          <w:b/>
          <w:bCs/>
          <w:color w:val="2998FF"/>
        </w:rPr>
        <w:t>Jan Hlaváček:</w:t>
      </w:r>
      <w:r w:rsidRPr="004C69C2">
        <w:rPr>
          <w:rFonts w:eastAsia="Calibri" w:cs="Arial"/>
        </w:rPr>
        <w:t xml:space="preserve"> Adaptation. It is much project- or site-specific, such that general rules cannot be set at the national level. </w:t>
      </w:r>
    </w:p>
    <w:p w14:paraId="7B532967" w14:textId="77777777" w:rsidR="00C52545" w:rsidRPr="004C69C2" w:rsidRDefault="00C52545" w:rsidP="00C52545">
      <w:pPr>
        <w:rPr>
          <w:rFonts w:eastAsia="Calibri" w:cs="Arial"/>
        </w:rPr>
      </w:pPr>
    </w:p>
    <w:p w14:paraId="40684184"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xml:space="preserve">: When conducting the DNSH assessment at project level, do you differentiate between simplified and detailed assessment for different objectives? How do you deal with the different taxonomy objectives? </w:t>
      </w:r>
    </w:p>
    <w:p w14:paraId="7AA62A69" w14:textId="77777777" w:rsidR="00C52545" w:rsidRPr="004C69C2" w:rsidRDefault="00C52545" w:rsidP="00C52545">
      <w:pPr>
        <w:rPr>
          <w:rFonts w:eastAsia="Calibri" w:cs="Arial"/>
        </w:rPr>
      </w:pPr>
      <w:r w:rsidRPr="004C69C2">
        <w:rPr>
          <w:rFonts w:eastAsia="Calibri" w:cs="Arial"/>
          <w:b/>
          <w:color w:val="2998FF"/>
        </w:rPr>
        <w:t>Jan</w:t>
      </w:r>
      <w:r w:rsidRPr="004C69C2">
        <w:rPr>
          <w:rFonts w:eastAsia="Calibri" w:cs="Arial"/>
          <w:b/>
          <w:bCs/>
          <w:color w:val="2998FF"/>
        </w:rPr>
        <w:t xml:space="preserve"> Hlaváček</w:t>
      </w:r>
      <w:r w:rsidRPr="004C69C2">
        <w:rPr>
          <w:rFonts w:eastAsia="Calibri" w:cs="Arial"/>
        </w:rPr>
        <w:t xml:space="preserve">: The same approach is applied </w:t>
      </w:r>
      <w:r>
        <w:rPr>
          <w:rFonts w:eastAsia="Calibri" w:cs="Arial"/>
        </w:rPr>
        <w:t>to</w:t>
      </w:r>
      <w:r w:rsidRPr="004C69C2">
        <w:rPr>
          <w:rFonts w:eastAsia="Calibri" w:cs="Arial"/>
        </w:rPr>
        <w:t xml:space="preserve"> all. The EU Taxonomy is used for all sectors, such that there is no differentiation between climate mitigation or waste management. The EU Taxonomy is not extremely strict with regard to environmental objectives, but is more precise with climate mitigation and adaptation. The climate objectives set more conditions with a higher level of precision. </w:t>
      </w:r>
    </w:p>
    <w:p w14:paraId="53B5E698" w14:textId="77777777" w:rsidR="00C52545" w:rsidRPr="004C69C2" w:rsidRDefault="00C52545" w:rsidP="00C52545">
      <w:pPr>
        <w:rPr>
          <w:rFonts w:eastAsia="Calibri" w:cs="Arial"/>
        </w:rPr>
      </w:pPr>
    </w:p>
    <w:p w14:paraId="045C3727"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Have you developed any methods for monitoring DNSH application? Are there any obstacles? Any early lessons?</w:t>
      </w:r>
    </w:p>
    <w:p w14:paraId="60BC9627" w14:textId="77777777" w:rsidR="00C52545" w:rsidRPr="004C69C2" w:rsidRDefault="00C52545" w:rsidP="00C52545">
      <w:pPr>
        <w:rPr>
          <w:rFonts w:eastAsia="Calibri" w:cs="Arial"/>
        </w:rPr>
      </w:pPr>
      <w:r w:rsidRPr="004C69C2">
        <w:rPr>
          <w:rFonts w:eastAsia="Calibri" w:cs="Arial"/>
          <w:b/>
          <w:bCs/>
          <w:color w:val="2998FF"/>
        </w:rPr>
        <w:t>Emma Terämä</w:t>
      </w:r>
      <w:r w:rsidRPr="004C69C2">
        <w:rPr>
          <w:rFonts w:eastAsia="Calibri" w:cs="Arial"/>
          <w:b/>
          <w:bCs/>
        </w:rPr>
        <w:t>:</w:t>
      </w:r>
      <w:r w:rsidRPr="004C69C2">
        <w:rPr>
          <w:rFonts w:eastAsia="Calibri" w:cs="Arial"/>
        </w:rPr>
        <w:t xml:space="preserve"> Finland has a program that helps local and regional development authorities</w:t>
      </w:r>
      <w:r>
        <w:rPr>
          <w:rFonts w:eastAsia="Calibri" w:cs="Arial"/>
        </w:rPr>
        <w:t xml:space="preserve"> to</w:t>
      </w:r>
      <w:r w:rsidRPr="004C69C2">
        <w:rPr>
          <w:rFonts w:eastAsia="Calibri" w:cs="Arial"/>
        </w:rPr>
        <w:t xml:space="preserve"> attract more green investment. For this type of investment, the </w:t>
      </w:r>
      <w:r>
        <w:rPr>
          <w:rFonts w:eastAsia="Calibri" w:cs="Arial"/>
        </w:rPr>
        <w:t>M</w:t>
      </w:r>
      <w:r w:rsidRPr="004C69C2">
        <w:rPr>
          <w:rFonts w:eastAsia="Calibri" w:cs="Arial"/>
        </w:rPr>
        <w:t>inistry now requires a DNSH. However, this can only be accomplished through desk-based research.</w:t>
      </w:r>
    </w:p>
    <w:p w14:paraId="3DD93ED8" w14:textId="77777777" w:rsidR="00C52545" w:rsidRPr="004C69C2" w:rsidRDefault="00C52545" w:rsidP="00C52545">
      <w:pPr>
        <w:rPr>
          <w:rFonts w:eastAsia="Calibri" w:cs="Arial"/>
        </w:rPr>
      </w:pPr>
    </w:p>
    <w:p w14:paraId="524CB4CB"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Are there any other points that you wish to raise?</w:t>
      </w:r>
    </w:p>
    <w:p w14:paraId="63C09ECB" w14:textId="77777777" w:rsidR="00C52545" w:rsidRPr="004C69C2" w:rsidRDefault="00C52545" w:rsidP="00C52545">
      <w:pPr>
        <w:rPr>
          <w:rFonts w:eastAsia="Calibri" w:cs="Arial"/>
          <w:szCs w:val="18"/>
        </w:rPr>
      </w:pPr>
      <w:r w:rsidRPr="1E4C0714">
        <w:rPr>
          <w:rFonts w:eastAsia="Calibri" w:cs="Arial"/>
          <w:b/>
          <w:bCs/>
          <w:color w:val="2998FF"/>
          <w:szCs w:val="18"/>
        </w:rPr>
        <w:t>Moritz Schwarz</w:t>
      </w:r>
      <w:r w:rsidRPr="1E4C0714">
        <w:rPr>
          <w:rFonts w:eastAsia="Calibri" w:cs="Arial"/>
          <w:szCs w:val="18"/>
        </w:rPr>
        <w:t>: You asked about th</w:t>
      </w:r>
      <w:r w:rsidRPr="00777857">
        <w:rPr>
          <w:rFonts w:eastAsia="Calibri" w:cs="Arial"/>
          <w:szCs w:val="18"/>
        </w:rPr>
        <w:t xml:space="preserve">e challenge of setting thresholds. Given the vast difference between assessments in different countries, any quantitative threshold can pose challenges and result in inconsistencies. Depending on the countries, projects would be DNSH compliant in some countries, but not in others. Wind turbines, gas boilers are specifically </w:t>
      </w:r>
      <w:r w:rsidRPr="1E4C0714">
        <w:rPr>
          <w:rFonts w:eastAsia="Calibri" w:cs="Arial"/>
          <w:szCs w:val="18"/>
        </w:rPr>
        <w:t xml:space="preserve">relevant examples. The long-term meta-analysis will be extremely important. </w:t>
      </w:r>
    </w:p>
    <w:p w14:paraId="6F98C3C9" w14:textId="77777777" w:rsidR="00C52545" w:rsidRPr="004C69C2" w:rsidRDefault="00C52545" w:rsidP="00C52545">
      <w:pPr>
        <w:rPr>
          <w:rFonts w:eastAsia="Calibri" w:cs="Arial"/>
        </w:rPr>
      </w:pPr>
    </w:p>
    <w:p w14:paraId="529BE164"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What are the key priorities that you want to achieve in the next few months?</w:t>
      </w:r>
    </w:p>
    <w:p w14:paraId="41229E68" w14:textId="77777777" w:rsidR="00C52545" w:rsidRPr="004C69C2" w:rsidRDefault="00C52545" w:rsidP="00C52545">
      <w:pPr>
        <w:rPr>
          <w:rFonts w:eastAsia="Calibri" w:cs="Arial"/>
        </w:rPr>
      </w:pPr>
      <w:r w:rsidRPr="004C69C2">
        <w:rPr>
          <w:rFonts w:eastAsia="Calibri" w:cs="Arial"/>
          <w:b/>
          <w:bCs/>
          <w:color w:val="2998FF"/>
        </w:rPr>
        <w:t>Emma Terämä</w:t>
      </w:r>
      <w:r w:rsidRPr="004C69C2">
        <w:rPr>
          <w:rFonts w:eastAsia="Calibri" w:cs="Arial"/>
        </w:rPr>
        <w:t>: Building capacity. DNSH training for permitting authorities in accordance with the new legislation. Other ministries, in particular, will need to establish new programs aligned with DNSH</w:t>
      </w:r>
      <w:r>
        <w:rPr>
          <w:rFonts w:eastAsia="Calibri" w:cs="Arial"/>
        </w:rPr>
        <w:t>, including after the national elections of Q2 2023</w:t>
      </w:r>
      <w:r w:rsidRPr="004C69C2">
        <w:rPr>
          <w:rFonts w:eastAsia="Calibri" w:cs="Arial"/>
        </w:rPr>
        <w:t>.</w:t>
      </w:r>
    </w:p>
    <w:p w14:paraId="6823D6E4" w14:textId="77777777" w:rsidR="00C52545" w:rsidRPr="004C69C2" w:rsidRDefault="00C52545" w:rsidP="00C52545">
      <w:pPr>
        <w:rPr>
          <w:rFonts w:eastAsia="Calibri" w:cs="Arial"/>
        </w:rPr>
      </w:pPr>
    </w:p>
    <w:p w14:paraId="41F7E43C" w14:textId="77777777" w:rsidR="00C52545" w:rsidRPr="004C69C2" w:rsidRDefault="00C52545" w:rsidP="00C52545">
      <w:pPr>
        <w:rPr>
          <w:rFonts w:eastAsia="Calibri" w:cs="Arial"/>
        </w:rPr>
      </w:pPr>
      <w:r w:rsidRPr="004C69C2">
        <w:rPr>
          <w:rFonts w:eastAsia="Calibri" w:cs="Arial"/>
          <w:b/>
          <w:bCs/>
          <w:color w:val="F04E30"/>
        </w:rPr>
        <w:t>Project team</w:t>
      </w:r>
      <w:r w:rsidRPr="004C69C2">
        <w:rPr>
          <w:rFonts w:eastAsia="Calibri" w:cs="Arial"/>
        </w:rPr>
        <w:t>: Based on your experience with</w:t>
      </w:r>
      <w:r>
        <w:rPr>
          <w:rFonts w:eastAsia="Calibri" w:cs="Arial"/>
        </w:rPr>
        <w:t xml:space="preserve"> the</w:t>
      </w:r>
      <w:r w:rsidRPr="004C69C2">
        <w:rPr>
          <w:rFonts w:eastAsia="Calibri" w:cs="Arial"/>
        </w:rPr>
        <w:t xml:space="preserve"> DNSH </w:t>
      </w:r>
      <w:r>
        <w:rPr>
          <w:rFonts w:eastAsia="Calibri" w:cs="Arial"/>
        </w:rPr>
        <w:t xml:space="preserve">principle </w:t>
      </w:r>
      <w:r w:rsidRPr="004C69C2">
        <w:rPr>
          <w:rFonts w:eastAsia="Calibri" w:cs="Arial"/>
        </w:rPr>
        <w:t xml:space="preserve">and </w:t>
      </w:r>
      <w:r>
        <w:rPr>
          <w:rFonts w:eastAsia="Calibri" w:cs="Arial"/>
        </w:rPr>
        <w:t xml:space="preserve">on </w:t>
      </w:r>
      <w:r w:rsidRPr="004C69C2">
        <w:rPr>
          <w:rFonts w:eastAsia="Calibri" w:cs="Arial"/>
        </w:rPr>
        <w:t xml:space="preserve">exchanges with other </w:t>
      </w:r>
      <w:r>
        <w:rPr>
          <w:rFonts w:eastAsia="Calibri" w:cs="Arial"/>
        </w:rPr>
        <w:t>peer Member States</w:t>
      </w:r>
      <w:r w:rsidRPr="004C69C2">
        <w:rPr>
          <w:rFonts w:eastAsia="Calibri" w:cs="Arial"/>
        </w:rPr>
        <w:t>, have you identified good practices or inspiring examples at the national level?</w:t>
      </w:r>
    </w:p>
    <w:p w14:paraId="5DFBB1DA" w14:textId="77777777" w:rsidR="00C52545" w:rsidRPr="004C69C2" w:rsidRDefault="00C52545" w:rsidP="00C52545">
      <w:pPr>
        <w:rPr>
          <w:rFonts w:eastAsia="Calibri" w:cs="Arial"/>
        </w:rPr>
      </w:pPr>
      <w:r w:rsidRPr="004C69C2">
        <w:rPr>
          <w:rFonts w:eastAsia="Calibri" w:cs="Arial"/>
          <w:b/>
          <w:color w:val="2998FF"/>
        </w:rPr>
        <w:t>Jan</w:t>
      </w:r>
      <w:r w:rsidRPr="004C69C2">
        <w:rPr>
          <w:rFonts w:eastAsia="Calibri" w:cs="Arial"/>
          <w:b/>
          <w:bCs/>
          <w:color w:val="2998FF"/>
        </w:rPr>
        <w:t xml:space="preserve"> </w:t>
      </w:r>
      <w:bookmarkStart w:id="196" w:name="_Hlk127454506"/>
      <w:r w:rsidRPr="004C69C2">
        <w:rPr>
          <w:rFonts w:eastAsia="Calibri" w:cs="Arial"/>
          <w:b/>
          <w:bCs/>
          <w:color w:val="2998FF"/>
        </w:rPr>
        <w:t>Hlaváček</w:t>
      </w:r>
      <w:bookmarkEnd w:id="196"/>
      <w:r w:rsidRPr="004C69C2">
        <w:rPr>
          <w:rFonts w:eastAsia="Calibri" w:cs="Arial"/>
        </w:rPr>
        <w:t>: A national guide for DNSH and CP was developed. The key will be the feedback from the investing world – is the process doable, and does it deliver the expected outcomes?</w:t>
      </w:r>
    </w:p>
    <w:p w14:paraId="6C96FBC7" w14:textId="0D404BBB" w:rsidR="00C52545" w:rsidRPr="004C69C2" w:rsidRDefault="00C52545" w:rsidP="006427C1">
      <w:pPr>
        <w:rPr>
          <w:rFonts w:eastAsia="Calibri" w:cs="Arial"/>
        </w:rPr>
      </w:pPr>
      <w:r w:rsidRPr="004C69C2">
        <w:rPr>
          <w:rFonts w:eastAsia="Calibri" w:cs="Arial"/>
          <w:b/>
          <w:color w:val="2998FF"/>
        </w:rPr>
        <w:t>Moritz</w:t>
      </w:r>
      <w:r w:rsidRPr="004C69C2">
        <w:rPr>
          <w:rFonts w:eastAsia="Calibri" w:cs="Arial"/>
          <w:b/>
          <w:bCs/>
          <w:color w:val="2998FF"/>
        </w:rPr>
        <w:t xml:space="preserve"> Schwarz</w:t>
      </w:r>
      <w:r w:rsidRPr="004C69C2">
        <w:rPr>
          <w:rFonts w:eastAsia="Calibri" w:cs="Arial"/>
        </w:rPr>
        <w:t xml:space="preserve">: The TSI results in Finland and Czechia will be useful. It is notable that institutional set-ups vary this </w:t>
      </w:r>
      <w:r>
        <w:rPr>
          <w:rFonts w:eastAsia="Calibri" w:cs="Arial"/>
        </w:rPr>
        <w:t>widely</w:t>
      </w:r>
      <w:r w:rsidRPr="004C69C2">
        <w:rPr>
          <w:rFonts w:eastAsia="Calibri" w:cs="Arial"/>
        </w:rPr>
        <w:t>. The fact that certain countries have 2 FTEs centralized on DNSH helps, while Austria has required the coordination of several line ministries.</w:t>
      </w:r>
    </w:p>
    <w:p w14:paraId="7745EE9C" w14:textId="77777777" w:rsidR="00C52545" w:rsidRPr="004C69C2" w:rsidRDefault="00C52545" w:rsidP="00C52545">
      <w:pPr>
        <w:rPr>
          <w:rFonts w:eastAsia="Calibri" w:cs="Arial"/>
        </w:rPr>
      </w:pPr>
    </w:p>
    <w:p w14:paraId="50DFD779" w14:textId="77777777" w:rsidR="00C52545" w:rsidRPr="004C69C2" w:rsidRDefault="00C52545" w:rsidP="007608BA">
      <w:pPr>
        <w:pStyle w:val="Nadpis3"/>
        <w:numPr>
          <w:ilvl w:val="0"/>
          <w:numId w:val="0"/>
        </w:numPr>
        <w:ind w:left="567"/>
      </w:pPr>
      <w:bookmarkStart w:id="197" w:name="_Toc127978761"/>
      <w:bookmarkStart w:id="198" w:name="_Toc131757509"/>
      <w:bookmarkStart w:id="199" w:name="_Toc131775902"/>
      <w:r w:rsidRPr="004C69C2">
        <w:t>Related questions from the chat</w:t>
      </w:r>
      <w:bookmarkEnd w:id="197"/>
      <w:bookmarkEnd w:id="198"/>
      <w:bookmarkEnd w:id="199"/>
    </w:p>
    <w:p w14:paraId="365A2017" w14:textId="77777777" w:rsidR="00C52545" w:rsidRPr="004C69C2" w:rsidRDefault="00C52545" w:rsidP="00C52545">
      <w:pPr>
        <w:rPr>
          <w:rFonts w:eastAsia="Calibri" w:cs="Arial"/>
          <w:lang w:val="en-GB"/>
        </w:rPr>
      </w:pPr>
      <w:r w:rsidRPr="004C69C2">
        <w:rPr>
          <w:rFonts w:eastAsia="Calibri" w:cs="Arial"/>
          <w:lang w:val="en-GB"/>
        </w:rPr>
        <w:t xml:space="preserve">Question from a Belgian representative </w:t>
      </w:r>
      <w:r w:rsidRPr="004C69C2">
        <w:rPr>
          <w:rFonts w:eastAsia="Calibri" w:cs="Arial"/>
        </w:rPr>
        <w:t>to Jan Hlaváček: Can you give concrete examples of exclusion based on the polluter pays principle?</w:t>
      </w:r>
    </w:p>
    <w:p w14:paraId="3A8DD1BF" w14:textId="77777777" w:rsidR="00C52545" w:rsidRPr="004C69C2" w:rsidRDefault="00C52545" w:rsidP="00C52545">
      <w:pPr>
        <w:rPr>
          <w:rFonts w:eastAsia="Calibri" w:cs="Arial"/>
        </w:rPr>
      </w:pPr>
      <w:r w:rsidRPr="004C69C2">
        <w:rPr>
          <w:rFonts w:eastAsia="Calibri" w:cs="Arial"/>
          <w:lang w:val="en-GB"/>
        </w:rPr>
        <w:t xml:space="preserve">Response from Jan Hlaváček: </w:t>
      </w:r>
      <w:r w:rsidRPr="004C69C2">
        <w:rPr>
          <w:rFonts w:eastAsia="Calibri" w:cs="Arial"/>
        </w:rPr>
        <w:t>On the exclusions based on the polluter pays-principle:</w:t>
      </w:r>
    </w:p>
    <w:p w14:paraId="6DB4597C" w14:textId="77777777" w:rsidR="00C52545" w:rsidRPr="004C69C2" w:rsidRDefault="00C52545" w:rsidP="00C52545">
      <w:pPr>
        <w:numPr>
          <w:ilvl w:val="0"/>
          <w:numId w:val="23"/>
        </w:numPr>
        <w:tabs>
          <w:tab w:val="left" w:pos="851"/>
        </w:tabs>
        <w:contextualSpacing/>
        <w:rPr>
          <w:rFonts w:eastAsia="Calibri" w:cs="Arial"/>
          <w:lang w:val="en-GB"/>
        </w:rPr>
      </w:pPr>
      <w:r w:rsidRPr="004C69C2">
        <w:rPr>
          <w:rFonts w:eastAsia="Calibri" w:cs="Arial"/>
          <w:lang w:val="en-GB"/>
        </w:rPr>
        <w:t>JTF example: Coal mines reclamation – mining companies have to reclaim mining site in line with the plan approved by the Czech Mining Office. Activities covered by the reclamation plan are not eligible.</w:t>
      </w:r>
    </w:p>
    <w:p w14:paraId="3AD9E6BA" w14:textId="77777777" w:rsidR="00C52545" w:rsidRPr="004C69C2" w:rsidRDefault="00C52545" w:rsidP="00C52545">
      <w:pPr>
        <w:numPr>
          <w:ilvl w:val="0"/>
          <w:numId w:val="23"/>
        </w:numPr>
        <w:tabs>
          <w:tab w:val="left" w:pos="851"/>
        </w:tabs>
        <w:contextualSpacing/>
        <w:rPr>
          <w:rFonts w:eastAsia="Calibri" w:cs="Arial"/>
          <w:lang w:val="en-GB"/>
        </w:rPr>
      </w:pPr>
      <w:r w:rsidRPr="004C69C2">
        <w:rPr>
          <w:rFonts w:eastAsia="Calibri" w:cs="Arial"/>
          <w:lang w:val="en-GB"/>
        </w:rPr>
        <w:t>General example: A national database of contaminated sites exists (https://www.sekm.cz/portal/areasource/map_search_public/) Remediation of these sites is not eligible (except cases where the polluter is unknown or no longer exists).</w:t>
      </w:r>
    </w:p>
    <w:p w14:paraId="54755100" w14:textId="77777777" w:rsidR="00C52545" w:rsidRPr="004C69C2" w:rsidRDefault="00C52545" w:rsidP="00C52545">
      <w:pPr>
        <w:rPr>
          <w:rFonts w:eastAsia="Calibri" w:cs="Arial"/>
          <w:lang w:val="en-GB"/>
        </w:rPr>
      </w:pPr>
    </w:p>
    <w:p w14:paraId="33B14844" w14:textId="77777777" w:rsidR="00C52545" w:rsidRPr="004C69C2" w:rsidRDefault="00C52545" w:rsidP="00C52545">
      <w:pPr>
        <w:rPr>
          <w:rFonts w:eastAsia="Calibri" w:cs="Arial"/>
          <w:lang w:val="en-GB"/>
        </w:rPr>
      </w:pPr>
    </w:p>
    <w:p w14:paraId="332E1552" w14:textId="77777777" w:rsidR="00C52545" w:rsidRPr="004C69C2" w:rsidRDefault="00C52545" w:rsidP="00C52545">
      <w:pPr>
        <w:spacing w:after="200" w:line="276" w:lineRule="auto"/>
        <w:rPr>
          <w:rFonts w:eastAsia="Calibri" w:cs="Arial"/>
          <w:lang w:val="en-GB"/>
        </w:rPr>
      </w:pPr>
      <w:r w:rsidRPr="004C69C2">
        <w:rPr>
          <w:rFonts w:eastAsia="Calibri" w:cs="Arial"/>
          <w:lang w:val="en-GB"/>
        </w:rPr>
        <w:br w:type="page"/>
      </w:r>
    </w:p>
    <w:p w14:paraId="6DE637D1" w14:textId="109EE40B" w:rsidR="007608BA" w:rsidRPr="007608BA" w:rsidRDefault="006427C1" w:rsidP="00AD0FB6">
      <w:pPr>
        <w:pStyle w:val="Nadpis1"/>
        <w:numPr>
          <w:ilvl w:val="0"/>
          <w:numId w:val="0"/>
        </w:numPr>
        <w:ind w:left="567"/>
      </w:pPr>
      <w:bookmarkStart w:id="200" w:name="_Toc131775903"/>
      <w:r>
        <w:lastRenderedPageBreak/>
        <w:t>Annex E – Minutes of w</w:t>
      </w:r>
      <w:r w:rsidR="00C52545" w:rsidRPr="004C69C2">
        <w:t>ebinar 3</w:t>
      </w:r>
      <w:r w:rsidR="005777EF">
        <w:t xml:space="preserve">: </w:t>
      </w:r>
      <w:r w:rsidR="00C52545" w:rsidRPr="004C69C2">
        <w:t>Application of the DNSH principle to innovative green technologie</w:t>
      </w:r>
      <w:r>
        <w:t>s</w:t>
      </w:r>
      <w:bookmarkStart w:id="201" w:name="_Toc127978763"/>
      <w:bookmarkEnd w:id="200"/>
    </w:p>
    <w:p w14:paraId="05396546" w14:textId="05312D74" w:rsidR="00C52545" w:rsidRPr="007608BA" w:rsidRDefault="00C52545" w:rsidP="00AD0FB6">
      <w:pPr>
        <w:pStyle w:val="Nadpis2"/>
        <w:numPr>
          <w:ilvl w:val="0"/>
          <w:numId w:val="0"/>
        </w:numPr>
        <w:ind w:left="567"/>
        <w:rPr>
          <w:lang w:val="nl-NL"/>
        </w:rPr>
      </w:pPr>
      <w:bookmarkStart w:id="202" w:name="_Toc131757511"/>
      <w:bookmarkStart w:id="203" w:name="_Toc131775904"/>
      <w:r w:rsidRPr="007608BA">
        <w:rPr>
          <w:lang w:val="nl-NL"/>
        </w:rPr>
        <w:t>Setting the scene (Jeroen van der Laan, Trinomics)</w:t>
      </w:r>
      <w:bookmarkEnd w:id="201"/>
      <w:bookmarkEnd w:id="202"/>
      <w:bookmarkEnd w:id="203"/>
    </w:p>
    <w:p w14:paraId="05EEE62E" w14:textId="77777777" w:rsidR="00C52545" w:rsidRPr="004C69C2" w:rsidRDefault="00C52545" w:rsidP="007608BA">
      <w:pPr>
        <w:rPr>
          <w:lang w:val="en-GB"/>
        </w:rPr>
      </w:pPr>
      <w:r w:rsidRPr="004C69C2">
        <w:rPr>
          <w:lang w:val="en-GB"/>
        </w:rPr>
        <w:t>The main topic is to discuss DNSH in the context of green technologies and innovations. Main challenges:</w:t>
      </w:r>
    </w:p>
    <w:p w14:paraId="39012B95" w14:textId="77777777" w:rsidR="00C52545" w:rsidRPr="004C69C2" w:rsidRDefault="00C52545" w:rsidP="00C52545">
      <w:pPr>
        <w:pStyle w:val="lp11"/>
        <w:numPr>
          <w:ilvl w:val="0"/>
          <w:numId w:val="8"/>
        </w:numPr>
      </w:pPr>
      <w:r>
        <w:rPr>
          <w:b/>
        </w:rPr>
        <w:t>Difficulty to estimate</w:t>
      </w:r>
      <w:r w:rsidRPr="004C69C2">
        <w:rPr>
          <w:b/>
        </w:rPr>
        <w:t xml:space="preserve"> environmental impacts</w:t>
      </w:r>
      <w:r>
        <w:rPr>
          <w:b/>
        </w:rPr>
        <w:t xml:space="preserve"> and risks that the DNSH principle is not applied</w:t>
      </w:r>
      <w:r w:rsidRPr="004C69C2">
        <w:rPr>
          <w:b/>
        </w:rPr>
        <w:t>,</w:t>
      </w:r>
      <w:r w:rsidRPr="004C69C2">
        <w:t xml:space="preserve"> </w:t>
      </w:r>
      <w:r>
        <w:t>for</w:t>
      </w:r>
      <w:r w:rsidRPr="004C69C2">
        <w:t xml:space="preserve"> </w:t>
      </w:r>
      <w:r>
        <w:t xml:space="preserve">instance for </w:t>
      </w:r>
      <w:r w:rsidRPr="004C69C2">
        <w:t xml:space="preserve">projects </w:t>
      </w:r>
      <w:r>
        <w:t xml:space="preserve">related to </w:t>
      </w:r>
      <w:r w:rsidRPr="004C69C2">
        <w:t xml:space="preserve">social innovation. </w:t>
      </w:r>
      <w:r>
        <w:t>For example,</w:t>
      </w:r>
      <w:r w:rsidRPr="004C69C2">
        <w:t xml:space="preserve"> Czechia is working on projects in innovative waste systems. As pilot projects, it is difficult to understand the impacts when there is such uncertainty on project outcomes. </w:t>
      </w:r>
    </w:p>
    <w:p w14:paraId="7CF1C7CB" w14:textId="77777777" w:rsidR="00C52545" w:rsidRPr="004C69C2" w:rsidRDefault="00C52545" w:rsidP="00C52545">
      <w:pPr>
        <w:pStyle w:val="lp11"/>
        <w:numPr>
          <w:ilvl w:val="0"/>
          <w:numId w:val="8"/>
        </w:numPr>
      </w:pPr>
      <w:r w:rsidRPr="004C69C2">
        <w:rPr>
          <w:b/>
        </w:rPr>
        <w:t xml:space="preserve">Lack of technical guidance </w:t>
      </w:r>
      <w:r>
        <w:rPr>
          <w:b/>
        </w:rPr>
        <w:t>and</w:t>
      </w:r>
      <w:r w:rsidRPr="004C69C2">
        <w:rPr>
          <w:b/>
        </w:rPr>
        <w:t xml:space="preserve"> definitions of some of these </w:t>
      </w:r>
      <w:r w:rsidRPr="004C69C2">
        <w:rPr>
          <w:b/>
          <w:bCs/>
        </w:rPr>
        <w:t>innovations</w:t>
      </w:r>
      <w:r w:rsidRPr="004C69C2">
        <w:rPr>
          <w:b/>
        </w:rPr>
        <w:t xml:space="preserve"> in the regulations</w:t>
      </w:r>
      <w:r>
        <w:rPr>
          <w:b/>
        </w:rPr>
        <w:t>.</w:t>
      </w:r>
      <w:r w:rsidRPr="004C69C2">
        <w:t xml:space="preserve"> There </w:t>
      </w:r>
      <w:r>
        <w:t>are</w:t>
      </w:r>
      <w:r w:rsidRPr="004C69C2">
        <w:t xml:space="preserve"> no TSC and relevant climate delegated acts for these activities. They are not in the taxonomy as sustainable activities, also not in the enabling activities list. E. g. On green hydrogen, Commission talks about additionality and talks about where one may found criteria relevant for assessment. </w:t>
      </w:r>
    </w:p>
    <w:p w14:paraId="628AC0B0" w14:textId="77777777" w:rsidR="00C52545" w:rsidRPr="004C69C2" w:rsidRDefault="00C52545" w:rsidP="00C52545">
      <w:pPr>
        <w:pStyle w:val="lp11"/>
        <w:numPr>
          <w:ilvl w:val="0"/>
          <w:numId w:val="8"/>
        </w:numPr>
      </w:pPr>
      <w:r w:rsidRPr="004C69C2">
        <w:rPr>
          <w:b/>
          <w:bCs/>
        </w:rPr>
        <w:t>Process standardization:</w:t>
      </w:r>
      <w:r w:rsidRPr="004C69C2">
        <w:t xml:space="preserve"> One of the main objectives </w:t>
      </w:r>
      <w:r>
        <w:t>in</w:t>
      </w:r>
      <w:r w:rsidRPr="004C69C2">
        <w:t xml:space="preserve"> </w:t>
      </w:r>
      <w:r>
        <w:t xml:space="preserve">the </w:t>
      </w:r>
      <w:r w:rsidRPr="004C69C2">
        <w:t>DNSH application process is to avoid administrative burden and promote efficiency. This is particularly challenging in some areas, such as R&amp;D and innovation. E.g.</w:t>
      </w:r>
      <w:r>
        <w:t>,</w:t>
      </w:r>
      <w:r w:rsidRPr="004C69C2">
        <w:t xml:space="preserve"> For smaller research grants for innovative projects it may be difficult and time consuming to assess DNSH</w:t>
      </w:r>
      <w:r>
        <w:t>-linked risks</w:t>
      </w:r>
      <w:r w:rsidRPr="004C69C2">
        <w:t xml:space="preserve">. </w:t>
      </w:r>
    </w:p>
    <w:p w14:paraId="000F0937" w14:textId="77777777" w:rsidR="00C52545" w:rsidRPr="004C69C2" w:rsidRDefault="00C52545" w:rsidP="00C52545">
      <w:pPr>
        <w:rPr>
          <w:rFonts w:eastAsia="Calibri" w:cs="Arial"/>
        </w:rPr>
      </w:pPr>
    </w:p>
    <w:p w14:paraId="5BE13E53" w14:textId="77777777" w:rsidR="00C52545" w:rsidRPr="004C69C2" w:rsidRDefault="00C52545" w:rsidP="007608BA">
      <w:pPr>
        <w:numPr>
          <w:ilvl w:val="1"/>
          <w:numId w:val="0"/>
        </w:numPr>
        <w:tabs>
          <w:tab w:val="left" w:pos="851"/>
        </w:tabs>
        <w:spacing w:before="120" w:after="120"/>
        <w:ind w:left="1134" w:hanging="567"/>
        <w:contextualSpacing/>
        <w:outlineLvl w:val="1"/>
        <w:rPr>
          <w:rFonts w:eastAsia="Calibri" w:cs="Arial"/>
          <w:b/>
          <w:color w:val="005962"/>
          <w:sz w:val="24"/>
          <w:lang w:val="en-GB"/>
        </w:rPr>
      </w:pPr>
      <w:bookmarkStart w:id="204" w:name="_Toc127978764"/>
      <w:bookmarkStart w:id="205" w:name="_Toc131757512"/>
      <w:bookmarkStart w:id="206" w:name="_Toc131775905"/>
      <w:r w:rsidRPr="004C69C2">
        <w:rPr>
          <w:rFonts w:eastAsia="Calibri" w:cs="Arial"/>
          <w:b/>
          <w:color w:val="005962"/>
          <w:sz w:val="24"/>
          <w:lang w:val="en-GB"/>
        </w:rPr>
        <w:t>Ivana Ptáčková - Ministry of Industry and Trade (Czechia)</w:t>
      </w:r>
      <w:bookmarkEnd w:id="204"/>
      <w:bookmarkEnd w:id="205"/>
      <w:bookmarkEnd w:id="206"/>
    </w:p>
    <w:p w14:paraId="6B20CA98"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207" w:name="_Toc127978765"/>
      <w:bookmarkStart w:id="208" w:name="_Toc131757513"/>
      <w:bookmarkStart w:id="209" w:name="_Toc131775906"/>
      <w:r w:rsidRPr="004C69C2">
        <w:rPr>
          <w:rFonts w:eastAsia="Calibri" w:cs="Arial"/>
          <w:b/>
          <w:i/>
          <w:color w:val="F04E30"/>
          <w:lang w:val="en-GB"/>
        </w:rPr>
        <w:t>Context</w:t>
      </w:r>
      <w:bookmarkEnd w:id="207"/>
      <w:bookmarkEnd w:id="208"/>
      <w:bookmarkEnd w:id="209"/>
    </w:p>
    <w:p w14:paraId="64092BE4" w14:textId="77777777" w:rsidR="00C52545" w:rsidRPr="004C69C2" w:rsidRDefault="00C52545" w:rsidP="00C52545">
      <w:pPr>
        <w:rPr>
          <w:rFonts w:eastAsia="Calibri" w:cs="Arial"/>
          <w:lang w:val="en-GB"/>
        </w:rPr>
      </w:pPr>
      <w:r w:rsidRPr="004C69C2">
        <w:rPr>
          <w:rFonts w:eastAsia="Calibri" w:cs="Arial"/>
          <w:lang w:val="en-GB"/>
        </w:rPr>
        <w:t xml:space="preserve">The presentation </w:t>
      </w:r>
      <w:r>
        <w:rPr>
          <w:rFonts w:eastAsia="Calibri" w:cs="Arial"/>
          <w:lang w:val="en-GB"/>
        </w:rPr>
        <w:t>covers</w:t>
      </w:r>
      <w:r w:rsidRPr="004C69C2">
        <w:rPr>
          <w:rFonts w:eastAsia="Calibri" w:cs="Arial"/>
          <w:lang w:val="en-GB"/>
        </w:rPr>
        <w:t xml:space="preserve"> the implementation of the DNSH principle and of CP in structural funds (ERDF). The key target group of the Ministry is middle to large (publicly-owned) companies, and includes all sectors.</w:t>
      </w:r>
    </w:p>
    <w:p w14:paraId="4EE5C1A3" w14:textId="77777777" w:rsidR="00C52545" w:rsidRPr="004C69C2" w:rsidRDefault="00C52545" w:rsidP="00C52545">
      <w:pPr>
        <w:rPr>
          <w:rFonts w:eastAsia="Calibri" w:cs="Arial"/>
        </w:rPr>
      </w:pPr>
      <w:r w:rsidRPr="004C69C2">
        <w:rPr>
          <w:rFonts w:eastAsia="Calibri" w:cs="Arial"/>
        </w:rPr>
        <w:t>Entrepreneurs face a number of issues, making it all the more critical to provide them with clear and understandable information on DNSH and CP.</w:t>
      </w:r>
    </w:p>
    <w:p w14:paraId="5F427510" w14:textId="77777777" w:rsidR="00C52545" w:rsidRPr="004C69C2" w:rsidRDefault="00C52545" w:rsidP="00C52545">
      <w:pPr>
        <w:rPr>
          <w:rFonts w:eastAsia="Calibri" w:cs="Arial"/>
        </w:rPr>
      </w:pPr>
    </w:p>
    <w:p w14:paraId="1391C167"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210" w:name="_Toc127978766"/>
      <w:bookmarkStart w:id="211" w:name="_Toc131757514"/>
      <w:bookmarkStart w:id="212" w:name="_Toc131775907"/>
      <w:r w:rsidRPr="004C69C2">
        <w:rPr>
          <w:rFonts w:eastAsia="Calibri" w:cs="Arial"/>
          <w:b/>
          <w:i/>
          <w:color w:val="F04E30"/>
          <w:lang w:val="en-GB"/>
        </w:rPr>
        <w:t>Presentation of the Czech practice</w:t>
      </w:r>
      <w:bookmarkEnd w:id="210"/>
      <w:bookmarkEnd w:id="211"/>
      <w:bookmarkEnd w:id="212"/>
    </w:p>
    <w:p w14:paraId="59B5570C" w14:textId="77777777" w:rsidR="00C52545" w:rsidRPr="004C69C2" w:rsidRDefault="00C52545" w:rsidP="00C52545">
      <w:pPr>
        <w:rPr>
          <w:rFonts w:eastAsia="Calibri" w:cs="Arial"/>
        </w:rPr>
      </w:pPr>
      <w:r w:rsidRPr="004C69C2">
        <w:rPr>
          <w:rFonts w:eastAsia="Calibri" w:cs="Arial"/>
        </w:rPr>
        <w:t>The key sources used for developing the Ministry’s approach and methodology are the technical guidelines developed by the Commission. The approach is then implemented by the managing authorities, such as the program</w:t>
      </w:r>
      <w:r>
        <w:rPr>
          <w:rFonts w:eastAsia="Calibri" w:cs="Arial"/>
        </w:rPr>
        <w:t>me</w:t>
      </w:r>
      <w:r w:rsidRPr="004C69C2">
        <w:rPr>
          <w:rFonts w:eastAsia="Calibri" w:cs="Arial"/>
        </w:rPr>
        <w:t xml:space="preserve"> for technology and innovation.</w:t>
      </w:r>
    </w:p>
    <w:p w14:paraId="1CD93DE7" w14:textId="77777777" w:rsidR="00C52545" w:rsidRPr="004C69C2" w:rsidRDefault="00C52545" w:rsidP="00C52545">
      <w:pPr>
        <w:rPr>
          <w:rFonts w:eastAsia="Calibri" w:cs="Arial"/>
        </w:rPr>
      </w:pPr>
      <w:r w:rsidRPr="004C69C2">
        <w:rPr>
          <w:rFonts w:eastAsia="Calibri" w:cs="Arial"/>
        </w:rPr>
        <w:t>For all sectors, DNSH assessments (and, where applicable, CP) revolve around three steps:</w:t>
      </w:r>
    </w:p>
    <w:p w14:paraId="552898E3" w14:textId="77777777" w:rsidR="00C52545" w:rsidRPr="004C69C2" w:rsidRDefault="00C52545" w:rsidP="00C52545">
      <w:pPr>
        <w:numPr>
          <w:ilvl w:val="0"/>
          <w:numId w:val="25"/>
        </w:numPr>
        <w:tabs>
          <w:tab w:val="left" w:pos="851"/>
        </w:tabs>
        <w:contextualSpacing/>
        <w:rPr>
          <w:rFonts w:eastAsia="Calibri" w:cs="Arial"/>
          <w:lang w:val="en-GB"/>
        </w:rPr>
      </w:pPr>
      <w:r w:rsidRPr="004C69C2">
        <w:rPr>
          <w:rFonts w:eastAsia="Calibri" w:cs="Arial"/>
          <w:lang w:val="en-GB"/>
        </w:rPr>
        <w:t>The managing authority assesses the specific objectives of the types of measures and programmes. This may rely on the use of the Delegated Acts;</w:t>
      </w:r>
    </w:p>
    <w:p w14:paraId="117E31BB" w14:textId="77777777" w:rsidR="00C52545" w:rsidRPr="004C69C2" w:rsidRDefault="00C52545" w:rsidP="00C52545">
      <w:pPr>
        <w:numPr>
          <w:ilvl w:val="0"/>
          <w:numId w:val="25"/>
        </w:numPr>
        <w:tabs>
          <w:tab w:val="left" w:pos="851"/>
        </w:tabs>
        <w:contextualSpacing/>
        <w:rPr>
          <w:rFonts w:eastAsia="Calibri" w:cs="Arial"/>
          <w:lang w:val="en-GB"/>
        </w:rPr>
      </w:pPr>
      <w:r w:rsidRPr="004C69C2">
        <w:rPr>
          <w:rFonts w:eastAsia="Calibri" w:cs="Arial"/>
          <w:lang w:val="en-GB"/>
        </w:rPr>
        <w:t>The analysis is refined at the level of activities;</w:t>
      </w:r>
    </w:p>
    <w:p w14:paraId="314690AD" w14:textId="77777777" w:rsidR="00C52545" w:rsidRPr="004C69C2" w:rsidRDefault="00C52545" w:rsidP="00C52545">
      <w:pPr>
        <w:numPr>
          <w:ilvl w:val="0"/>
          <w:numId w:val="25"/>
        </w:numPr>
        <w:tabs>
          <w:tab w:val="left" w:pos="851"/>
        </w:tabs>
        <w:contextualSpacing/>
        <w:rPr>
          <w:rFonts w:eastAsia="Calibri" w:cs="Arial"/>
          <w:lang w:val="en-GB"/>
        </w:rPr>
      </w:pPr>
      <w:r w:rsidRPr="004C69C2">
        <w:rPr>
          <w:rFonts w:eastAsia="Calibri" w:cs="Arial"/>
          <w:lang w:val="en-GB"/>
        </w:rPr>
        <w:t>The managing authority clarifies the need for DNSH assessments and for CP:</w:t>
      </w:r>
    </w:p>
    <w:p w14:paraId="7B290A18" w14:textId="77777777" w:rsidR="00C52545" w:rsidRPr="004C69C2" w:rsidRDefault="00C52545" w:rsidP="00C52545">
      <w:pPr>
        <w:numPr>
          <w:ilvl w:val="1"/>
          <w:numId w:val="25"/>
        </w:numPr>
        <w:tabs>
          <w:tab w:val="left" w:pos="851"/>
        </w:tabs>
        <w:contextualSpacing/>
        <w:rPr>
          <w:rFonts w:eastAsia="Calibri" w:cs="Arial"/>
          <w:lang w:val="en-GB"/>
        </w:rPr>
      </w:pPr>
      <w:r w:rsidRPr="004C69C2">
        <w:rPr>
          <w:rFonts w:eastAsia="Calibri" w:cs="Arial"/>
          <w:lang w:val="en-GB"/>
        </w:rPr>
        <w:t>Procedure 1: at the substantial contribution level, negligible impacts are expected when implementing the investment;</w:t>
      </w:r>
    </w:p>
    <w:p w14:paraId="70754555" w14:textId="77777777" w:rsidR="00C52545" w:rsidRPr="004C69C2" w:rsidRDefault="00C52545" w:rsidP="00C52545">
      <w:pPr>
        <w:numPr>
          <w:ilvl w:val="1"/>
          <w:numId w:val="25"/>
        </w:numPr>
        <w:tabs>
          <w:tab w:val="left" w:pos="851"/>
        </w:tabs>
        <w:contextualSpacing/>
        <w:rPr>
          <w:rFonts w:eastAsia="Calibri" w:cs="Arial"/>
          <w:lang w:val="en-GB"/>
        </w:rPr>
      </w:pPr>
      <w:r w:rsidRPr="004C69C2">
        <w:rPr>
          <w:rFonts w:eastAsia="Calibri" w:cs="Arial"/>
          <w:lang w:val="en-GB"/>
        </w:rPr>
        <w:t>Procedure 2: there are DNSH mandatory criteria and, potentially, a need for CP, specified in the technical guidelines;</w:t>
      </w:r>
    </w:p>
    <w:p w14:paraId="5DF1CF94" w14:textId="77777777" w:rsidR="00C52545" w:rsidRPr="004C69C2" w:rsidRDefault="00C52545" w:rsidP="00C52545">
      <w:pPr>
        <w:numPr>
          <w:ilvl w:val="1"/>
          <w:numId w:val="25"/>
        </w:numPr>
        <w:tabs>
          <w:tab w:val="left" w:pos="851"/>
        </w:tabs>
        <w:contextualSpacing/>
        <w:rPr>
          <w:rFonts w:eastAsia="Calibri" w:cs="Arial"/>
          <w:lang w:val="en-GB"/>
        </w:rPr>
      </w:pPr>
      <w:r w:rsidRPr="004C69C2">
        <w:rPr>
          <w:rFonts w:eastAsia="Calibri" w:cs="Arial"/>
          <w:lang w:val="en-GB"/>
        </w:rPr>
        <w:t>Procedure 3: the technical screening criteria (TSC) presented in the EU Taxonomy Delegated Acts can be applied to the investments.</w:t>
      </w:r>
    </w:p>
    <w:p w14:paraId="20B54ACB" w14:textId="77777777" w:rsidR="00C52545" w:rsidRPr="004C69C2" w:rsidRDefault="00C52545" w:rsidP="00C52545">
      <w:pPr>
        <w:numPr>
          <w:ilvl w:val="0"/>
          <w:numId w:val="25"/>
        </w:numPr>
        <w:tabs>
          <w:tab w:val="left" w:pos="851"/>
        </w:tabs>
        <w:contextualSpacing/>
        <w:rPr>
          <w:rFonts w:eastAsia="Calibri" w:cs="Arial"/>
          <w:lang w:val="en-GB"/>
        </w:rPr>
      </w:pPr>
      <w:r w:rsidRPr="004C69C2">
        <w:rPr>
          <w:rFonts w:eastAsia="Calibri" w:cs="Arial"/>
          <w:i/>
          <w:iCs/>
          <w:lang w:val="en-GB"/>
        </w:rPr>
        <w:lastRenderedPageBreak/>
        <w:t>For CP</w:t>
      </w:r>
      <w:r w:rsidRPr="004C69C2">
        <w:rPr>
          <w:rFonts w:eastAsia="Calibri" w:cs="Arial"/>
          <w:lang w:val="en-GB"/>
        </w:rPr>
        <w:t>. The managing authority directly evaluates if, at the activity level, the programme might exceed 20.000 t CO2e. This helps clarifying to what extent a CP is required.</w:t>
      </w:r>
    </w:p>
    <w:p w14:paraId="6603020B" w14:textId="77777777" w:rsidR="00C52545" w:rsidRPr="004C69C2" w:rsidRDefault="00C52545" w:rsidP="00C52545">
      <w:pPr>
        <w:tabs>
          <w:tab w:val="left" w:pos="851"/>
        </w:tabs>
        <w:ind w:left="1571"/>
        <w:contextualSpacing/>
        <w:rPr>
          <w:rFonts w:eastAsia="Calibri" w:cs="Arial"/>
          <w:lang w:val="en-GB"/>
        </w:rPr>
      </w:pPr>
      <w:r w:rsidRPr="004C69C2">
        <w:rPr>
          <w:rFonts w:eastAsia="Calibri" w:cs="Arial"/>
          <w:lang w:val="en-GB"/>
        </w:rPr>
        <w:t>Currently, this approach is considered robust for smaller investments. This allows to simplify it and to provide clear instructions to smaller applicants.</w:t>
      </w:r>
    </w:p>
    <w:p w14:paraId="1C7257F5" w14:textId="77777777" w:rsidR="00C52545" w:rsidRPr="004C69C2" w:rsidRDefault="00C52545" w:rsidP="00C52545">
      <w:pPr>
        <w:rPr>
          <w:rFonts w:eastAsia="Calibri" w:cs="Arial"/>
          <w:lang w:val="en-GB"/>
        </w:rPr>
      </w:pPr>
    </w:p>
    <w:p w14:paraId="69A5246C" w14:textId="77777777" w:rsidR="00C52545" w:rsidRPr="004C69C2" w:rsidRDefault="00C52545" w:rsidP="00C52545">
      <w:pPr>
        <w:rPr>
          <w:rFonts w:eastAsia="Calibri" w:cs="Arial"/>
        </w:rPr>
      </w:pPr>
      <w:r w:rsidRPr="004C69C2">
        <w:rPr>
          <w:rFonts w:eastAsia="Calibri" w:cs="Arial"/>
        </w:rPr>
        <w:t>In the case of R&amp;D and green innovation investments, the use of TSC requires a clear definition and experience with the technology used. In the absence of such detail, the managing authority uses climate tags (029 and 030) to identify investments that are expected to have positive impacts. For these eligible investments, the managing authority provides a template to applicants, through which the latter can state that they meet the requirements specific to each of the 6 environmental objectives. The applicant proposes its own statement to prove that the requirements are fulfilled. The forms are evaluated on the basis of a score. The scoring relies on a qualitative assessment and can -among others- be substantiated with the applicant’s business plan.</w:t>
      </w:r>
    </w:p>
    <w:p w14:paraId="7F733BF1" w14:textId="77777777" w:rsidR="00C52545" w:rsidRPr="004C69C2" w:rsidRDefault="00C52545" w:rsidP="00C52545">
      <w:pPr>
        <w:rPr>
          <w:rFonts w:eastAsia="Calibri" w:cs="Arial"/>
        </w:rPr>
      </w:pPr>
    </w:p>
    <w:p w14:paraId="02CF7E4C" w14:textId="77777777" w:rsidR="00C52545" w:rsidRPr="004C69C2" w:rsidRDefault="00C52545" w:rsidP="00C52545">
      <w:pPr>
        <w:rPr>
          <w:rFonts w:eastAsia="Calibri" w:cs="Arial"/>
        </w:rPr>
      </w:pPr>
      <w:r w:rsidRPr="004C69C2">
        <w:rPr>
          <w:rFonts w:eastAsia="Calibri" w:cs="Arial"/>
        </w:rPr>
        <w:t>In the case of investments favoring energy efficiency, renewable energy and energy infrastructure, European legislation is used (including the Delegated Regulation 2021/2139). Similar to R&amp;D investments, climate tags are attributed to each investment. The applicant states that it meets any existing TSC criteria, and provides an open-ended justification of how the criteria will be met.</w:t>
      </w:r>
    </w:p>
    <w:p w14:paraId="6D2CD2E4" w14:textId="77777777" w:rsidR="00C52545" w:rsidRPr="004C69C2" w:rsidRDefault="00C52545" w:rsidP="00C52545">
      <w:pPr>
        <w:rPr>
          <w:rFonts w:eastAsia="Calibri" w:cs="Arial"/>
        </w:rPr>
      </w:pPr>
    </w:p>
    <w:p w14:paraId="6BA37841"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213" w:name="_Toc127978767"/>
      <w:bookmarkStart w:id="214" w:name="_Toc131757515"/>
      <w:bookmarkStart w:id="215" w:name="_Toc131775908"/>
      <w:r w:rsidRPr="004C69C2">
        <w:rPr>
          <w:rFonts w:eastAsia="Calibri" w:cs="Arial"/>
          <w:b/>
          <w:i/>
          <w:color w:val="F04E30"/>
          <w:lang w:val="en-GB"/>
        </w:rPr>
        <w:t>Challenges</w:t>
      </w:r>
      <w:bookmarkEnd w:id="213"/>
      <w:bookmarkEnd w:id="214"/>
      <w:bookmarkEnd w:id="215"/>
    </w:p>
    <w:p w14:paraId="79493718" w14:textId="77777777" w:rsidR="00C52545" w:rsidRPr="004C69C2" w:rsidRDefault="00C52545" w:rsidP="00C52545">
      <w:pPr>
        <w:rPr>
          <w:rFonts w:eastAsia="Calibri" w:cs="Arial"/>
        </w:rPr>
      </w:pPr>
      <w:r w:rsidRPr="004C69C2">
        <w:rPr>
          <w:rFonts w:eastAsia="Calibri" w:cs="Arial"/>
        </w:rPr>
        <w:t>A number of challenges emerge for the Ministry, Managing Authorities, and applicants. They notably include:</w:t>
      </w:r>
    </w:p>
    <w:p w14:paraId="08D379B3" w14:textId="77777777" w:rsidR="00C52545" w:rsidRPr="004C69C2" w:rsidRDefault="00C52545" w:rsidP="00C52545">
      <w:pPr>
        <w:pStyle w:val="lp11"/>
        <w:numPr>
          <w:ilvl w:val="0"/>
          <w:numId w:val="8"/>
        </w:numPr>
      </w:pPr>
      <w:r w:rsidRPr="004C69C2">
        <w:t>The specificities of financial instruments and the associated analyses that must be conducted are not fully clear;</w:t>
      </w:r>
    </w:p>
    <w:p w14:paraId="33F083BF" w14:textId="77777777" w:rsidR="00C52545" w:rsidRPr="004C69C2" w:rsidRDefault="00C52545" w:rsidP="00C52545">
      <w:pPr>
        <w:pStyle w:val="lp11"/>
        <w:numPr>
          <w:ilvl w:val="0"/>
          <w:numId w:val="8"/>
        </w:numPr>
      </w:pPr>
      <w:r w:rsidRPr="004C69C2">
        <w:t>The interlinkages between the TSC and the legislative obligations already existing is unclear;</w:t>
      </w:r>
    </w:p>
    <w:p w14:paraId="2CFB0750" w14:textId="77777777" w:rsidR="00C52545" w:rsidRPr="004C69C2" w:rsidRDefault="00C52545" w:rsidP="00C52545">
      <w:pPr>
        <w:pStyle w:val="lp11"/>
        <w:numPr>
          <w:ilvl w:val="0"/>
          <w:numId w:val="8"/>
        </w:numPr>
      </w:pPr>
      <w:r w:rsidRPr="004C69C2">
        <w:t>The limited capacity and impossibility for SMEs to use the EU Taxonomy;</w:t>
      </w:r>
    </w:p>
    <w:p w14:paraId="35544222" w14:textId="77777777" w:rsidR="00C52545" w:rsidRPr="004C69C2" w:rsidRDefault="00C52545" w:rsidP="00C52545">
      <w:pPr>
        <w:pStyle w:val="lp11"/>
        <w:numPr>
          <w:ilvl w:val="0"/>
          <w:numId w:val="8"/>
        </w:numPr>
      </w:pPr>
      <w:r w:rsidRPr="004C69C2">
        <w:t>The identification and selection of requirements or criteria in fields where criteria are expected to be published (e.g., textile products for circularity);</w:t>
      </w:r>
    </w:p>
    <w:p w14:paraId="7C79E36C" w14:textId="77777777" w:rsidR="00C52545" w:rsidRPr="004C69C2" w:rsidRDefault="00C52545" w:rsidP="00C52545">
      <w:pPr>
        <w:pStyle w:val="lp11"/>
        <w:numPr>
          <w:ilvl w:val="0"/>
          <w:numId w:val="8"/>
        </w:numPr>
      </w:pPr>
      <w:r w:rsidRPr="004C69C2">
        <w:t>The choice of criteria where no specifications exist – for now, the managing authorities use applicable legislation;</w:t>
      </w:r>
    </w:p>
    <w:p w14:paraId="6B16949A" w14:textId="77777777" w:rsidR="00C52545" w:rsidRPr="004C69C2" w:rsidRDefault="00C52545" w:rsidP="00C52545">
      <w:pPr>
        <w:pStyle w:val="lp11"/>
        <w:numPr>
          <w:ilvl w:val="0"/>
          <w:numId w:val="8"/>
        </w:numPr>
      </w:pPr>
      <w:r w:rsidRPr="004C69C2">
        <w:t>The identification and use of data to conduct CP.</w:t>
      </w:r>
    </w:p>
    <w:p w14:paraId="5C4FC736" w14:textId="77777777" w:rsidR="00C52545" w:rsidRPr="004C69C2" w:rsidRDefault="00C52545" w:rsidP="00C52545">
      <w:pPr>
        <w:rPr>
          <w:rFonts w:eastAsia="Calibri" w:cs="Arial"/>
        </w:rPr>
      </w:pPr>
    </w:p>
    <w:p w14:paraId="7B9A58C7" w14:textId="77777777" w:rsidR="00C52545" w:rsidRPr="004C69C2" w:rsidRDefault="00C52545" w:rsidP="007608BA">
      <w:pPr>
        <w:numPr>
          <w:ilvl w:val="1"/>
          <w:numId w:val="0"/>
        </w:numPr>
        <w:tabs>
          <w:tab w:val="left" w:pos="851"/>
        </w:tabs>
        <w:spacing w:before="120" w:after="120"/>
        <w:ind w:left="1134" w:hanging="567"/>
        <w:contextualSpacing/>
        <w:outlineLvl w:val="1"/>
        <w:rPr>
          <w:rFonts w:eastAsia="Calibri" w:cs="Arial"/>
          <w:b/>
          <w:color w:val="005962"/>
          <w:sz w:val="24"/>
          <w:lang w:val="en-GB"/>
        </w:rPr>
      </w:pPr>
      <w:bookmarkStart w:id="216" w:name="_Toc127978768"/>
      <w:bookmarkStart w:id="217" w:name="_Toc131757516"/>
      <w:bookmarkStart w:id="218" w:name="_Toc131775909"/>
      <w:r w:rsidRPr="004C69C2">
        <w:rPr>
          <w:rFonts w:eastAsia="Calibri" w:cs="Arial"/>
          <w:b/>
          <w:color w:val="005962"/>
          <w:sz w:val="24"/>
          <w:lang w:val="en-GB"/>
        </w:rPr>
        <w:t>Juha Ollikainen – Finnish Climate Fund (Finland)</w:t>
      </w:r>
      <w:bookmarkEnd w:id="216"/>
      <w:bookmarkEnd w:id="217"/>
      <w:bookmarkEnd w:id="218"/>
    </w:p>
    <w:p w14:paraId="6B4CB54A"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219" w:name="_Toc127978769"/>
      <w:bookmarkStart w:id="220" w:name="_Toc131757517"/>
      <w:bookmarkStart w:id="221" w:name="_Toc131775910"/>
      <w:r w:rsidRPr="004C69C2">
        <w:rPr>
          <w:rFonts w:eastAsia="Calibri" w:cs="Arial"/>
          <w:b/>
          <w:i/>
          <w:color w:val="F04E30"/>
          <w:lang w:val="en-GB"/>
        </w:rPr>
        <w:t>Context</w:t>
      </w:r>
      <w:bookmarkEnd w:id="219"/>
      <w:bookmarkEnd w:id="220"/>
      <w:bookmarkEnd w:id="221"/>
    </w:p>
    <w:p w14:paraId="78D3C068" w14:textId="3111F291" w:rsidR="00C52545" w:rsidRPr="004C69C2" w:rsidRDefault="00C52545" w:rsidP="00C52545">
      <w:pPr>
        <w:rPr>
          <w:rFonts w:eastAsia="Calibri" w:cs="Arial"/>
          <w:lang w:val="en-GB"/>
        </w:rPr>
      </w:pPr>
      <w:r w:rsidRPr="004C69C2">
        <w:rPr>
          <w:rFonts w:eastAsia="Calibri" w:cs="Arial"/>
          <w:lang w:val="en-GB"/>
        </w:rPr>
        <w:t xml:space="preserve">The </w:t>
      </w:r>
      <w:r w:rsidR="006427C1">
        <w:rPr>
          <w:rFonts w:eastAsia="Calibri" w:cs="Arial"/>
          <w:lang w:val="en-GB"/>
        </w:rPr>
        <w:t>F</w:t>
      </w:r>
      <w:r w:rsidRPr="004C69C2">
        <w:rPr>
          <w:rFonts w:eastAsia="Calibri" w:cs="Arial"/>
          <w:lang w:val="en-GB"/>
        </w:rPr>
        <w:t>und is state owned, investments are</w:t>
      </w:r>
      <w:r>
        <w:rPr>
          <w:rFonts w:eastAsia="Calibri" w:cs="Arial"/>
          <w:lang w:val="en-GB"/>
        </w:rPr>
        <w:t xml:space="preserve"> primarily</w:t>
      </w:r>
      <w:r w:rsidRPr="004C69C2">
        <w:rPr>
          <w:rFonts w:eastAsia="Calibri" w:cs="Arial"/>
          <w:lang w:val="en-GB"/>
        </w:rPr>
        <w:t xml:space="preserve"> in climate tech</w:t>
      </w:r>
      <w:r>
        <w:rPr>
          <w:rFonts w:eastAsia="Calibri" w:cs="Arial"/>
          <w:lang w:val="en-GB"/>
        </w:rPr>
        <w:t>nology</w:t>
      </w:r>
      <w:r w:rsidRPr="004C69C2">
        <w:rPr>
          <w:rFonts w:eastAsia="Calibri" w:cs="Arial"/>
          <w:lang w:val="en-GB"/>
        </w:rPr>
        <w:t xml:space="preserve"> </w:t>
      </w:r>
      <w:r>
        <w:rPr>
          <w:rFonts w:eastAsia="Calibri" w:cs="Arial"/>
          <w:lang w:val="en-GB"/>
        </w:rPr>
        <w:t xml:space="preserve">and </w:t>
      </w:r>
      <w:r w:rsidRPr="004C69C2">
        <w:rPr>
          <w:rFonts w:eastAsia="Calibri" w:cs="Arial"/>
          <w:lang w:val="en-GB"/>
        </w:rPr>
        <w:t xml:space="preserve">in </w:t>
      </w:r>
      <w:r>
        <w:rPr>
          <w:rFonts w:eastAsia="Calibri" w:cs="Arial"/>
          <w:lang w:val="en-GB"/>
        </w:rPr>
        <w:t xml:space="preserve">the </w:t>
      </w:r>
      <w:r w:rsidRPr="004C69C2">
        <w:rPr>
          <w:rFonts w:eastAsia="Calibri" w:cs="Arial"/>
          <w:lang w:val="en-GB"/>
        </w:rPr>
        <w:t xml:space="preserve">scaling phase. The </w:t>
      </w:r>
      <w:r w:rsidR="006427C1">
        <w:rPr>
          <w:rFonts w:eastAsia="Calibri" w:cs="Arial"/>
          <w:lang w:val="en-GB"/>
        </w:rPr>
        <w:t>F</w:t>
      </w:r>
      <w:r w:rsidRPr="004C69C2">
        <w:rPr>
          <w:rFonts w:eastAsia="Calibri" w:cs="Arial"/>
          <w:lang w:val="en-GB"/>
        </w:rPr>
        <w:t xml:space="preserve">und is operational since 2021. So far </w:t>
      </w:r>
      <w:r>
        <w:rPr>
          <w:rFonts w:eastAsia="Calibri" w:cs="Arial"/>
          <w:lang w:val="en-GB"/>
        </w:rPr>
        <w:t>approximately 20</w:t>
      </w:r>
      <w:r w:rsidRPr="004C69C2">
        <w:rPr>
          <w:rFonts w:eastAsia="Calibri" w:cs="Arial"/>
          <w:lang w:val="en-GB"/>
        </w:rPr>
        <w:t xml:space="preserve"> investment decisions have been made, each ranging an investment amount between 4-40 million euros. </w:t>
      </w:r>
    </w:p>
    <w:p w14:paraId="6E893E9A" w14:textId="77777777" w:rsidR="00C52545" w:rsidRPr="004C69C2" w:rsidRDefault="00C52545" w:rsidP="00C52545">
      <w:pPr>
        <w:rPr>
          <w:rFonts w:eastAsia="Calibri" w:cs="Arial"/>
          <w:lang w:val="en-GB"/>
        </w:rPr>
      </w:pPr>
    </w:p>
    <w:p w14:paraId="22339EA5" w14:textId="2D8C157F" w:rsidR="00C52545" w:rsidRPr="004C69C2" w:rsidRDefault="005777EF" w:rsidP="00C52545">
      <w:pPr>
        <w:numPr>
          <w:ilvl w:val="2"/>
          <w:numId w:val="0"/>
        </w:numPr>
        <w:tabs>
          <w:tab w:val="left" w:pos="851"/>
        </w:tabs>
        <w:ind w:left="567" w:hanging="567"/>
        <w:contextualSpacing/>
        <w:outlineLvl w:val="2"/>
        <w:rPr>
          <w:rFonts w:eastAsia="Calibri" w:cs="Arial"/>
          <w:b/>
          <w:i/>
          <w:color w:val="F04E30"/>
          <w:lang w:val="en-GB"/>
        </w:rPr>
      </w:pPr>
      <w:bookmarkStart w:id="222" w:name="_Toc127978770"/>
      <w:r>
        <w:rPr>
          <w:rFonts w:eastAsia="Calibri" w:cs="Arial"/>
          <w:b/>
          <w:i/>
          <w:color w:val="F04E30"/>
          <w:lang w:val="en-GB"/>
        </w:rPr>
        <w:tab/>
      </w:r>
      <w:bookmarkStart w:id="223" w:name="_Toc131757518"/>
      <w:bookmarkStart w:id="224" w:name="_Toc131775911"/>
      <w:r w:rsidR="00C52545" w:rsidRPr="004C69C2">
        <w:rPr>
          <w:rFonts w:eastAsia="Calibri" w:cs="Arial"/>
          <w:b/>
          <w:i/>
          <w:color w:val="F04E30"/>
          <w:lang w:val="en-GB"/>
        </w:rPr>
        <w:t>Presentation of the Finish practice</w:t>
      </w:r>
      <w:bookmarkEnd w:id="222"/>
      <w:bookmarkEnd w:id="223"/>
      <w:bookmarkEnd w:id="224"/>
    </w:p>
    <w:p w14:paraId="3159EDCB" w14:textId="77777777" w:rsidR="00C52545" w:rsidRPr="004C69C2" w:rsidRDefault="00C52545" w:rsidP="00C52545">
      <w:pPr>
        <w:rPr>
          <w:rFonts w:eastAsia="Calibri" w:cs="Arial"/>
        </w:rPr>
      </w:pPr>
      <w:r w:rsidRPr="004C69C2">
        <w:rPr>
          <w:rFonts w:eastAsia="Calibri" w:cs="Arial"/>
        </w:rPr>
        <w:t xml:space="preserve">Every investment must pass the preconditions. </w:t>
      </w:r>
      <w:r w:rsidRPr="004C69C2">
        <w:rPr>
          <w:rFonts w:ascii="Arial" w:eastAsia="Calibri" w:hAnsi="Arial" w:cs="Arial"/>
        </w:rPr>
        <w:t>​</w:t>
      </w:r>
      <w:r w:rsidRPr="004C69C2">
        <w:rPr>
          <w:rFonts w:eastAsia="Calibri" w:cs="Arial"/>
        </w:rPr>
        <w:t>If the preconditions are met, the final priorisation and selection of investment proposals will be made based on the impact criteria. The pre</w:t>
      </w:r>
      <w:r>
        <w:rPr>
          <w:rFonts w:eastAsia="Calibri" w:cs="Arial"/>
        </w:rPr>
        <w:t>-</w:t>
      </w:r>
      <w:r w:rsidRPr="004C69C2">
        <w:rPr>
          <w:rFonts w:eastAsia="Calibri" w:cs="Arial"/>
        </w:rPr>
        <w:t>conditions are:</w:t>
      </w:r>
    </w:p>
    <w:p w14:paraId="62045405" w14:textId="77777777" w:rsidR="00C52545" w:rsidRPr="004C69C2" w:rsidRDefault="00C52545" w:rsidP="00C52545">
      <w:pPr>
        <w:numPr>
          <w:ilvl w:val="0"/>
          <w:numId w:val="26"/>
        </w:numPr>
        <w:tabs>
          <w:tab w:val="left" w:pos="851"/>
        </w:tabs>
        <w:contextualSpacing/>
        <w:rPr>
          <w:rFonts w:eastAsia="Calibri" w:cs="Arial"/>
          <w:lang w:val="en-GB"/>
        </w:rPr>
      </w:pPr>
      <w:r>
        <w:rPr>
          <w:rFonts w:eastAsia="Calibri" w:cs="Arial"/>
          <w:lang w:val="en-GB"/>
        </w:rPr>
        <w:t>A c</w:t>
      </w:r>
      <w:r w:rsidRPr="004C69C2">
        <w:rPr>
          <w:rFonts w:eastAsia="Calibri" w:cs="Arial"/>
          <w:lang w:val="en-GB"/>
        </w:rPr>
        <w:t>redible plan for the repayment of the investment and return capital;</w:t>
      </w:r>
    </w:p>
    <w:p w14:paraId="5B182466" w14:textId="77777777" w:rsidR="00C52545" w:rsidRPr="004C69C2" w:rsidRDefault="00C52545" w:rsidP="00C52545">
      <w:pPr>
        <w:numPr>
          <w:ilvl w:val="0"/>
          <w:numId w:val="26"/>
        </w:numPr>
        <w:tabs>
          <w:tab w:val="left" w:pos="851"/>
        </w:tabs>
        <w:contextualSpacing/>
        <w:rPr>
          <w:rFonts w:eastAsia="Calibri" w:cs="Arial"/>
          <w:lang w:val="en-GB"/>
        </w:rPr>
      </w:pPr>
      <w:r w:rsidRPr="004C69C2">
        <w:rPr>
          <w:rFonts w:eastAsia="Calibri" w:cs="Arial"/>
          <w:lang w:val="en-GB"/>
        </w:rPr>
        <w:t>With Climate Fund’s investment the project will be realized in the first place, earlier or on a larger scale;</w:t>
      </w:r>
    </w:p>
    <w:p w14:paraId="48393C10" w14:textId="77777777" w:rsidR="00C52545" w:rsidRPr="004C69C2" w:rsidRDefault="00C52545" w:rsidP="00C52545">
      <w:pPr>
        <w:numPr>
          <w:ilvl w:val="0"/>
          <w:numId w:val="26"/>
        </w:numPr>
        <w:tabs>
          <w:tab w:val="left" w:pos="851"/>
        </w:tabs>
        <w:contextualSpacing/>
        <w:rPr>
          <w:rFonts w:eastAsia="Calibri" w:cs="Arial"/>
          <w:lang w:val="en-GB"/>
        </w:rPr>
      </w:pPr>
      <w:r w:rsidRPr="004C69C2">
        <w:rPr>
          <w:rFonts w:eastAsia="Calibri" w:cs="Arial"/>
          <w:lang w:val="en-GB"/>
        </w:rPr>
        <w:t>Alignment with the DNSH.</w:t>
      </w:r>
    </w:p>
    <w:p w14:paraId="56C217F0" w14:textId="77777777" w:rsidR="00C52545" w:rsidRPr="004C69C2" w:rsidRDefault="00C52545" w:rsidP="00C52545">
      <w:pPr>
        <w:rPr>
          <w:rFonts w:eastAsia="Calibri" w:cs="Arial"/>
        </w:rPr>
      </w:pPr>
    </w:p>
    <w:p w14:paraId="6F1D4221" w14:textId="77777777" w:rsidR="00C52545" w:rsidRPr="004C69C2" w:rsidRDefault="00C52545" w:rsidP="00C52545">
      <w:pPr>
        <w:rPr>
          <w:rFonts w:eastAsia="Calibri" w:cs="Arial"/>
        </w:rPr>
      </w:pPr>
      <w:r w:rsidRPr="004C69C2">
        <w:rPr>
          <w:rFonts w:eastAsia="Calibri" w:cs="Arial"/>
        </w:rPr>
        <w:lastRenderedPageBreak/>
        <w:t>Afterwards, the investment is analyz</w:t>
      </w:r>
      <w:r>
        <w:rPr>
          <w:rFonts w:eastAsia="Calibri" w:cs="Arial"/>
        </w:rPr>
        <w:t>ed</w:t>
      </w:r>
      <w:r w:rsidRPr="004C69C2">
        <w:rPr>
          <w:rFonts w:eastAsia="Calibri" w:cs="Arial"/>
        </w:rPr>
        <w:t xml:space="preserve"> </w:t>
      </w:r>
      <w:r>
        <w:rPr>
          <w:rFonts w:eastAsia="Calibri" w:cs="Arial"/>
        </w:rPr>
        <w:t>against</w:t>
      </w:r>
      <w:r w:rsidRPr="004C69C2">
        <w:rPr>
          <w:rFonts w:eastAsia="Calibri" w:cs="Arial"/>
        </w:rPr>
        <w:t xml:space="preserve"> </w:t>
      </w:r>
      <w:r>
        <w:rPr>
          <w:rFonts w:eastAsia="Calibri" w:cs="Arial"/>
        </w:rPr>
        <w:t xml:space="preserve">its </w:t>
      </w:r>
      <w:r w:rsidRPr="004C69C2">
        <w:rPr>
          <w:rFonts w:eastAsia="Calibri" w:cs="Arial"/>
        </w:rPr>
        <w:t xml:space="preserve">emissions reductions potential and the productivity and business potential. Finally, there is an Investment Proposal Specific assessment. </w:t>
      </w:r>
      <w:r>
        <w:rPr>
          <w:rFonts w:eastAsia="Calibri" w:cs="Arial"/>
        </w:rPr>
        <w:t xml:space="preserve">The </w:t>
      </w:r>
      <w:r w:rsidRPr="004C69C2">
        <w:rPr>
          <w:rFonts w:eastAsia="Calibri" w:cs="Arial"/>
        </w:rPr>
        <w:t xml:space="preserve">DNSH </w:t>
      </w:r>
      <w:r>
        <w:rPr>
          <w:rFonts w:eastAsia="Calibri" w:cs="Arial"/>
        </w:rPr>
        <w:t xml:space="preserve">process begins </w:t>
      </w:r>
      <w:r w:rsidRPr="004C69C2">
        <w:rPr>
          <w:rFonts w:eastAsia="Calibri" w:cs="Arial"/>
        </w:rPr>
        <w:t>with an initial DNSH analysis</w:t>
      </w:r>
      <w:r>
        <w:rPr>
          <w:rFonts w:eastAsia="Calibri" w:cs="Arial"/>
        </w:rPr>
        <w:t xml:space="preserve"> conducted by the proponent</w:t>
      </w:r>
      <w:r w:rsidRPr="004C69C2">
        <w:rPr>
          <w:rFonts w:eastAsia="Calibri" w:cs="Arial"/>
        </w:rPr>
        <w:t>. The Finish Climate Fund supports the client in this process</w:t>
      </w:r>
      <w:r>
        <w:rPr>
          <w:rFonts w:eastAsia="Calibri" w:cs="Arial"/>
        </w:rPr>
        <w:t xml:space="preserve"> -</w:t>
      </w:r>
      <w:r w:rsidRPr="004C69C2">
        <w:rPr>
          <w:rFonts w:eastAsia="Calibri" w:cs="Arial"/>
        </w:rPr>
        <w:t xml:space="preserve"> a support that </w:t>
      </w:r>
      <w:r>
        <w:rPr>
          <w:rFonts w:eastAsia="Calibri" w:cs="Arial"/>
        </w:rPr>
        <w:t>ha</w:t>
      </w:r>
      <w:r w:rsidRPr="004C69C2">
        <w:rPr>
          <w:rFonts w:eastAsia="Calibri" w:cs="Arial"/>
        </w:rPr>
        <w:t>s proven particularly relevant given the novelty of DNSH</w:t>
      </w:r>
      <w:r>
        <w:rPr>
          <w:rFonts w:eastAsia="Calibri" w:cs="Arial"/>
        </w:rPr>
        <w:t>,</w:t>
      </w:r>
      <w:r w:rsidRPr="004C69C2">
        <w:rPr>
          <w:rFonts w:eastAsia="Calibri" w:cs="Arial"/>
        </w:rPr>
        <w:t xml:space="preserve"> the </w:t>
      </w:r>
      <w:r>
        <w:rPr>
          <w:rFonts w:eastAsia="Calibri" w:cs="Arial"/>
        </w:rPr>
        <w:t xml:space="preserve">complexity of the </w:t>
      </w:r>
      <w:r w:rsidRPr="004C69C2">
        <w:rPr>
          <w:rFonts w:eastAsia="Calibri" w:cs="Arial"/>
        </w:rPr>
        <w:t>process itself and the size of the companies (</w:t>
      </w:r>
      <w:r>
        <w:rPr>
          <w:rFonts w:eastAsia="Calibri" w:cs="Arial"/>
        </w:rPr>
        <w:t>which are oftentimes</w:t>
      </w:r>
      <w:r w:rsidRPr="004C69C2">
        <w:rPr>
          <w:rFonts w:eastAsia="Calibri" w:cs="Arial"/>
        </w:rPr>
        <w:t xml:space="preserve"> small</w:t>
      </w:r>
      <w:r>
        <w:rPr>
          <w:rFonts w:eastAsia="Calibri" w:cs="Arial"/>
        </w:rPr>
        <w:t xml:space="preserve"> to micro entities</w:t>
      </w:r>
      <w:r w:rsidRPr="004C69C2">
        <w:rPr>
          <w:rFonts w:eastAsia="Calibri" w:cs="Arial"/>
        </w:rPr>
        <w:t>). The</w:t>
      </w:r>
      <w:r>
        <w:rPr>
          <w:rFonts w:eastAsia="Calibri" w:cs="Arial"/>
        </w:rPr>
        <w:t xml:space="preserve"> DNSH analysis is then verified by </w:t>
      </w:r>
      <w:r w:rsidRPr="004C69C2">
        <w:rPr>
          <w:rFonts w:eastAsia="Calibri" w:cs="Arial"/>
        </w:rPr>
        <w:t xml:space="preserve">the </w:t>
      </w:r>
      <w:r>
        <w:rPr>
          <w:rFonts w:eastAsia="Calibri" w:cs="Arial"/>
        </w:rPr>
        <w:t>F</w:t>
      </w:r>
      <w:r w:rsidRPr="004C69C2">
        <w:rPr>
          <w:rFonts w:eastAsia="Calibri" w:cs="Arial"/>
        </w:rPr>
        <w:t>und</w:t>
      </w:r>
      <w:r>
        <w:rPr>
          <w:rFonts w:eastAsia="Calibri" w:cs="Arial"/>
        </w:rPr>
        <w:t>. For this step, the Fund</w:t>
      </w:r>
      <w:r w:rsidRPr="004C69C2">
        <w:rPr>
          <w:rFonts w:eastAsia="Calibri" w:cs="Arial"/>
        </w:rPr>
        <w:t xml:space="preserve"> usually hires a technical expert with </w:t>
      </w:r>
      <w:r>
        <w:rPr>
          <w:rFonts w:eastAsia="Calibri" w:cs="Arial"/>
        </w:rPr>
        <w:t xml:space="preserve">specific </w:t>
      </w:r>
      <w:r w:rsidRPr="004C69C2">
        <w:rPr>
          <w:rFonts w:eastAsia="Calibri" w:cs="Arial"/>
        </w:rPr>
        <w:t>technical expertise. Open issues and uncertainties discovered are managed by follow-up measures and reporting obligations.</w:t>
      </w:r>
    </w:p>
    <w:p w14:paraId="507ED410" w14:textId="77777777" w:rsidR="00C52545" w:rsidRPr="004C69C2" w:rsidRDefault="00C52545" w:rsidP="00C52545">
      <w:pPr>
        <w:rPr>
          <w:rFonts w:eastAsia="Calibri" w:cs="Arial"/>
        </w:rPr>
      </w:pPr>
      <w:r w:rsidRPr="004C69C2">
        <w:rPr>
          <w:rFonts w:eastAsia="Calibri" w:cs="Arial"/>
        </w:rPr>
        <w:t xml:space="preserve">Currently </w:t>
      </w:r>
      <w:r>
        <w:rPr>
          <w:rFonts w:eastAsia="Calibri" w:cs="Arial"/>
        </w:rPr>
        <w:t>the Fund</w:t>
      </w:r>
      <w:r w:rsidRPr="004C69C2">
        <w:rPr>
          <w:rFonts w:eastAsia="Calibri" w:cs="Arial"/>
        </w:rPr>
        <w:t xml:space="preserve"> appl</w:t>
      </w:r>
      <w:r>
        <w:rPr>
          <w:rFonts w:eastAsia="Calibri" w:cs="Arial"/>
        </w:rPr>
        <w:t>ies</w:t>
      </w:r>
      <w:r w:rsidRPr="004C69C2">
        <w:rPr>
          <w:rFonts w:eastAsia="Calibri" w:cs="Arial"/>
        </w:rPr>
        <w:t xml:space="preserve"> criteria from </w:t>
      </w:r>
      <w:r>
        <w:rPr>
          <w:rFonts w:eastAsia="Calibri" w:cs="Arial"/>
        </w:rPr>
        <w:t>(i</w:t>
      </w:r>
      <w:r w:rsidRPr="004C69C2">
        <w:rPr>
          <w:rFonts w:eastAsia="Calibri" w:cs="Arial"/>
        </w:rPr>
        <w:t xml:space="preserve">) the </w:t>
      </w:r>
      <w:r>
        <w:rPr>
          <w:rFonts w:eastAsia="Calibri" w:cs="Arial"/>
        </w:rPr>
        <w:t>EU T</w:t>
      </w:r>
      <w:r w:rsidRPr="004C69C2">
        <w:rPr>
          <w:rFonts w:eastAsia="Calibri" w:cs="Arial"/>
        </w:rPr>
        <w:t>axonomy delegated act</w:t>
      </w:r>
      <w:r>
        <w:rPr>
          <w:rFonts w:eastAsia="Calibri" w:cs="Arial"/>
        </w:rPr>
        <w:t>s</w:t>
      </w:r>
      <w:r w:rsidRPr="004C69C2">
        <w:rPr>
          <w:rFonts w:eastAsia="Calibri" w:cs="Arial"/>
        </w:rPr>
        <w:t xml:space="preserve"> and </w:t>
      </w:r>
      <w:r>
        <w:rPr>
          <w:rFonts w:eastAsia="Calibri" w:cs="Arial"/>
        </w:rPr>
        <w:t>(ii</w:t>
      </w:r>
      <w:r w:rsidRPr="004C69C2">
        <w:rPr>
          <w:rFonts w:eastAsia="Calibri" w:cs="Arial"/>
        </w:rPr>
        <w:t xml:space="preserve">) DNSH guidelines </w:t>
      </w:r>
      <w:r>
        <w:rPr>
          <w:rFonts w:eastAsia="Calibri" w:cs="Arial"/>
        </w:rPr>
        <w:t>prepared</w:t>
      </w:r>
      <w:r w:rsidRPr="004C69C2">
        <w:rPr>
          <w:rFonts w:eastAsia="Calibri" w:cs="Arial"/>
        </w:rPr>
        <w:t xml:space="preserve"> by the Finnish Environment Institute as a basis for </w:t>
      </w:r>
      <w:r>
        <w:rPr>
          <w:rFonts w:eastAsia="Calibri" w:cs="Arial"/>
        </w:rPr>
        <w:t>applying</w:t>
      </w:r>
      <w:r w:rsidRPr="004C69C2">
        <w:rPr>
          <w:rFonts w:eastAsia="Calibri" w:cs="Arial"/>
        </w:rPr>
        <w:t xml:space="preserve"> the DNSH principle.</w:t>
      </w:r>
      <w:r w:rsidRPr="004C69C2">
        <w:rPr>
          <w:rFonts w:ascii="Arial" w:eastAsia="Calibri" w:hAnsi="Arial" w:cs="Arial"/>
        </w:rPr>
        <w:t>​</w:t>
      </w:r>
      <w:r w:rsidRPr="004C69C2">
        <w:rPr>
          <w:rFonts w:eastAsia="Calibri" w:cs="Arial"/>
        </w:rPr>
        <w:t xml:space="preserve"> The process is always ongoing, and ready to incorporate further guidance when this is available, namely new EU </w:t>
      </w:r>
      <w:r>
        <w:rPr>
          <w:rFonts w:eastAsia="Calibri" w:cs="Arial"/>
        </w:rPr>
        <w:t>T</w:t>
      </w:r>
      <w:r w:rsidRPr="004C69C2">
        <w:rPr>
          <w:rFonts w:eastAsia="Calibri" w:cs="Arial"/>
        </w:rPr>
        <w:t>axonomy delegated acts</w:t>
      </w:r>
      <w:r w:rsidRPr="004C69C2">
        <w:rPr>
          <w:rFonts w:ascii="Arial" w:eastAsia="Calibri" w:hAnsi="Arial" w:cs="Arial"/>
        </w:rPr>
        <w:t>​</w:t>
      </w:r>
      <w:r w:rsidRPr="004C69C2">
        <w:rPr>
          <w:rFonts w:eastAsia="Calibri" w:cs="Arial"/>
        </w:rPr>
        <w:t xml:space="preserve"> and national guidelines (</w:t>
      </w:r>
      <w:r>
        <w:rPr>
          <w:rFonts w:eastAsia="Calibri" w:cs="Arial"/>
        </w:rPr>
        <w:t>developed through a TSI project</w:t>
      </w:r>
      <w:r w:rsidRPr="004C69C2">
        <w:rPr>
          <w:rFonts w:eastAsia="Calibri" w:cs="Arial"/>
        </w:rPr>
        <w:t>)</w:t>
      </w:r>
      <w:r w:rsidRPr="004C69C2">
        <w:rPr>
          <w:rFonts w:ascii="Arial" w:eastAsia="Calibri" w:hAnsi="Arial" w:cs="Arial"/>
        </w:rPr>
        <w:t>​</w:t>
      </w:r>
      <w:r>
        <w:rPr>
          <w:rFonts w:ascii="Arial" w:eastAsia="Calibri" w:hAnsi="Arial" w:cs="Arial"/>
        </w:rPr>
        <w:t>.</w:t>
      </w:r>
    </w:p>
    <w:p w14:paraId="2C9A4F31" w14:textId="77777777" w:rsidR="00C52545" w:rsidRPr="004C69C2" w:rsidRDefault="00C52545" w:rsidP="00C52545">
      <w:pPr>
        <w:rPr>
          <w:rFonts w:eastAsia="Calibri" w:cs="Arial"/>
        </w:rPr>
      </w:pPr>
    </w:p>
    <w:p w14:paraId="36DCDB6D" w14:textId="77777777" w:rsidR="00C52545"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225" w:name="_Toc127978771"/>
      <w:bookmarkStart w:id="226" w:name="_Toc131757519"/>
      <w:bookmarkStart w:id="227" w:name="_Toc131775912"/>
      <w:r w:rsidRPr="004C69C2">
        <w:rPr>
          <w:rFonts w:eastAsia="Calibri" w:cs="Arial"/>
          <w:b/>
          <w:i/>
          <w:color w:val="F04E30"/>
          <w:lang w:val="en-GB"/>
        </w:rPr>
        <w:t>Moving forward: learnings and challenges ahead</w:t>
      </w:r>
      <w:bookmarkEnd w:id="225"/>
      <w:bookmarkEnd w:id="226"/>
      <w:bookmarkEnd w:id="227"/>
    </w:p>
    <w:p w14:paraId="51DAA928" w14:textId="77777777" w:rsidR="00C52545" w:rsidRPr="004C69C2" w:rsidRDefault="00C52545" w:rsidP="007608BA">
      <w:r>
        <w:t>Lessons learnt and challenges are raised:</w:t>
      </w:r>
    </w:p>
    <w:p w14:paraId="4C984516" w14:textId="77777777" w:rsidR="00C52545" w:rsidRPr="004C69C2" w:rsidRDefault="00C52545" w:rsidP="00C52545">
      <w:pPr>
        <w:pStyle w:val="lp11"/>
        <w:numPr>
          <w:ilvl w:val="0"/>
          <w:numId w:val="8"/>
        </w:numPr>
      </w:pPr>
      <w:r>
        <w:t xml:space="preserve">The </w:t>
      </w:r>
      <w:r w:rsidRPr="1E4C0714">
        <w:t xml:space="preserve">DNSH </w:t>
      </w:r>
      <w:r>
        <w:t xml:space="preserve">principle </w:t>
      </w:r>
      <w:r w:rsidRPr="1E4C0714">
        <w:t>is still in development. It is also new to companies, so they need support;</w:t>
      </w:r>
    </w:p>
    <w:p w14:paraId="089F49DE" w14:textId="77777777" w:rsidR="00C52545" w:rsidRPr="004C69C2" w:rsidRDefault="00C52545" w:rsidP="00C52545">
      <w:pPr>
        <w:pStyle w:val="lp11"/>
        <w:numPr>
          <w:ilvl w:val="0"/>
          <w:numId w:val="8"/>
        </w:numPr>
      </w:pPr>
      <w:r w:rsidRPr="004C69C2">
        <w:t xml:space="preserve">Many DNSH criteria </w:t>
      </w:r>
      <w:r>
        <w:t>regard</w:t>
      </w:r>
      <w:r w:rsidRPr="004C69C2">
        <w:t xml:space="preserve"> the operational phase and cannot be checked beforehand</w:t>
      </w:r>
      <w:r>
        <w:t xml:space="preserve">. Similarly, </w:t>
      </w:r>
      <w:r w:rsidRPr="004C69C2">
        <w:t xml:space="preserve">in many cases EIA and environmental permitting </w:t>
      </w:r>
      <w:r>
        <w:t>support the application of the DNSH</w:t>
      </w:r>
      <w:r w:rsidRPr="004C69C2">
        <w:t xml:space="preserve"> only in the later phase</w:t>
      </w:r>
      <w:r>
        <w:t xml:space="preserve"> of the project</w:t>
      </w:r>
      <w:r w:rsidRPr="004C69C2">
        <w:t>;</w:t>
      </w:r>
    </w:p>
    <w:p w14:paraId="61E17A33" w14:textId="77777777" w:rsidR="00C52545" w:rsidRPr="004C69C2" w:rsidRDefault="00C52545" w:rsidP="00C52545">
      <w:pPr>
        <w:pStyle w:val="lp11"/>
        <w:numPr>
          <w:ilvl w:val="0"/>
          <w:numId w:val="8"/>
        </w:numPr>
      </w:pPr>
      <w:r>
        <w:t xml:space="preserve">It </w:t>
      </w:r>
      <w:r w:rsidRPr="1E4C0714">
        <w:t xml:space="preserve">would be helpful that requirements are clearer at </w:t>
      </w:r>
      <w:r>
        <w:t xml:space="preserve">the </w:t>
      </w:r>
      <w:r w:rsidRPr="1E4C0714">
        <w:t>legislative level;</w:t>
      </w:r>
    </w:p>
    <w:p w14:paraId="2219EB58" w14:textId="77777777" w:rsidR="00C52545" w:rsidRPr="004C69C2" w:rsidRDefault="00C52545" w:rsidP="00C52545">
      <w:pPr>
        <w:pStyle w:val="lp11"/>
        <w:numPr>
          <w:ilvl w:val="0"/>
          <w:numId w:val="8"/>
        </w:numPr>
      </w:pPr>
      <w:r>
        <w:t>The notion of</w:t>
      </w:r>
      <w:r w:rsidRPr="1E4C0714">
        <w:t xml:space="preserve"> “sufficient” level of analysis is</w:t>
      </w:r>
      <w:r>
        <w:t xml:space="preserve"> unclear and difficult to define</w:t>
      </w:r>
      <w:r w:rsidRPr="1E4C0714">
        <w:t>;</w:t>
      </w:r>
    </w:p>
    <w:p w14:paraId="57664943" w14:textId="77777777" w:rsidR="00C52545" w:rsidRPr="004C69C2" w:rsidRDefault="00C52545" w:rsidP="00C52545">
      <w:pPr>
        <w:pStyle w:val="lp11"/>
        <w:numPr>
          <w:ilvl w:val="0"/>
          <w:numId w:val="8"/>
        </w:numPr>
      </w:pPr>
      <w:r w:rsidRPr="004C69C2">
        <w:t>Benchmarks and examples will be very useful for different types of projects (e.g.</w:t>
      </w:r>
      <w:r>
        <w:t>,</w:t>
      </w:r>
      <w:r w:rsidRPr="004C69C2">
        <w:t xml:space="preserve"> </w:t>
      </w:r>
      <w:r>
        <w:t>to have examples of how to analyse data</w:t>
      </w:r>
      <w:r w:rsidRPr="004C69C2">
        <w:t>);</w:t>
      </w:r>
    </w:p>
    <w:p w14:paraId="0A157552" w14:textId="77777777" w:rsidR="00C52545" w:rsidRPr="004C69C2" w:rsidRDefault="00C52545" w:rsidP="00C52545">
      <w:pPr>
        <w:pStyle w:val="lp11"/>
        <w:numPr>
          <w:ilvl w:val="0"/>
          <w:numId w:val="8"/>
        </w:numPr>
      </w:pPr>
      <w:r w:rsidRPr="004C69C2">
        <w:t xml:space="preserve">One needs to have quite specific knowledge to do this analysis. The expert(s) need to know </w:t>
      </w:r>
      <w:r>
        <w:t xml:space="preserve">well the national </w:t>
      </w:r>
      <w:r w:rsidRPr="004C69C2">
        <w:t xml:space="preserve">legislation, specifically in technology. This is the reason </w:t>
      </w:r>
      <w:r>
        <w:t xml:space="preserve">why </w:t>
      </w:r>
      <w:r w:rsidRPr="004C69C2">
        <w:t xml:space="preserve">the </w:t>
      </w:r>
      <w:r>
        <w:t>F</w:t>
      </w:r>
      <w:r w:rsidRPr="004C69C2">
        <w:t>und uses external advisors in the evaluation phase;</w:t>
      </w:r>
    </w:p>
    <w:p w14:paraId="7442866E" w14:textId="77777777" w:rsidR="00C52545" w:rsidRPr="004C69C2" w:rsidRDefault="00C52545" w:rsidP="00C52545">
      <w:pPr>
        <w:pStyle w:val="lp11"/>
        <w:numPr>
          <w:ilvl w:val="0"/>
          <w:numId w:val="8"/>
        </w:numPr>
      </w:pPr>
      <w:r w:rsidRPr="004C69C2">
        <w:t>One thing that is being considered is the accreditation of advisors;</w:t>
      </w:r>
    </w:p>
    <w:p w14:paraId="372C1A48" w14:textId="77777777" w:rsidR="00C52545" w:rsidRPr="004C69C2" w:rsidRDefault="00C52545" w:rsidP="00C52545">
      <w:pPr>
        <w:pStyle w:val="lp11"/>
        <w:numPr>
          <w:ilvl w:val="0"/>
          <w:numId w:val="8"/>
        </w:numPr>
      </w:pPr>
      <w:r>
        <w:t>Despite efforts to limit the administrative burden, any</w:t>
      </w:r>
      <w:r w:rsidRPr="1E4C0714">
        <w:t xml:space="preserve"> analysis brings transactional costs. </w:t>
      </w:r>
    </w:p>
    <w:p w14:paraId="31F8FA6C" w14:textId="77777777" w:rsidR="00C52545" w:rsidRPr="004C69C2" w:rsidRDefault="00C52545" w:rsidP="00C52545">
      <w:pPr>
        <w:tabs>
          <w:tab w:val="left" w:pos="851"/>
        </w:tabs>
        <w:ind w:left="720"/>
        <w:contextualSpacing/>
        <w:rPr>
          <w:rFonts w:eastAsia="Calibri" w:cs="Arial"/>
          <w:lang w:val="en-GB"/>
        </w:rPr>
      </w:pPr>
    </w:p>
    <w:p w14:paraId="37ABD8E7" w14:textId="77777777" w:rsidR="00C52545" w:rsidRPr="004C69C2" w:rsidRDefault="00C52545" w:rsidP="007608BA">
      <w:pPr>
        <w:numPr>
          <w:ilvl w:val="1"/>
          <w:numId w:val="0"/>
        </w:numPr>
        <w:tabs>
          <w:tab w:val="left" w:pos="851"/>
        </w:tabs>
        <w:spacing w:before="120" w:after="120"/>
        <w:ind w:left="1134" w:hanging="567"/>
        <w:contextualSpacing/>
        <w:outlineLvl w:val="1"/>
        <w:rPr>
          <w:rFonts w:eastAsia="Calibri" w:cs="Arial"/>
          <w:b/>
          <w:color w:val="005962"/>
          <w:sz w:val="24"/>
          <w:lang w:val="de-DE"/>
        </w:rPr>
      </w:pPr>
      <w:bookmarkStart w:id="228" w:name="_Toc127978772"/>
      <w:bookmarkStart w:id="229" w:name="_Toc131757520"/>
      <w:bookmarkStart w:id="230" w:name="_Toc131775913"/>
      <w:r w:rsidRPr="004C69C2">
        <w:rPr>
          <w:rFonts w:eastAsia="Calibri" w:cs="Arial"/>
          <w:b/>
          <w:color w:val="005962"/>
          <w:sz w:val="24"/>
          <w:lang w:val="de-DE"/>
        </w:rPr>
        <w:t>Moritz Schwarz &amp; Kerstin Haider – Ministry of Finance (Austria)</w:t>
      </w:r>
      <w:bookmarkEnd w:id="228"/>
      <w:bookmarkEnd w:id="229"/>
      <w:bookmarkEnd w:id="230"/>
    </w:p>
    <w:p w14:paraId="56ACDD53"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231" w:name="_Toc127978773"/>
      <w:bookmarkStart w:id="232" w:name="_Toc131757521"/>
      <w:bookmarkStart w:id="233" w:name="_Toc131775914"/>
      <w:r w:rsidRPr="004C69C2">
        <w:rPr>
          <w:rFonts w:eastAsia="Calibri" w:cs="Arial"/>
          <w:b/>
          <w:i/>
          <w:color w:val="F04E30"/>
          <w:lang w:val="en-GB"/>
        </w:rPr>
        <w:t>Context</w:t>
      </w:r>
      <w:bookmarkEnd w:id="231"/>
      <w:bookmarkEnd w:id="232"/>
      <w:bookmarkEnd w:id="233"/>
    </w:p>
    <w:p w14:paraId="40B396F6" w14:textId="77777777" w:rsidR="00C52545" w:rsidRPr="004C69C2" w:rsidRDefault="00C52545" w:rsidP="00C52545">
      <w:pPr>
        <w:rPr>
          <w:rFonts w:eastAsia="Calibri" w:cs="Arial"/>
        </w:rPr>
      </w:pPr>
      <w:r w:rsidRPr="004C69C2">
        <w:rPr>
          <w:rFonts w:eastAsia="Calibri" w:cs="Arial"/>
        </w:rPr>
        <w:t>In Austria, green budgeting is fully led by the Ministry of Finance, both strategically and operationally. The Ministry engages in a holistic approach to review all aspects of the budget. In that regard, the exercise goes further than the analysis of budget lines – it facilitated the emission of a green bond, it led to macro-economic modelling of GHG effects, and to upgraded methodologies for impact assessments.</w:t>
      </w:r>
    </w:p>
    <w:p w14:paraId="44B34517" w14:textId="77777777" w:rsidR="00C52545" w:rsidRPr="004C69C2" w:rsidRDefault="00C52545" w:rsidP="00C52545">
      <w:pPr>
        <w:rPr>
          <w:rFonts w:eastAsia="Calibri" w:cs="Arial"/>
        </w:rPr>
      </w:pPr>
    </w:p>
    <w:p w14:paraId="2C6E6883"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234" w:name="_Toc127978774"/>
      <w:bookmarkStart w:id="235" w:name="_Toc131757522"/>
      <w:bookmarkStart w:id="236" w:name="_Toc131775915"/>
      <w:r w:rsidRPr="004C69C2">
        <w:rPr>
          <w:rFonts w:eastAsia="Calibri" w:cs="Arial"/>
          <w:b/>
          <w:i/>
          <w:color w:val="F04E30"/>
          <w:lang w:val="en-GB"/>
        </w:rPr>
        <w:t>Presentation of the methodology</w:t>
      </w:r>
      <w:bookmarkEnd w:id="234"/>
      <w:bookmarkEnd w:id="235"/>
      <w:bookmarkEnd w:id="236"/>
    </w:p>
    <w:p w14:paraId="22AC254F" w14:textId="77777777" w:rsidR="00C52545" w:rsidRPr="004C69C2" w:rsidRDefault="00C52545" w:rsidP="00C52545">
      <w:pPr>
        <w:rPr>
          <w:rFonts w:eastAsia="Calibri" w:cs="Arial"/>
        </w:rPr>
      </w:pPr>
      <w:r w:rsidRPr="004C69C2">
        <w:rPr>
          <w:rFonts w:eastAsia="Calibri" w:cs="Arial"/>
        </w:rPr>
        <w:t>A set of principles guides green budgeting in Austria:</w:t>
      </w:r>
    </w:p>
    <w:p w14:paraId="4120189F" w14:textId="77777777" w:rsidR="00C52545" w:rsidRPr="004C69C2" w:rsidRDefault="00C52545" w:rsidP="00C52545">
      <w:pPr>
        <w:pStyle w:val="lp11"/>
        <w:numPr>
          <w:ilvl w:val="0"/>
          <w:numId w:val="8"/>
        </w:numPr>
      </w:pPr>
      <w:r w:rsidRPr="004C69C2">
        <w:t>Having a holistic approach: all types of policies are reviewed, disregarding the Ministry or the authority in charge;</w:t>
      </w:r>
    </w:p>
    <w:p w14:paraId="075D6C33" w14:textId="77777777" w:rsidR="00C52545" w:rsidRPr="004C69C2" w:rsidRDefault="00C52545" w:rsidP="00C52545">
      <w:pPr>
        <w:pStyle w:val="lp11"/>
        <w:numPr>
          <w:ilvl w:val="0"/>
          <w:numId w:val="8"/>
        </w:numPr>
      </w:pPr>
      <w:r w:rsidRPr="004C69C2">
        <w:t>Review all instruments: this includes taxes, tax breaks, expenditures, revenues;</w:t>
      </w:r>
    </w:p>
    <w:p w14:paraId="260C8B3D" w14:textId="77777777" w:rsidR="00C52545" w:rsidRPr="004C69C2" w:rsidRDefault="00C52545" w:rsidP="00C52545">
      <w:pPr>
        <w:pStyle w:val="lp11"/>
        <w:numPr>
          <w:ilvl w:val="0"/>
          <w:numId w:val="8"/>
        </w:numPr>
      </w:pPr>
      <w:r w:rsidRPr="004C69C2">
        <w:t>Adopt a step-wise approach: due to the role of regions, the Ministry intends to extend its approach to regional budgeting, beyond federal expenditure;</w:t>
      </w:r>
    </w:p>
    <w:p w14:paraId="4A466B2A" w14:textId="77777777" w:rsidR="00C52545" w:rsidRPr="004C69C2" w:rsidRDefault="00C52545" w:rsidP="00C52545">
      <w:pPr>
        <w:pStyle w:val="lp11"/>
        <w:numPr>
          <w:ilvl w:val="0"/>
          <w:numId w:val="8"/>
        </w:numPr>
      </w:pPr>
      <w:r w:rsidRPr="004C69C2">
        <w:t>Interlink green budgeting with DNSH – this aspect is the next goal of the Ministry.</w:t>
      </w:r>
    </w:p>
    <w:p w14:paraId="0A8A1974" w14:textId="77777777" w:rsidR="00C52545" w:rsidRPr="004C69C2" w:rsidRDefault="00C52545" w:rsidP="00C52545">
      <w:pPr>
        <w:rPr>
          <w:rFonts w:eastAsia="Calibri" w:cs="Arial"/>
        </w:rPr>
      </w:pPr>
    </w:p>
    <w:p w14:paraId="6EFF3FE5" w14:textId="77777777" w:rsidR="00C52545" w:rsidRPr="004C69C2" w:rsidRDefault="00C52545" w:rsidP="00C52545">
      <w:pPr>
        <w:rPr>
          <w:rFonts w:eastAsia="Calibri" w:cs="Arial"/>
        </w:rPr>
      </w:pPr>
      <w:r w:rsidRPr="004C69C2">
        <w:rPr>
          <w:rFonts w:eastAsia="Calibri" w:cs="Arial"/>
        </w:rPr>
        <w:lastRenderedPageBreak/>
        <w:t xml:space="preserve">This resulted in the review of around 38.000 budget lines. In practice, it required to identify the smaller common denominator across all lines (i.e., their description). The key was to differentiate between the input of the line (funding) and the output (impacts). Grasping the nature and magnitude of the outputs required new approaches. The first step consisted in clarifying whether the line is relevant in terms of climate or environmental effects. It was found that 10% of the expenditure and revenues are relevant – thus calling for an additional analysis to determine the approximate impact. This impact is evaluated through the </w:t>
      </w:r>
      <w:r w:rsidRPr="004C69C2">
        <w:rPr>
          <w:rFonts w:eastAsia="Calibri" w:cs="Arial"/>
          <w:i/>
          <w:iCs/>
        </w:rPr>
        <w:t>intention</w:t>
      </w:r>
      <w:r w:rsidRPr="004C69C2">
        <w:rPr>
          <w:rFonts w:eastAsia="Calibri" w:cs="Arial"/>
        </w:rPr>
        <w:t xml:space="preserve"> of the budget line. It can be positive or negative (a scale of 6 scores is used), or neutral (i.e., relevance is observed but no effects on productivity are expected). At the aggregated level, budget chapters receive a score that translates the total score. For instance, the budget for transport received a high score overall, with approximately 4.5 billion euros expected to lead to positive side effects on productivity.</w:t>
      </w:r>
    </w:p>
    <w:p w14:paraId="51431C57" w14:textId="77777777" w:rsidR="00C52545" w:rsidRPr="004C69C2" w:rsidRDefault="00C52545" w:rsidP="00C52545">
      <w:pPr>
        <w:rPr>
          <w:rFonts w:eastAsia="Calibri" w:cs="Arial"/>
        </w:rPr>
      </w:pPr>
    </w:p>
    <w:p w14:paraId="16A32208"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237" w:name="_Toc127978775"/>
      <w:bookmarkStart w:id="238" w:name="_Toc131757523"/>
      <w:bookmarkStart w:id="239" w:name="_Toc131775916"/>
      <w:r w:rsidRPr="004C69C2">
        <w:rPr>
          <w:rFonts w:eastAsia="Calibri" w:cs="Arial"/>
          <w:b/>
          <w:i/>
          <w:color w:val="F04E30"/>
          <w:lang w:val="en-GB"/>
        </w:rPr>
        <w:t>Interlinkages with the DNSH principle</w:t>
      </w:r>
      <w:bookmarkEnd w:id="237"/>
      <w:bookmarkEnd w:id="238"/>
      <w:bookmarkEnd w:id="239"/>
    </w:p>
    <w:p w14:paraId="0B5D3A04" w14:textId="77777777" w:rsidR="00C52545" w:rsidRPr="004C69C2" w:rsidRDefault="00C52545" w:rsidP="00C52545">
      <w:pPr>
        <w:rPr>
          <w:rFonts w:eastAsia="Calibri" w:cs="Arial"/>
        </w:rPr>
      </w:pPr>
      <w:r w:rsidRPr="004C69C2">
        <w:rPr>
          <w:rFonts w:eastAsia="Calibri" w:cs="Arial"/>
        </w:rPr>
        <w:t>How can this methodology be linked to DNSH? The creation of synergies between green budgeting and DNSH is a prime goal of the Ministry for the coming year.</w:t>
      </w:r>
    </w:p>
    <w:p w14:paraId="12876C45" w14:textId="77777777" w:rsidR="00C52545" w:rsidRPr="004C69C2" w:rsidRDefault="00C52545" w:rsidP="00C52545">
      <w:pPr>
        <w:rPr>
          <w:rFonts w:eastAsia="Calibri" w:cs="Arial"/>
        </w:rPr>
      </w:pPr>
      <w:r w:rsidRPr="004C69C2">
        <w:rPr>
          <w:rFonts w:eastAsia="Calibri" w:cs="Arial"/>
        </w:rPr>
        <w:t>Conceptually, green budgeting can be used to estimate DNSH compliance. The approach of the Ministry consists in the following steps:</w:t>
      </w:r>
    </w:p>
    <w:p w14:paraId="70514B1C" w14:textId="77777777" w:rsidR="00C52545" w:rsidRPr="00590637" w:rsidRDefault="00C52545" w:rsidP="00C52545">
      <w:pPr>
        <w:pStyle w:val="Odstavecseseznamem"/>
        <w:numPr>
          <w:ilvl w:val="3"/>
          <w:numId w:val="54"/>
        </w:numPr>
        <w:rPr>
          <w:rFonts w:eastAsia="Calibri" w:cs="Arial"/>
        </w:rPr>
      </w:pPr>
      <w:r w:rsidRPr="00590637">
        <w:rPr>
          <w:rFonts w:eastAsia="Calibri" w:cs="Arial"/>
        </w:rPr>
        <w:t>In case a budget line if not considered as relevant for climate and environment, it is considered DNSH compliant</w:t>
      </w:r>
    </w:p>
    <w:p w14:paraId="79BB6C47" w14:textId="77777777" w:rsidR="00C52545" w:rsidRPr="00590637" w:rsidRDefault="00C52545" w:rsidP="00C52545">
      <w:pPr>
        <w:pStyle w:val="Odstavecseseznamem"/>
        <w:numPr>
          <w:ilvl w:val="3"/>
          <w:numId w:val="54"/>
        </w:numPr>
        <w:rPr>
          <w:rFonts w:eastAsia="Calibri" w:cs="Arial"/>
        </w:rPr>
      </w:pPr>
      <w:r w:rsidRPr="00590637">
        <w:rPr>
          <w:rFonts w:eastAsia="Calibri" w:cs="Arial"/>
        </w:rPr>
        <w:t>If not, the green budgeting methodology is used for each of the 6 environmental objectives to determine the compliance (or, alternatively, the need for further assessments) of the budget line. In practice, this means that, for each of the objectives, a score is attributed to the budget line:</w:t>
      </w:r>
    </w:p>
    <w:p w14:paraId="2635CA6B" w14:textId="77777777" w:rsidR="00C52545" w:rsidRPr="00590637" w:rsidRDefault="00C52545" w:rsidP="00C52545">
      <w:pPr>
        <w:pStyle w:val="Odstavecseseznamem"/>
        <w:numPr>
          <w:ilvl w:val="4"/>
          <w:numId w:val="54"/>
        </w:numPr>
        <w:rPr>
          <w:rFonts w:eastAsia="Calibri" w:cs="Arial"/>
        </w:rPr>
      </w:pPr>
      <w:r w:rsidRPr="00590637">
        <w:rPr>
          <w:rFonts w:eastAsia="Calibri" w:cs="Arial"/>
        </w:rPr>
        <w:t>If the scores “intended counter-productivity”, “counter-productivity as a side effect” or “effect unclear” are attributed, an additional DNSH assessment is needed.</w:t>
      </w:r>
    </w:p>
    <w:p w14:paraId="78A330A0" w14:textId="77777777" w:rsidR="00C52545" w:rsidRPr="00590637" w:rsidRDefault="00C52545" w:rsidP="00C52545">
      <w:pPr>
        <w:pStyle w:val="Odstavecseseznamem"/>
        <w:numPr>
          <w:ilvl w:val="4"/>
          <w:numId w:val="54"/>
        </w:numPr>
        <w:rPr>
          <w:rFonts w:eastAsia="Calibri" w:cs="Arial"/>
        </w:rPr>
      </w:pPr>
      <w:r w:rsidRPr="00590637">
        <w:rPr>
          <w:rFonts w:eastAsia="Calibri" w:cs="Arial"/>
        </w:rPr>
        <w:t>If the scores “no effect”, “productivity as a side effect” or “intended productivity” are attributed, the budget line is considered as compliant with the DNSH principle.</w:t>
      </w:r>
    </w:p>
    <w:p w14:paraId="278D6E73" w14:textId="77777777" w:rsidR="00C52545" w:rsidRPr="004C69C2" w:rsidRDefault="00C52545" w:rsidP="00C52545">
      <w:pPr>
        <w:rPr>
          <w:rFonts w:eastAsia="Calibri" w:cs="Arial"/>
        </w:rPr>
      </w:pPr>
    </w:p>
    <w:p w14:paraId="77D30339" w14:textId="77777777" w:rsidR="00C52545" w:rsidRPr="004C69C2" w:rsidRDefault="00C52545" w:rsidP="007608BA">
      <w:pPr>
        <w:numPr>
          <w:ilvl w:val="2"/>
          <w:numId w:val="0"/>
        </w:numPr>
        <w:tabs>
          <w:tab w:val="left" w:pos="851"/>
        </w:tabs>
        <w:ind w:left="1134" w:hanging="567"/>
        <w:contextualSpacing/>
        <w:outlineLvl w:val="2"/>
        <w:rPr>
          <w:rFonts w:eastAsia="Calibri" w:cs="Arial"/>
          <w:b/>
          <w:i/>
          <w:color w:val="F04E30"/>
          <w:lang w:val="en-GB"/>
        </w:rPr>
      </w:pPr>
      <w:bookmarkStart w:id="240" w:name="_Toc127978776"/>
      <w:bookmarkStart w:id="241" w:name="_Toc131757524"/>
      <w:bookmarkStart w:id="242" w:name="_Toc131775917"/>
      <w:r w:rsidRPr="004C69C2">
        <w:rPr>
          <w:rFonts w:eastAsia="Calibri" w:cs="Arial"/>
          <w:b/>
          <w:i/>
          <w:color w:val="F04E30"/>
          <w:lang w:val="en-GB"/>
        </w:rPr>
        <w:t>Challenges</w:t>
      </w:r>
      <w:bookmarkEnd w:id="240"/>
      <w:bookmarkEnd w:id="241"/>
      <w:bookmarkEnd w:id="242"/>
    </w:p>
    <w:p w14:paraId="752F8C8D" w14:textId="77777777" w:rsidR="00C52545" w:rsidRPr="004C69C2" w:rsidRDefault="00C52545" w:rsidP="00C52545">
      <w:pPr>
        <w:rPr>
          <w:rFonts w:eastAsia="Calibri" w:cs="Arial"/>
          <w:lang w:val="en-GB"/>
        </w:rPr>
      </w:pPr>
      <w:r w:rsidRPr="004C69C2">
        <w:rPr>
          <w:rFonts w:eastAsia="Calibri" w:cs="Arial"/>
          <w:lang w:val="en-GB"/>
        </w:rPr>
        <w:t>Two types of challenges emerge:</w:t>
      </w:r>
    </w:p>
    <w:p w14:paraId="3C2FFE53" w14:textId="77777777" w:rsidR="00C52545" w:rsidRPr="007121E1" w:rsidRDefault="00C52545" w:rsidP="00C52545">
      <w:pPr>
        <w:pStyle w:val="lp11"/>
        <w:numPr>
          <w:ilvl w:val="0"/>
          <w:numId w:val="8"/>
        </w:numPr>
      </w:pPr>
      <w:r w:rsidRPr="004C69C2">
        <w:t>Institutional challenges:</w:t>
      </w:r>
      <w:r>
        <w:t xml:space="preserve"> </w:t>
      </w:r>
      <w:r w:rsidRPr="007121E1">
        <w:rPr>
          <w:rFonts w:eastAsia="Calibri" w:cs="Arial"/>
        </w:rPr>
        <w:t>Convincing all line Ministries and departments of the relevance of green budgeting is a hurdle.</w:t>
      </w:r>
    </w:p>
    <w:p w14:paraId="183C8ECC" w14:textId="77777777" w:rsidR="00C52545" w:rsidRPr="007121E1" w:rsidRDefault="00C52545" w:rsidP="00C52545">
      <w:pPr>
        <w:pStyle w:val="lp11"/>
        <w:numPr>
          <w:ilvl w:val="0"/>
          <w:numId w:val="8"/>
        </w:numPr>
      </w:pPr>
      <w:r w:rsidRPr="007121E1">
        <w:rPr>
          <w:rFonts w:eastAsia="Calibri" w:cs="Arial"/>
        </w:rPr>
        <w:t>Methodological challenges:</w:t>
      </w:r>
      <w:r>
        <w:rPr>
          <w:rFonts w:eastAsia="Calibri" w:cs="Arial"/>
        </w:rPr>
        <w:t xml:space="preserve"> </w:t>
      </w:r>
      <w:r w:rsidRPr="007121E1">
        <w:rPr>
          <w:rFonts w:eastAsia="Calibri" w:cs="Arial"/>
        </w:rPr>
        <w:t>It is difficult to strike a balance between granularity and usability: in can of various scores for a budget line, the variety can be recognised or the predominance principle followed</w:t>
      </w:r>
      <w:r>
        <w:rPr>
          <w:rFonts w:eastAsia="Calibri" w:cs="Arial"/>
        </w:rPr>
        <w:t>.</w:t>
      </w:r>
      <w:r>
        <w:t xml:space="preserve"> In addition, a</w:t>
      </w:r>
      <w:r w:rsidRPr="007121E1">
        <w:rPr>
          <w:rFonts w:eastAsia="Calibri" w:cs="Arial"/>
        </w:rPr>
        <w:t xml:space="preserve"> solution must be found for those scores that may be modified after the budget lines’ implementation has been monitored</w:t>
      </w:r>
      <w:r>
        <w:rPr>
          <w:rFonts w:eastAsia="Calibri" w:cs="Arial"/>
        </w:rPr>
        <w:t>. Moreover, r</w:t>
      </w:r>
      <w:r w:rsidRPr="007121E1">
        <w:rPr>
          <w:rFonts w:eastAsia="Calibri" w:cs="Arial"/>
        </w:rPr>
        <w:t xml:space="preserve">ebound effects must be </w:t>
      </w:r>
      <w:r>
        <w:rPr>
          <w:rFonts w:eastAsia="Calibri" w:cs="Arial"/>
        </w:rPr>
        <w:t>accounted for. Finally, a</w:t>
      </w:r>
      <w:r w:rsidRPr="007121E1">
        <w:rPr>
          <w:rFonts w:eastAsia="Calibri" w:cs="Arial"/>
        </w:rPr>
        <w:t xml:space="preserve"> quality assurance process must be defined to ensure the solidity of the scoring (potentially for each of the 38.000 budget lines).</w:t>
      </w:r>
    </w:p>
    <w:p w14:paraId="5633A9CB" w14:textId="77777777" w:rsidR="00AD0FB6" w:rsidRDefault="00AD0FB6" w:rsidP="00BD0C04">
      <w:bookmarkStart w:id="243" w:name="_Toc127978777"/>
      <w:bookmarkStart w:id="244" w:name="_Toc131757525"/>
    </w:p>
    <w:p w14:paraId="663ED703" w14:textId="7ED8975C" w:rsidR="00C52545" w:rsidRPr="004C69C2" w:rsidRDefault="00C52545" w:rsidP="00AD0FB6">
      <w:pPr>
        <w:pStyle w:val="Nadpis2"/>
        <w:numPr>
          <w:ilvl w:val="0"/>
          <w:numId w:val="0"/>
        </w:numPr>
        <w:ind w:left="567"/>
      </w:pPr>
      <w:bookmarkStart w:id="245" w:name="_Toc131775918"/>
      <w:r w:rsidRPr="004C69C2">
        <w:t>Panel discussion</w:t>
      </w:r>
      <w:bookmarkEnd w:id="243"/>
      <w:bookmarkEnd w:id="244"/>
      <w:bookmarkEnd w:id="245"/>
    </w:p>
    <w:p w14:paraId="13CB830E" w14:textId="77777777" w:rsidR="00C52545" w:rsidRPr="004C69C2" w:rsidRDefault="00C52545" w:rsidP="00C52545">
      <w:pPr>
        <w:tabs>
          <w:tab w:val="left" w:pos="851"/>
        </w:tabs>
        <w:contextualSpacing/>
        <w:rPr>
          <w:rFonts w:eastAsia="Calibri" w:cs="Arial"/>
          <w:lang w:val="en-GB"/>
        </w:rPr>
      </w:pPr>
      <w:r w:rsidRPr="004C69C2">
        <w:rPr>
          <w:rFonts w:eastAsia="Calibri" w:cs="Arial"/>
          <w:b/>
          <w:bCs/>
          <w:color w:val="F04E30"/>
          <w:lang w:val="en-GB"/>
        </w:rPr>
        <w:t>Project team</w:t>
      </w:r>
      <w:r w:rsidRPr="004C69C2">
        <w:rPr>
          <w:rFonts w:eastAsia="Calibri" w:cs="Arial"/>
          <w:lang w:val="en-GB"/>
        </w:rPr>
        <w:t xml:space="preserve">: Are there provisions when there are no DNSH </w:t>
      </w:r>
      <w:r>
        <w:rPr>
          <w:rFonts w:eastAsia="Calibri" w:cs="Arial"/>
          <w:lang w:val="en-GB"/>
        </w:rPr>
        <w:t>TSC</w:t>
      </w:r>
      <w:r w:rsidRPr="004C69C2">
        <w:rPr>
          <w:rFonts w:eastAsia="Calibri" w:cs="Arial"/>
          <w:lang w:val="en-GB"/>
        </w:rPr>
        <w:t>? If not, how do you deal with these cases? How do you deal with green technology projects?</w:t>
      </w:r>
    </w:p>
    <w:p w14:paraId="016F7852"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Lucía Cobo</w:t>
      </w:r>
      <w:r w:rsidRPr="004C69C2">
        <w:rPr>
          <w:rFonts w:eastAsia="Calibri" w:cs="Arial"/>
          <w:lang w:val="en-GB"/>
        </w:rPr>
        <w:t xml:space="preserve">: There are many economic activities that are not covered in the delegated acts. During discussions on the platform of sustainable finance it is noticeable that a lot of sectors are lobbying to have their activities in the taxonomy regulation. This case is particularly noteworthy due to the </w:t>
      </w:r>
      <w:r w:rsidRPr="004C69C2">
        <w:rPr>
          <w:rFonts w:eastAsia="Calibri" w:cs="Arial"/>
          <w:lang w:val="en-GB"/>
        </w:rPr>
        <w:lastRenderedPageBreak/>
        <w:t xml:space="preserve">significant number of activities falling under R&amp;D, accounting for 16% of the </w:t>
      </w:r>
      <w:r>
        <w:rPr>
          <w:rFonts w:eastAsia="Calibri" w:cs="Arial"/>
          <w:lang w:val="en-GB"/>
        </w:rPr>
        <w:t xml:space="preserve">Spanish </w:t>
      </w:r>
      <w:r w:rsidRPr="004C69C2">
        <w:rPr>
          <w:rFonts w:eastAsia="Calibri" w:cs="Arial"/>
          <w:lang w:val="en-GB"/>
        </w:rPr>
        <w:t xml:space="preserve">RRP budget, which amounts to 11 billion euros, comprising 30 measures and sub-measures for technology and innovation. To resolve this the Spanish </w:t>
      </w:r>
      <w:r>
        <w:rPr>
          <w:rFonts w:eastAsia="Calibri" w:cs="Arial"/>
          <w:lang w:val="en-GB"/>
        </w:rPr>
        <w:t>Ministry</w:t>
      </w:r>
      <w:r w:rsidRPr="004C69C2">
        <w:rPr>
          <w:rFonts w:eastAsia="Calibri" w:cs="Arial"/>
          <w:lang w:val="en-GB"/>
        </w:rPr>
        <w:t xml:space="preserve"> of </w:t>
      </w:r>
      <w:r>
        <w:rPr>
          <w:rFonts w:eastAsia="Calibri" w:cs="Arial"/>
          <w:lang w:val="en-GB"/>
        </w:rPr>
        <w:t>F</w:t>
      </w:r>
      <w:r w:rsidRPr="004C69C2">
        <w:rPr>
          <w:rFonts w:eastAsia="Calibri" w:cs="Arial"/>
          <w:lang w:val="en-GB"/>
        </w:rPr>
        <w:t>inance has set up a general process with specific governance for these cases:</w:t>
      </w:r>
    </w:p>
    <w:p w14:paraId="2C67992A" w14:textId="77777777" w:rsidR="00C52545" w:rsidRPr="004C69C2" w:rsidRDefault="00C52545" w:rsidP="00AD0FB6">
      <w:pPr>
        <w:numPr>
          <w:ilvl w:val="0"/>
          <w:numId w:val="27"/>
        </w:numPr>
        <w:tabs>
          <w:tab w:val="left" w:pos="851"/>
        </w:tabs>
        <w:ind w:left="1276"/>
        <w:contextualSpacing/>
        <w:rPr>
          <w:rFonts w:eastAsia="Calibri" w:cs="Arial"/>
          <w:lang w:val="en-GB"/>
        </w:rPr>
      </w:pPr>
      <w:r w:rsidRPr="004C69C2">
        <w:rPr>
          <w:rFonts w:eastAsia="Calibri" w:cs="Arial"/>
          <w:lang w:val="en-GB"/>
        </w:rPr>
        <w:t xml:space="preserve">Define the primary impact through the entire life cycle of the activities (present and future impacts); </w:t>
      </w:r>
    </w:p>
    <w:p w14:paraId="1D6B9CA7" w14:textId="77777777" w:rsidR="00C52545" w:rsidRPr="004C69C2" w:rsidRDefault="00C52545" w:rsidP="00AD0FB6">
      <w:pPr>
        <w:numPr>
          <w:ilvl w:val="0"/>
          <w:numId w:val="27"/>
        </w:numPr>
        <w:tabs>
          <w:tab w:val="left" w:pos="851"/>
        </w:tabs>
        <w:ind w:left="1276"/>
        <w:contextualSpacing/>
        <w:rPr>
          <w:rFonts w:eastAsia="Calibri" w:cs="Arial"/>
          <w:lang w:val="en-GB"/>
        </w:rPr>
      </w:pPr>
      <w:r w:rsidRPr="004C69C2">
        <w:rPr>
          <w:rFonts w:eastAsia="Calibri" w:cs="Arial"/>
          <w:lang w:val="en-GB"/>
        </w:rPr>
        <w:t>Estimat</w:t>
      </w:r>
      <w:r>
        <w:rPr>
          <w:rFonts w:eastAsia="Calibri" w:cs="Arial"/>
          <w:lang w:val="en-GB"/>
        </w:rPr>
        <w:t>ion of</w:t>
      </w:r>
      <w:r w:rsidRPr="004C69C2">
        <w:rPr>
          <w:rFonts w:eastAsia="Calibri" w:cs="Arial"/>
          <w:lang w:val="en-GB"/>
        </w:rPr>
        <w:t xml:space="preserve"> these impacts and elaborate justifications from conclusions;</w:t>
      </w:r>
    </w:p>
    <w:p w14:paraId="44658115" w14:textId="77777777" w:rsidR="00C52545" w:rsidRPr="004C69C2" w:rsidRDefault="00C52545" w:rsidP="00AD0FB6">
      <w:pPr>
        <w:numPr>
          <w:ilvl w:val="0"/>
          <w:numId w:val="27"/>
        </w:numPr>
        <w:tabs>
          <w:tab w:val="left" w:pos="851"/>
        </w:tabs>
        <w:ind w:left="1276"/>
        <w:contextualSpacing/>
        <w:rPr>
          <w:rFonts w:eastAsia="Calibri" w:cs="Arial"/>
          <w:lang w:val="en-GB"/>
        </w:rPr>
      </w:pPr>
      <w:r w:rsidRPr="004C69C2">
        <w:rPr>
          <w:rFonts w:eastAsia="Calibri" w:cs="Arial"/>
          <w:lang w:val="en-GB"/>
        </w:rPr>
        <w:t>Estimat</w:t>
      </w:r>
      <w:r>
        <w:rPr>
          <w:rFonts w:eastAsia="Calibri" w:cs="Arial"/>
          <w:lang w:val="en-GB"/>
        </w:rPr>
        <w:t>ion of the</w:t>
      </w:r>
      <w:r w:rsidRPr="004C69C2">
        <w:rPr>
          <w:rFonts w:eastAsia="Calibri" w:cs="Arial"/>
          <w:lang w:val="en-GB"/>
        </w:rPr>
        <w:t xml:space="preserve"> financial sustainability of projects and DNSH with the help of technical experts;</w:t>
      </w:r>
    </w:p>
    <w:p w14:paraId="0515CCA0" w14:textId="77777777" w:rsidR="00C52545" w:rsidRPr="004C69C2" w:rsidRDefault="00C52545" w:rsidP="00AD0FB6">
      <w:pPr>
        <w:numPr>
          <w:ilvl w:val="0"/>
          <w:numId w:val="27"/>
        </w:numPr>
        <w:tabs>
          <w:tab w:val="left" w:pos="851"/>
        </w:tabs>
        <w:ind w:left="1276"/>
        <w:contextualSpacing/>
        <w:rPr>
          <w:rFonts w:eastAsia="Calibri" w:cs="Arial"/>
          <w:lang w:val="en-GB"/>
        </w:rPr>
      </w:pPr>
      <w:r w:rsidRPr="004C69C2">
        <w:rPr>
          <w:rFonts w:eastAsia="Calibri" w:cs="Arial"/>
          <w:lang w:val="en-GB"/>
        </w:rPr>
        <w:t>Provision of a statement of compliance from beneficiaries and applicants with specific criteria for compliance;</w:t>
      </w:r>
    </w:p>
    <w:p w14:paraId="3057C495" w14:textId="77777777" w:rsidR="00C52545" w:rsidRPr="004C69C2" w:rsidRDefault="00C52545" w:rsidP="00AD0FB6">
      <w:pPr>
        <w:numPr>
          <w:ilvl w:val="0"/>
          <w:numId w:val="27"/>
        </w:numPr>
        <w:tabs>
          <w:tab w:val="left" w:pos="851"/>
        </w:tabs>
        <w:ind w:left="1276"/>
        <w:contextualSpacing/>
        <w:rPr>
          <w:rFonts w:eastAsia="Calibri" w:cs="Arial"/>
          <w:lang w:val="en-GB"/>
        </w:rPr>
      </w:pPr>
      <w:r w:rsidRPr="004C69C2">
        <w:rPr>
          <w:rFonts w:eastAsia="Calibri" w:cs="Arial"/>
          <w:lang w:val="en-GB"/>
        </w:rPr>
        <w:t xml:space="preserve">Report on criteria defined in the statement. Objective by objective, beneficiaries </w:t>
      </w:r>
      <w:r>
        <w:rPr>
          <w:rFonts w:eastAsia="Calibri" w:cs="Arial"/>
          <w:lang w:val="en-GB"/>
        </w:rPr>
        <w:t>must</w:t>
      </w:r>
      <w:r w:rsidRPr="004C69C2">
        <w:rPr>
          <w:rFonts w:eastAsia="Calibri" w:cs="Arial"/>
          <w:lang w:val="en-GB"/>
        </w:rPr>
        <w:t xml:space="preserve"> explain the contribution of the project to those;</w:t>
      </w:r>
    </w:p>
    <w:p w14:paraId="321D5348" w14:textId="77777777" w:rsidR="00C52545" w:rsidRPr="004C69C2" w:rsidRDefault="00C52545" w:rsidP="00AD0FB6">
      <w:pPr>
        <w:numPr>
          <w:ilvl w:val="0"/>
          <w:numId w:val="27"/>
        </w:numPr>
        <w:tabs>
          <w:tab w:val="left" w:pos="851"/>
        </w:tabs>
        <w:ind w:left="1276"/>
        <w:contextualSpacing/>
        <w:rPr>
          <w:rFonts w:eastAsia="Calibri" w:cs="Arial"/>
          <w:lang w:val="en-GB"/>
        </w:rPr>
      </w:pPr>
      <w:r w:rsidRPr="004C69C2">
        <w:rPr>
          <w:rFonts w:eastAsia="Calibri" w:cs="Arial"/>
          <w:lang w:val="en-GB"/>
        </w:rPr>
        <w:t xml:space="preserve">Expert committees evaluate reports. To support this process there are templates for specific activities on what needs to be asked. There are also specific checklists for specific sectors, such as textile, hardware, etc for circular economy. </w:t>
      </w:r>
    </w:p>
    <w:p w14:paraId="2A10D21D"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Kerstin Haider</w:t>
      </w:r>
      <w:r w:rsidRPr="004C69C2">
        <w:rPr>
          <w:rFonts w:eastAsia="Calibri" w:cs="Arial"/>
          <w:lang w:val="en-GB"/>
        </w:rPr>
        <w:t xml:space="preserve">: Austria is improving its approach, there is thus no </w:t>
      </w:r>
      <w:r>
        <w:rPr>
          <w:rFonts w:eastAsia="Calibri" w:cs="Arial"/>
          <w:lang w:val="en-GB"/>
        </w:rPr>
        <w:t xml:space="preserve">best-practice </w:t>
      </w:r>
      <w:r w:rsidRPr="004C69C2">
        <w:rPr>
          <w:rFonts w:eastAsia="Calibri" w:cs="Arial"/>
          <w:lang w:val="en-GB"/>
        </w:rPr>
        <w:t>to share at this time. A TSI project will support further developments on this topic.</w:t>
      </w:r>
    </w:p>
    <w:p w14:paraId="62597E05"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Juha Ollikainen</w:t>
      </w:r>
      <w:r w:rsidRPr="004C69C2">
        <w:rPr>
          <w:rFonts w:eastAsia="Calibri" w:cs="Arial"/>
          <w:lang w:val="en-GB"/>
        </w:rPr>
        <w:t xml:space="preserve">: There is national Finnish guidance available for authorities with tools used to analyse this types of cases. </w:t>
      </w:r>
    </w:p>
    <w:p w14:paraId="1E447DB4"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Ivana Ptáčková</w:t>
      </w:r>
      <w:r w:rsidRPr="004C69C2">
        <w:rPr>
          <w:rFonts w:eastAsia="Calibri" w:cs="Arial"/>
          <w:lang w:val="en-GB"/>
        </w:rPr>
        <w:t xml:space="preserve">: </w:t>
      </w:r>
      <w:r>
        <w:rPr>
          <w:rFonts w:eastAsia="Calibri" w:cs="Arial"/>
          <w:lang w:val="en-GB"/>
        </w:rPr>
        <w:t xml:space="preserve">The </w:t>
      </w:r>
      <w:r w:rsidRPr="004C69C2">
        <w:rPr>
          <w:rFonts w:eastAsia="Calibri" w:cs="Arial"/>
          <w:lang w:val="en-GB"/>
        </w:rPr>
        <w:t xml:space="preserve">DNSH </w:t>
      </w:r>
      <w:r>
        <w:rPr>
          <w:rFonts w:eastAsia="Calibri" w:cs="Arial"/>
          <w:lang w:val="en-GB"/>
        </w:rPr>
        <w:t xml:space="preserve">principle </w:t>
      </w:r>
      <w:r w:rsidRPr="004C69C2">
        <w:rPr>
          <w:rFonts w:eastAsia="Calibri" w:cs="Arial"/>
          <w:lang w:val="en-GB"/>
        </w:rPr>
        <w:t>is a type of environmental protection. T</w:t>
      </w:r>
      <w:r>
        <w:rPr>
          <w:rFonts w:eastAsia="Calibri" w:cs="Arial"/>
          <w:lang w:val="en-GB"/>
        </w:rPr>
        <w:t>he EU T</w:t>
      </w:r>
      <w:r w:rsidRPr="004C69C2">
        <w:rPr>
          <w:rFonts w:eastAsia="Calibri" w:cs="Arial"/>
          <w:lang w:val="en-GB"/>
        </w:rPr>
        <w:t xml:space="preserve">axonomy and </w:t>
      </w:r>
      <w:r>
        <w:rPr>
          <w:rFonts w:eastAsia="Calibri" w:cs="Arial"/>
          <w:lang w:val="en-GB"/>
        </w:rPr>
        <w:t xml:space="preserve">TSC </w:t>
      </w:r>
      <w:r w:rsidRPr="004C69C2">
        <w:rPr>
          <w:rFonts w:eastAsia="Calibri" w:cs="Arial"/>
          <w:lang w:val="en-GB"/>
        </w:rPr>
        <w:t xml:space="preserve">are not obligatory for structural funds, that is why they are being used, but in case economic activities </w:t>
      </w:r>
      <w:r>
        <w:rPr>
          <w:rFonts w:eastAsia="Calibri" w:cs="Arial"/>
          <w:lang w:val="en-GB"/>
        </w:rPr>
        <w:t>are not covered by</w:t>
      </w:r>
      <w:r w:rsidRPr="004C69C2">
        <w:rPr>
          <w:rFonts w:eastAsia="Calibri" w:cs="Arial"/>
          <w:lang w:val="en-GB"/>
        </w:rPr>
        <w:t xml:space="preserve"> TSC, Czech authorities go through </w:t>
      </w:r>
      <w:r>
        <w:rPr>
          <w:rFonts w:eastAsia="Calibri" w:cs="Arial"/>
          <w:lang w:val="en-GB"/>
        </w:rPr>
        <w:t xml:space="preserve">the </w:t>
      </w:r>
      <w:r w:rsidRPr="004C69C2">
        <w:rPr>
          <w:rFonts w:eastAsia="Calibri" w:cs="Arial"/>
          <w:lang w:val="en-GB"/>
        </w:rPr>
        <w:t xml:space="preserve">current legislation </w:t>
      </w:r>
      <w:r>
        <w:rPr>
          <w:rFonts w:eastAsia="Calibri" w:cs="Arial"/>
          <w:lang w:val="en-GB"/>
        </w:rPr>
        <w:t>to derive criteria</w:t>
      </w:r>
      <w:r w:rsidRPr="004C69C2">
        <w:rPr>
          <w:rFonts w:eastAsia="Calibri" w:cs="Arial"/>
          <w:lang w:val="en-GB"/>
        </w:rPr>
        <w:t xml:space="preserve">. </w:t>
      </w:r>
      <w:r>
        <w:rPr>
          <w:rFonts w:eastAsia="Calibri" w:cs="Arial"/>
          <w:lang w:val="en-GB"/>
        </w:rPr>
        <w:t xml:space="preserve">Unless there was </w:t>
      </w:r>
      <w:r w:rsidRPr="004C69C2">
        <w:rPr>
          <w:rFonts w:eastAsia="Calibri" w:cs="Arial"/>
          <w:lang w:val="en-GB"/>
        </w:rPr>
        <w:t xml:space="preserve">previous </w:t>
      </w:r>
      <w:r>
        <w:rPr>
          <w:rFonts w:eastAsia="Calibri" w:cs="Arial"/>
          <w:lang w:val="en-GB"/>
        </w:rPr>
        <w:t xml:space="preserve">experience with a similar type of project, </w:t>
      </w:r>
      <w:r w:rsidRPr="004C69C2">
        <w:rPr>
          <w:rFonts w:eastAsia="Calibri" w:cs="Arial"/>
          <w:lang w:val="en-GB"/>
        </w:rPr>
        <w:t xml:space="preserve">it is not possible for Czechia to give this task </w:t>
      </w:r>
      <w:r>
        <w:rPr>
          <w:rFonts w:eastAsia="Calibri" w:cs="Arial"/>
          <w:lang w:val="en-GB"/>
        </w:rPr>
        <w:t xml:space="preserve">of criteria identification to </w:t>
      </w:r>
      <w:r w:rsidRPr="004C69C2">
        <w:rPr>
          <w:rFonts w:eastAsia="Calibri" w:cs="Arial"/>
          <w:lang w:val="en-GB"/>
        </w:rPr>
        <w:t xml:space="preserve">applicants. Specific requirements would be useful. </w:t>
      </w:r>
    </w:p>
    <w:p w14:paraId="44972DD8" w14:textId="77777777" w:rsidR="00C52545" w:rsidRPr="004C69C2" w:rsidRDefault="00C52545" w:rsidP="00C52545">
      <w:pPr>
        <w:tabs>
          <w:tab w:val="left" w:pos="851"/>
        </w:tabs>
        <w:contextualSpacing/>
        <w:rPr>
          <w:rFonts w:eastAsia="Calibri" w:cs="Arial"/>
          <w:lang w:val="en-GB"/>
        </w:rPr>
      </w:pPr>
    </w:p>
    <w:p w14:paraId="76C68DEF" w14:textId="77777777" w:rsidR="00C52545" w:rsidRPr="004C69C2" w:rsidRDefault="00C52545" w:rsidP="00C52545">
      <w:pPr>
        <w:tabs>
          <w:tab w:val="left" w:pos="851"/>
        </w:tabs>
        <w:contextualSpacing/>
        <w:rPr>
          <w:rFonts w:eastAsia="Calibri" w:cs="Arial"/>
          <w:lang w:val="en-GB"/>
        </w:rPr>
      </w:pPr>
      <w:r w:rsidRPr="004C69C2">
        <w:rPr>
          <w:rFonts w:eastAsia="Calibri" w:cs="Arial"/>
          <w:b/>
          <w:bCs/>
          <w:color w:val="F04E30"/>
          <w:lang w:val="en-GB"/>
        </w:rPr>
        <w:t>Project team</w:t>
      </w:r>
      <w:r w:rsidRPr="004C69C2">
        <w:rPr>
          <w:rFonts w:eastAsia="Calibri" w:cs="Arial"/>
          <w:color w:val="000000"/>
          <w:lang w:val="en-GB"/>
        </w:rPr>
        <w:t xml:space="preserve"> [question from the chat]</w:t>
      </w:r>
      <w:r w:rsidRPr="004C69C2">
        <w:rPr>
          <w:rFonts w:eastAsia="Calibri" w:cs="Arial"/>
          <w:lang w:val="en-GB"/>
        </w:rPr>
        <w:t xml:space="preserve">: About the green budgeting in Austria: could you give a concrete example of unexpected policy measure </w:t>
      </w:r>
      <w:r>
        <w:rPr>
          <w:rFonts w:eastAsia="Calibri" w:cs="Arial"/>
          <w:lang w:val="en-GB"/>
        </w:rPr>
        <w:t xml:space="preserve">that </w:t>
      </w:r>
      <w:r w:rsidRPr="004C69C2">
        <w:rPr>
          <w:rFonts w:eastAsia="Calibri" w:cs="Arial"/>
          <w:lang w:val="en-GB"/>
        </w:rPr>
        <w:t>you identified with your method ? (i.e. a policy that would have a (unexpected) climate impact)</w:t>
      </w:r>
    </w:p>
    <w:p w14:paraId="3A3FFB31"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Kerstin Haider</w:t>
      </w:r>
      <w:r w:rsidRPr="004C69C2">
        <w:rPr>
          <w:rFonts w:eastAsia="Calibri" w:cs="Arial"/>
          <w:b/>
          <w:bCs/>
          <w:color w:val="000000"/>
          <w:lang w:val="en-GB"/>
        </w:rPr>
        <w:t>:</w:t>
      </w:r>
      <w:r w:rsidRPr="004C69C2">
        <w:rPr>
          <w:rFonts w:eastAsia="Calibri" w:cs="Arial"/>
          <w:color w:val="FF0000"/>
          <w:lang w:val="en-GB"/>
        </w:rPr>
        <w:t xml:space="preserve"> </w:t>
      </w:r>
      <w:r w:rsidRPr="004C69C2">
        <w:rPr>
          <w:rFonts w:eastAsia="Calibri" w:cs="Arial"/>
          <w:lang w:val="en-GB"/>
        </w:rPr>
        <w:t>Before the energy crisis one could not find any counter-productive measures in the budget using the green budgeting method. After t</w:t>
      </w:r>
      <w:r>
        <w:rPr>
          <w:rFonts w:eastAsia="Calibri" w:cs="Arial"/>
          <w:lang w:val="en-GB"/>
        </w:rPr>
        <w:t xml:space="preserve">he crisis started, counterproductive </w:t>
      </w:r>
      <w:r w:rsidRPr="004C69C2">
        <w:rPr>
          <w:rFonts w:eastAsia="Calibri" w:cs="Arial"/>
          <w:lang w:val="en-GB"/>
        </w:rPr>
        <w:t xml:space="preserve">budget lines </w:t>
      </w:r>
      <w:r>
        <w:rPr>
          <w:rFonts w:eastAsia="Calibri" w:cs="Arial"/>
          <w:lang w:val="en-GB"/>
        </w:rPr>
        <w:t>were identified</w:t>
      </w:r>
      <w:r w:rsidRPr="004C69C2">
        <w:rPr>
          <w:rFonts w:eastAsia="Calibri" w:cs="Arial"/>
          <w:lang w:val="en-GB"/>
        </w:rPr>
        <w:t>. Ultimately, in</w:t>
      </w:r>
      <w:r>
        <w:rPr>
          <w:rFonts w:eastAsia="Calibri" w:cs="Arial"/>
          <w:lang w:val="en-GB"/>
        </w:rPr>
        <w:t xml:space="preserve"> a</w:t>
      </w:r>
      <w:r w:rsidRPr="004C69C2">
        <w:rPr>
          <w:rFonts w:eastAsia="Calibri" w:cs="Arial"/>
          <w:lang w:val="en-GB"/>
        </w:rPr>
        <w:t xml:space="preserve"> context of crisis, the </w:t>
      </w:r>
      <w:r>
        <w:rPr>
          <w:rFonts w:eastAsia="Calibri" w:cs="Arial"/>
          <w:lang w:val="en-GB"/>
        </w:rPr>
        <w:t xml:space="preserve">goal of </w:t>
      </w:r>
      <w:r w:rsidRPr="004C69C2">
        <w:rPr>
          <w:rFonts w:eastAsia="Calibri" w:cs="Arial"/>
          <w:lang w:val="en-GB"/>
        </w:rPr>
        <w:t>environment</w:t>
      </w:r>
      <w:r>
        <w:rPr>
          <w:rFonts w:eastAsia="Calibri" w:cs="Arial"/>
          <w:lang w:val="en-GB"/>
        </w:rPr>
        <w:t>al</w:t>
      </w:r>
      <w:r w:rsidRPr="004C69C2">
        <w:rPr>
          <w:rFonts w:eastAsia="Calibri" w:cs="Arial"/>
          <w:lang w:val="en-GB"/>
        </w:rPr>
        <w:t xml:space="preserve"> preservation became secondary. On another note, the green budget allows </w:t>
      </w:r>
      <w:r>
        <w:rPr>
          <w:rFonts w:eastAsia="Calibri" w:cs="Arial"/>
          <w:lang w:val="en-GB"/>
        </w:rPr>
        <w:t xml:space="preserve">the </w:t>
      </w:r>
      <w:r w:rsidRPr="004C69C2">
        <w:rPr>
          <w:rFonts w:eastAsia="Calibri" w:cs="Arial"/>
          <w:lang w:val="en-GB"/>
        </w:rPr>
        <w:t xml:space="preserve">Austrian government to do deep dives on the budget, </w:t>
      </w:r>
      <w:r>
        <w:rPr>
          <w:rFonts w:eastAsia="Calibri" w:cs="Arial"/>
          <w:lang w:val="en-GB"/>
        </w:rPr>
        <w:t>notably</w:t>
      </w:r>
      <w:r w:rsidRPr="004C69C2">
        <w:rPr>
          <w:rFonts w:eastAsia="Calibri" w:cs="Arial"/>
          <w:lang w:val="en-GB"/>
        </w:rPr>
        <w:t xml:space="preserve"> on </w:t>
      </w:r>
      <w:r>
        <w:rPr>
          <w:rFonts w:eastAsia="Calibri" w:cs="Arial"/>
          <w:lang w:val="en-GB"/>
        </w:rPr>
        <w:t xml:space="preserve">the </w:t>
      </w:r>
      <w:r w:rsidRPr="004C69C2">
        <w:rPr>
          <w:rFonts w:eastAsia="Calibri" w:cs="Arial"/>
          <w:lang w:val="en-GB"/>
        </w:rPr>
        <w:t>R&amp;D chapter</w:t>
      </w:r>
      <w:r>
        <w:rPr>
          <w:rFonts w:eastAsia="Calibri" w:cs="Arial"/>
          <w:lang w:val="en-GB"/>
        </w:rPr>
        <w:t xml:space="preserve">’s </w:t>
      </w:r>
      <w:r w:rsidRPr="004C69C2">
        <w:rPr>
          <w:rFonts w:eastAsia="Calibri" w:cs="Arial"/>
          <w:lang w:val="en-GB"/>
        </w:rPr>
        <w:t xml:space="preserve">budget lines. </w:t>
      </w:r>
    </w:p>
    <w:p w14:paraId="439459E5" w14:textId="77777777" w:rsidR="00C52545" w:rsidRPr="004C69C2" w:rsidRDefault="00C52545" w:rsidP="00C52545">
      <w:pPr>
        <w:tabs>
          <w:tab w:val="left" w:pos="851"/>
        </w:tabs>
        <w:contextualSpacing/>
        <w:rPr>
          <w:rFonts w:eastAsia="Calibri" w:cs="Arial"/>
          <w:lang w:val="en-GB"/>
        </w:rPr>
      </w:pPr>
    </w:p>
    <w:p w14:paraId="2D4990E4" w14:textId="77777777" w:rsidR="00C52545" w:rsidRPr="004C69C2" w:rsidRDefault="00C52545" w:rsidP="00C52545">
      <w:pPr>
        <w:tabs>
          <w:tab w:val="left" w:pos="851"/>
        </w:tabs>
        <w:contextualSpacing/>
        <w:rPr>
          <w:rFonts w:eastAsia="Calibri" w:cs="Arial"/>
          <w:lang w:val="en-GB"/>
        </w:rPr>
      </w:pPr>
      <w:r w:rsidRPr="004C69C2">
        <w:rPr>
          <w:rFonts w:eastAsia="Calibri" w:cs="Arial"/>
          <w:b/>
          <w:bCs/>
          <w:color w:val="F04E30"/>
          <w:lang w:val="en-GB"/>
        </w:rPr>
        <w:t>Project team</w:t>
      </w:r>
      <w:r w:rsidRPr="004C69C2">
        <w:rPr>
          <w:rFonts w:eastAsia="Calibri" w:cs="Arial"/>
          <w:lang w:val="en-GB"/>
        </w:rPr>
        <w:t>: Have you developed any measures for ensuring the quality assurance of the assessments and projects, especially with regard to R&amp;D projects?</w:t>
      </w:r>
    </w:p>
    <w:p w14:paraId="7A48477A"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Siina Lepola-Lång</w:t>
      </w:r>
      <w:r w:rsidRPr="004C69C2">
        <w:rPr>
          <w:rFonts w:eastAsia="Calibri" w:cs="Arial"/>
          <w:lang w:val="en-GB"/>
        </w:rPr>
        <w:t>: The Finnish Ministry of Economic Affairs funds green energy infrastructure (38 projects so far – all went though and validated a DNSH assessment). The DNSH assessments are broad; the Ministry holds regular discussions with the local authorities that deliver permits, and with applicants. Cooperation revealed to be a key success factor. The Finnish Environment Institute developed guidelines, which are used by the Ministry along with European guidelines. Trainings were also provided to applicants.</w:t>
      </w:r>
    </w:p>
    <w:p w14:paraId="41EB0C8E" w14:textId="77777777" w:rsidR="00C52545" w:rsidRPr="004C69C2" w:rsidRDefault="00C52545" w:rsidP="00C52545">
      <w:pPr>
        <w:tabs>
          <w:tab w:val="left" w:pos="851"/>
        </w:tabs>
        <w:contextualSpacing/>
        <w:rPr>
          <w:rFonts w:eastAsia="Calibri" w:cs="Arial"/>
          <w:szCs w:val="18"/>
          <w:lang w:val="en-GB"/>
        </w:rPr>
      </w:pPr>
      <w:r w:rsidRPr="1E4C0714">
        <w:rPr>
          <w:rFonts w:eastAsia="Calibri" w:cs="Arial"/>
          <w:b/>
          <w:bCs/>
          <w:color w:val="2998FF"/>
          <w:szCs w:val="18"/>
          <w:lang w:val="en-GB"/>
        </w:rPr>
        <w:t>Lucía Cobo</w:t>
      </w:r>
      <w:r w:rsidRPr="1E4C0714">
        <w:rPr>
          <w:rFonts w:eastAsia="Calibri" w:cs="Arial"/>
          <w:szCs w:val="18"/>
          <w:lang w:val="en-GB"/>
        </w:rPr>
        <w:t xml:space="preserve">: Quality assurance is usually a struggle -disregarding the application of the DNSH principle- and it does not exist yet for R&amp;D projects. In any case, this technically cannot exist for R&amp;D. The </w:t>
      </w:r>
      <w:r w:rsidRPr="1E4C0714">
        <w:rPr>
          <w:rFonts w:eastAsia="Calibri" w:cs="Arial"/>
          <w:szCs w:val="18"/>
          <w:lang w:val="en-GB"/>
        </w:rPr>
        <w:lastRenderedPageBreak/>
        <w:t>Ministry does not however identify any risk of negative impacts and existing mitigating and monitoring measures conducted by the applicants (e.g., management plan).</w:t>
      </w:r>
    </w:p>
    <w:p w14:paraId="714D7987" w14:textId="77777777" w:rsidR="00C52545" w:rsidRPr="004C69C2" w:rsidRDefault="00C52545" w:rsidP="00C52545">
      <w:pPr>
        <w:tabs>
          <w:tab w:val="left" w:pos="851"/>
        </w:tabs>
        <w:contextualSpacing/>
        <w:rPr>
          <w:rFonts w:eastAsia="Calibri" w:cs="Arial"/>
          <w:lang w:val="en-GB"/>
        </w:rPr>
      </w:pPr>
    </w:p>
    <w:p w14:paraId="443C16FF" w14:textId="77777777" w:rsidR="00C52545" w:rsidRPr="004C69C2" w:rsidRDefault="00C52545" w:rsidP="00C52545">
      <w:pPr>
        <w:tabs>
          <w:tab w:val="left" w:pos="851"/>
        </w:tabs>
        <w:contextualSpacing/>
        <w:rPr>
          <w:rFonts w:eastAsia="Calibri" w:cs="Arial"/>
          <w:lang w:val="en-GB"/>
        </w:rPr>
      </w:pPr>
      <w:r w:rsidRPr="004C69C2">
        <w:rPr>
          <w:rFonts w:eastAsia="Calibri" w:cs="Arial"/>
          <w:b/>
          <w:bCs/>
          <w:color w:val="F04E30"/>
          <w:lang w:val="en-GB"/>
        </w:rPr>
        <w:t>Project team</w:t>
      </w:r>
      <w:r w:rsidRPr="004C69C2">
        <w:rPr>
          <w:rFonts w:eastAsia="Calibri" w:cs="Arial"/>
          <w:lang w:val="en-GB"/>
        </w:rPr>
        <w:t>: How can the DNSH and green tagging guidelines be strengthened?</w:t>
      </w:r>
    </w:p>
    <w:p w14:paraId="504AFE4A"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Kerstin Haider</w:t>
      </w:r>
      <w:r w:rsidRPr="004C69C2">
        <w:rPr>
          <w:rFonts w:eastAsia="Calibri" w:cs="Arial"/>
          <w:lang w:val="en-GB"/>
        </w:rPr>
        <w:t>: A discussion is going on about this topic. The strengthening of the methodology must be doable (as mentioned, 38.000 budget lines were assessed). The goal is thus to re-use the steps for green tagging as much as possible in the process of DNSH (e.g., the scorecard is to be translated in terms of harmful and potentially harmful effects). It remains to be seen how the budget lines that require additional DNSH assessments can be identified.</w:t>
      </w:r>
    </w:p>
    <w:p w14:paraId="680A4BED" w14:textId="77777777" w:rsidR="00C52545" w:rsidRPr="004C69C2" w:rsidRDefault="00C52545" w:rsidP="00C52545">
      <w:pPr>
        <w:tabs>
          <w:tab w:val="left" w:pos="851"/>
        </w:tabs>
        <w:contextualSpacing/>
        <w:rPr>
          <w:rFonts w:eastAsia="Calibri" w:cs="Arial"/>
          <w:lang w:val="en-GB"/>
        </w:rPr>
      </w:pPr>
    </w:p>
    <w:p w14:paraId="6E0FA447" w14:textId="77777777" w:rsidR="00C52545" w:rsidRPr="004C69C2" w:rsidRDefault="00C52545" w:rsidP="00C52545">
      <w:pPr>
        <w:tabs>
          <w:tab w:val="left" w:pos="851"/>
        </w:tabs>
        <w:contextualSpacing/>
        <w:rPr>
          <w:rFonts w:eastAsia="Calibri" w:cs="Arial"/>
          <w:lang w:val="en-GB"/>
        </w:rPr>
      </w:pPr>
      <w:r w:rsidRPr="004C69C2">
        <w:rPr>
          <w:rFonts w:eastAsia="Calibri" w:cs="Arial"/>
          <w:b/>
          <w:bCs/>
          <w:color w:val="F04E30"/>
          <w:lang w:val="en-GB"/>
        </w:rPr>
        <w:t>Project team</w:t>
      </w:r>
      <w:r w:rsidRPr="004C69C2">
        <w:rPr>
          <w:rFonts w:eastAsia="Calibri" w:cs="Arial"/>
          <w:lang w:val="en-GB"/>
        </w:rPr>
        <w:t>: How do you address sub-components that might require additional DNSH analysis? Is there any procedure and how can it be standardized?</w:t>
      </w:r>
    </w:p>
    <w:p w14:paraId="691E282F"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Siina Lepola-Lång</w:t>
      </w:r>
      <w:r w:rsidRPr="004C69C2">
        <w:rPr>
          <w:rFonts w:eastAsia="Calibri" w:cs="Arial"/>
          <w:lang w:val="en-GB"/>
        </w:rPr>
        <w:t>: Many of these investments exist. However there is no specific procedure – projects are analysed as any other, and their riskier aspects are assessed more in-depth. Environmental permitting is also referred to when there are uncertainties about the potential impacts (the Ministry directly calls the authorities that validated the permits).</w:t>
      </w:r>
    </w:p>
    <w:p w14:paraId="44F87E99"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Juha Ollikainen</w:t>
      </w:r>
      <w:r w:rsidRPr="004C69C2">
        <w:rPr>
          <w:rFonts w:eastAsia="Calibri" w:cs="Arial"/>
          <w:lang w:val="en-GB"/>
        </w:rPr>
        <w:t xml:space="preserve">: In case a project is referenced in the Delegated Acts, an additional assessment can be conducted. </w:t>
      </w:r>
    </w:p>
    <w:p w14:paraId="0C1D802A"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Lucía Cobo</w:t>
      </w:r>
      <w:r w:rsidRPr="004C69C2">
        <w:rPr>
          <w:rFonts w:eastAsia="Calibri" w:cs="Arial"/>
          <w:lang w:val="en-GB"/>
        </w:rPr>
        <w:t xml:space="preserve">: If these Delegated Acts do not cover the projects, only state of the art knowledge and experience can be used. This entails challenges – particularly for </w:t>
      </w:r>
      <w:r>
        <w:rPr>
          <w:rFonts w:eastAsia="Calibri" w:cs="Arial"/>
          <w:lang w:val="en-GB"/>
        </w:rPr>
        <w:t xml:space="preserve">the </w:t>
      </w:r>
      <w:r w:rsidRPr="004C69C2">
        <w:rPr>
          <w:rFonts w:eastAsia="Calibri" w:cs="Arial"/>
          <w:lang w:val="en-GB"/>
        </w:rPr>
        <w:t>circular economy</w:t>
      </w:r>
      <w:r>
        <w:rPr>
          <w:rFonts w:eastAsia="Calibri" w:cs="Arial"/>
          <w:lang w:val="en-GB"/>
        </w:rPr>
        <w:t xml:space="preserve"> objective</w:t>
      </w:r>
      <w:r w:rsidRPr="004C69C2">
        <w:rPr>
          <w:rFonts w:eastAsia="Calibri" w:cs="Arial"/>
          <w:lang w:val="en-GB"/>
        </w:rPr>
        <w:t>.</w:t>
      </w:r>
    </w:p>
    <w:p w14:paraId="62CA70CC"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Ivana Ptáčková</w:t>
      </w:r>
      <w:r w:rsidRPr="004C69C2">
        <w:rPr>
          <w:rFonts w:eastAsia="Calibri" w:cs="Arial"/>
          <w:lang w:val="en-GB"/>
        </w:rPr>
        <w:t>: Circular economy is indeed a crucial issue, particularly for infrastructure. For now, the Ministry uses an exclusion list of activities and solutions to reduce the risks that the circular economy objective is not respected. This remains hardly usable in the case of R&amp;D, where the potential risks and effects are extremely broad – thresholds would be needed rather than specific criteria in order to be applicable to R&amp;D projects.</w:t>
      </w:r>
    </w:p>
    <w:p w14:paraId="0B561C07" w14:textId="77777777" w:rsidR="00C52545" w:rsidRPr="004C69C2" w:rsidRDefault="00C52545" w:rsidP="00C52545">
      <w:pPr>
        <w:tabs>
          <w:tab w:val="left" w:pos="851"/>
        </w:tabs>
        <w:contextualSpacing/>
        <w:rPr>
          <w:rFonts w:eastAsia="Calibri" w:cs="Arial"/>
          <w:lang w:val="en-GB"/>
        </w:rPr>
      </w:pPr>
    </w:p>
    <w:p w14:paraId="017DEAD3" w14:textId="77777777" w:rsidR="00C52545" w:rsidRPr="004C69C2" w:rsidRDefault="00C52545" w:rsidP="00C52545">
      <w:pPr>
        <w:tabs>
          <w:tab w:val="left" w:pos="851"/>
        </w:tabs>
        <w:contextualSpacing/>
        <w:rPr>
          <w:rFonts w:eastAsia="Calibri" w:cs="Arial"/>
          <w:lang w:val="en-GB"/>
        </w:rPr>
      </w:pPr>
      <w:r w:rsidRPr="004C69C2">
        <w:rPr>
          <w:rFonts w:eastAsia="Calibri" w:cs="Arial"/>
          <w:b/>
          <w:bCs/>
          <w:color w:val="F04E30"/>
          <w:lang w:val="en-GB"/>
        </w:rPr>
        <w:t>Project team</w:t>
      </w:r>
      <w:r w:rsidRPr="004C69C2">
        <w:rPr>
          <w:rFonts w:eastAsia="Calibri" w:cs="Arial"/>
          <w:lang w:val="en-GB"/>
        </w:rPr>
        <w:t>: Are there technical and/or legislative measures that could support you with addressing R&amp;D or innovative investments?</w:t>
      </w:r>
    </w:p>
    <w:p w14:paraId="56A64F8E"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Juha Ollikainen</w:t>
      </w:r>
      <w:r w:rsidRPr="004C69C2">
        <w:rPr>
          <w:rFonts w:eastAsia="Calibri" w:cs="Arial"/>
          <w:lang w:val="en-GB"/>
        </w:rPr>
        <w:t>: Specific guidance for the project evaluators is needed, in particular guidance that distinguishes between the requirements/legislation that already exists, and the DNSH-specific criteria. Currently, the technical knowledge that is required to conduct assessments without this guidance is too high level and too broad. Case examples are also absolutely needed. Benchmarks from existing projects would be much more practical to use on a daily basis.</w:t>
      </w:r>
    </w:p>
    <w:p w14:paraId="4546EF8D" w14:textId="77777777" w:rsidR="00C52545" w:rsidRPr="004C69C2" w:rsidRDefault="00C52545" w:rsidP="00C52545">
      <w:pPr>
        <w:tabs>
          <w:tab w:val="left" w:pos="851"/>
        </w:tabs>
        <w:contextualSpacing/>
        <w:rPr>
          <w:rFonts w:eastAsia="Calibri" w:cs="Arial"/>
          <w:lang w:val="en-GB"/>
        </w:rPr>
      </w:pPr>
    </w:p>
    <w:p w14:paraId="4D60C7EB" w14:textId="77777777" w:rsidR="00C52545" w:rsidRPr="004C69C2" w:rsidRDefault="00C52545" w:rsidP="00C52545">
      <w:pPr>
        <w:tabs>
          <w:tab w:val="left" w:pos="851"/>
        </w:tabs>
        <w:contextualSpacing/>
        <w:rPr>
          <w:rFonts w:eastAsia="Calibri" w:cs="Arial"/>
          <w:lang w:val="en-GB"/>
        </w:rPr>
      </w:pPr>
      <w:r w:rsidRPr="004C69C2">
        <w:rPr>
          <w:rFonts w:eastAsia="Calibri" w:cs="Arial"/>
          <w:b/>
          <w:bCs/>
          <w:color w:val="F04E30"/>
          <w:lang w:val="en-GB"/>
        </w:rPr>
        <w:t>Project team</w:t>
      </w:r>
      <w:r w:rsidRPr="004C69C2">
        <w:rPr>
          <w:rFonts w:eastAsia="Calibri" w:cs="Arial"/>
          <w:lang w:val="en-GB"/>
        </w:rPr>
        <w:t>: Does any of the Member States that you represent intend to set up a green budgeting mechanism? If yes, would any legislation and/or technical measure support you to do so?</w:t>
      </w:r>
    </w:p>
    <w:p w14:paraId="14E25818"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Lucía Cobo</w:t>
      </w:r>
      <w:r w:rsidRPr="004C69C2">
        <w:rPr>
          <w:rFonts w:eastAsia="Calibri" w:cs="Arial"/>
          <w:lang w:val="en-GB"/>
        </w:rPr>
        <w:t xml:space="preserve">: The Spanish RRP includes a reform in that direction. The guiding law </w:t>
      </w:r>
      <w:r>
        <w:rPr>
          <w:rFonts w:eastAsia="Calibri" w:cs="Arial"/>
          <w:lang w:val="en-GB"/>
        </w:rPr>
        <w:t xml:space="preserve">was </w:t>
      </w:r>
      <w:r w:rsidRPr="004C69C2">
        <w:rPr>
          <w:rFonts w:eastAsia="Calibri" w:cs="Arial"/>
          <w:lang w:val="en-GB"/>
        </w:rPr>
        <w:t xml:space="preserve">passed in 2022. </w:t>
      </w:r>
      <w:r>
        <w:rPr>
          <w:rFonts w:eastAsia="Calibri" w:cs="Arial"/>
          <w:lang w:val="en-GB"/>
        </w:rPr>
        <w:t>G</w:t>
      </w:r>
      <w:r w:rsidRPr="004C69C2">
        <w:rPr>
          <w:rFonts w:eastAsia="Calibri" w:cs="Arial"/>
          <w:lang w:val="en-GB"/>
        </w:rPr>
        <w:t>reen budgeting used the SDGs (which had already been used to assess the sustainability of the budget) to identify the 6 environmental objectives. A climate tag was finally attributed to relevant measures. In the future, broader types of expenses will be included (including the expenses that do not intend to have positive impacts on climate, revenues, and the social security budget).</w:t>
      </w:r>
    </w:p>
    <w:p w14:paraId="4A5A3C67" w14:textId="77777777" w:rsidR="00C52545" w:rsidRPr="004C69C2" w:rsidRDefault="00C52545" w:rsidP="00C52545">
      <w:pPr>
        <w:tabs>
          <w:tab w:val="left" w:pos="851"/>
        </w:tabs>
        <w:contextualSpacing/>
        <w:rPr>
          <w:rFonts w:eastAsia="Calibri" w:cs="Arial"/>
          <w:lang w:val="en-GB"/>
        </w:rPr>
      </w:pPr>
      <w:r w:rsidRPr="004C69C2">
        <w:rPr>
          <w:rFonts w:eastAsia="Calibri" w:cs="Arial"/>
          <w:lang w:val="en-GB"/>
        </w:rPr>
        <w:t>Sectoral roadmaps are supporting this effort. For instance, the roadmap for green hydrogen (which includes a description of investments from production to use and transport) helps to ascertain the content of the measures and thus their tagging.</w:t>
      </w:r>
    </w:p>
    <w:p w14:paraId="02CC114A"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t>Ivana Ptáčková</w:t>
      </w:r>
      <w:r w:rsidRPr="004C69C2">
        <w:rPr>
          <w:rFonts w:eastAsia="Calibri" w:cs="Arial"/>
          <w:lang w:val="en-GB"/>
        </w:rPr>
        <w:t>: There are no discussions to develop green budgeting.</w:t>
      </w:r>
    </w:p>
    <w:p w14:paraId="69BFFD80" w14:textId="77777777" w:rsidR="00C52545" w:rsidRPr="004C69C2" w:rsidRDefault="00C52545" w:rsidP="00C52545">
      <w:pPr>
        <w:tabs>
          <w:tab w:val="left" w:pos="851"/>
        </w:tabs>
        <w:contextualSpacing/>
        <w:rPr>
          <w:rFonts w:eastAsia="Calibri" w:cs="Arial"/>
          <w:lang w:val="en-GB"/>
        </w:rPr>
      </w:pPr>
      <w:r w:rsidRPr="004C69C2">
        <w:rPr>
          <w:rFonts w:eastAsia="Calibri" w:cs="Arial"/>
          <w:b/>
          <w:color w:val="2998FF"/>
          <w:lang w:val="en-GB"/>
        </w:rPr>
        <w:lastRenderedPageBreak/>
        <w:t>Siina Lepola-Lång</w:t>
      </w:r>
      <w:r w:rsidRPr="004C69C2">
        <w:rPr>
          <w:rFonts w:eastAsia="Calibri" w:cs="Arial"/>
          <w:lang w:val="en-GB"/>
        </w:rPr>
        <w:t xml:space="preserve">: There have been attempts to develop and use green budgeting in Finland. It is currently not done -at least in the Ministry of Economic Affairs- but is worth exploring. In any case, the bottom line need is to limit the complexity of DNSH assessments, such that smaller companies may conduct DNSH assessments themselves (i.e., without consultants) and can actually benefit from public funding. Juha </w:t>
      </w:r>
      <w:r w:rsidRPr="003D452D">
        <w:rPr>
          <w:rFonts w:eastAsia="Calibri" w:cs="Arial"/>
          <w:lang w:val="en-GB"/>
        </w:rPr>
        <w:t xml:space="preserve">Ollikainen </w:t>
      </w:r>
      <w:r w:rsidRPr="004C69C2">
        <w:rPr>
          <w:rFonts w:eastAsia="Calibri" w:cs="Arial"/>
          <w:lang w:val="en-GB"/>
        </w:rPr>
        <w:t>seconds this point.</w:t>
      </w:r>
    </w:p>
    <w:p w14:paraId="056D0B7F" w14:textId="77777777" w:rsidR="00C52545" w:rsidRDefault="00C52545" w:rsidP="00C52545"/>
    <w:p w14:paraId="19B7D919" w14:textId="435EB225" w:rsidR="00066612" w:rsidRPr="00C52545" w:rsidRDefault="00066612" w:rsidP="007608BA">
      <w:pPr>
        <w:tabs>
          <w:tab w:val="left" w:pos="6565"/>
        </w:tabs>
        <w:rPr>
          <w:lang w:val="en-GB"/>
        </w:rPr>
        <w:sectPr w:rsidR="00066612" w:rsidRPr="00C52545" w:rsidSect="006F0667">
          <w:footerReference w:type="default" r:id="rId29"/>
          <w:pgSz w:w="11906" w:h="16838"/>
          <w:pgMar w:top="1440" w:right="1440" w:bottom="1440" w:left="1440" w:header="709" w:footer="567" w:gutter="0"/>
          <w:cols w:space="708"/>
          <w:docGrid w:linePitch="360"/>
        </w:sectPr>
      </w:pPr>
    </w:p>
    <w:p w14:paraId="1A4280AF" w14:textId="77777777" w:rsidR="009976CE" w:rsidRPr="00875E14" w:rsidRDefault="009976CE" w:rsidP="008059BC"/>
    <w:p w14:paraId="044F73DF" w14:textId="77777777" w:rsidR="00A77E49" w:rsidRPr="00875E14" w:rsidRDefault="00A77E49" w:rsidP="008059BC"/>
    <w:p w14:paraId="771CF19F" w14:textId="77777777" w:rsidR="00A77E49" w:rsidRPr="00875E14" w:rsidRDefault="00A77E49" w:rsidP="008059BC"/>
    <w:p w14:paraId="2C6E6922" w14:textId="77777777" w:rsidR="00A77E49" w:rsidRPr="00875E14" w:rsidRDefault="00A77E49" w:rsidP="008059BC"/>
    <w:p w14:paraId="22C4074F" w14:textId="77777777" w:rsidR="00A77E49" w:rsidRPr="00875E14" w:rsidRDefault="00A77E49" w:rsidP="008059BC"/>
    <w:p w14:paraId="55591FE4" w14:textId="77777777" w:rsidR="00A77E49" w:rsidRPr="00875E14" w:rsidRDefault="00A77E49" w:rsidP="008059BC"/>
    <w:p w14:paraId="57293E86" w14:textId="77777777" w:rsidR="00A77E49" w:rsidRPr="00875E14" w:rsidRDefault="00A77E49" w:rsidP="008059BC"/>
    <w:p w14:paraId="64508C92" w14:textId="77777777" w:rsidR="00A77E49" w:rsidRPr="00875E14" w:rsidRDefault="00A77E49" w:rsidP="008059BC"/>
    <w:p w14:paraId="012D9A7B" w14:textId="77777777" w:rsidR="00A77E49" w:rsidRPr="00875E14" w:rsidRDefault="00A77E49" w:rsidP="008059BC"/>
    <w:p w14:paraId="4D8C0134" w14:textId="77777777" w:rsidR="00A77E49" w:rsidRPr="00875E14" w:rsidRDefault="00A77E49" w:rsidP="008059BC"/>
    <w:p w14:paraId="0F16FB4A" w14:textId="77777777" w:rsidR="00A77E49" w:rsidRPr="00875E14" w:rsidRDefault="00A77E49" w:rsidP="008059BC"/>
    <w:p w14:paraId="7FB30B30" w14:textId="77777777" w:rsidR="00A77E49" w:rsidRPr="00875E14" w:rsidRDefault="00A77E49" w:rsidP="008059BC"/>
    <w:p w14:paraId="12C13151" w14:textId="77777777" w:rsidR="00A77E49" w:rsidRPr="00875E14" w:rsidRDefault="00A77E49" w:rsidP="008059BC"/>
    <w:p w14:paraId="188DB417" w14:textId="77777777" w:rsidR="00A77E49" w:rsidRPr="00875E14" w:rsidRDefault="00A77E49" w:rsidP="008059BC"/>
    <w:p w14:paraId="0F428AA9" w14:textId="77777777" w:rsidR="00A77E49" w:rsidRPr="00875E14" w:rsidRDefault="00A77E49" w:rsidP="008059BC"/>
    <w:p w14:paraId="06CE20A2" w14:textId="77777777" w:rsidR="00A77E49" w:rsidRPr="00875E14" w:rsidRDefault="00A77E49" w:rsidP="008059BC"/>
    <w:p w14:paraId="2CC692E9" w14:textId="77777777" w:rsidR="00A77E49" w:rsidRPr="00875E14" w:rsidRDefault="00A77E49" w:rsidP="008059BC"/>
    <w:p w14:paraId="58FEC6FD" w14:textId="77777777" w:rsidR="00A77E49" w:rsidRPr="00875E14" w:rsidRDefault="00A77E49" w:rsidP="008059BC"/>
    <w:p w14:paraId="4124C9A7" w14:textId="77777777" w:rsidR="00A77E49" w:rsidRPr="00875E14" w:rsidRDefault="00A77E49" w:rsidP="008059BC"/>
    <w:p w14:paraId="3B58DB2B" w14:textId="77777777" w:rsidR="009976CE" w:rsidRPr="00875E14" w:rsidRDefault="009976CE" w:rsidP="008059BC"/>
    <w:p w14:paraId="5ADCCFBE" w14:textId="77777777" w:rsidR="009976CE" w:rsidRPr="00875E14" w:rsidRDefault="009976CE" w:rsidP="008059BC"/>
    <w:p w14:paraId="641AA508" w14:textId="77777777" w:rsidR="009976CE" w:rsidRPr="00875E14" w:rsidRDefault="009976CE" w:rsidP="008059BC"/>
    <w:p w14:paraId="6D3A0B28" w14:textId="77777777" w:rsidR="009976CE" w:rsidRPr="00875E14" w:rsidRDefault="009976CE" w:rsidP="008059BC"/>
    <w:bookmarkStart w:id="246" w:name="_WNSectionTitle_5"/>
    <w:bookmarkStart w:id="247" w:name="_WNTabType_4"/>
    <w:p w14:paraId="66CAE2E8" w14:textId="77777777" w:rsidR="009976CE" w:rsidRPr="00875E14" w:rsidRDefault="00FE72EF" w:rsidP="008059BC">
      <w:r w:rsidRPr="00446DB1">
        <w:rPr>
          <w:noProof/>
          <w:lang w:val="cs-CZ" w:eastAsia="cs-CZ"/>
        </w:rPr>
        <mc:AlternateContent>
          <mc:Choice Requires="wps">
            <w:drawing>
              <wp:anchor distT="0" distB="0" distL="114300" distR="114300" simplePos="0" relativeHeight="251658243" behindDoc="0" locked="0" layoutInCell="1" allowOverlap="1" wp14:anchorId="70F3357D" wp14:editId="3D57FC8A">
                <wp:simplePos x="0" y="0"/>
                <wp:positionH relativeFrom="column">
                  <wp:posOffset>597552</wp:posOffset>
                </wp:positionH>
                <wp:positionV relativeFrom="paragraph">
                  <wp:posOffset>0</wp:posOffset>
                </wp:positionV>
                <wp:extent cx="3883231" cy="20664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231" cy="2066400"/>
                        </a:xfrm>
                        <a:prstGeom prst="rect">
                          <a:avLst/>
                        </a:prstGeom>
                        <a:noFill/>
                        <a:ln w="9525">
                          <a:noFill/>
                          <a:miter lim="800000"/>
                          <a:headEnd/>
                          <a:tailEnd/>
                        </a:ln>
                      </wps:spPr>
                      <wps:txbx>
                        <w:txbxContent>
                          <w:p w14:paraId="050A9163" w14:textId="77777777" w:rsidR="00C54943" w:rsidRPr="00062FC7" w:rsidRDefault="00C54943" w:rsidP="002F1771">
                            <w:pPr>
                              <w:ind w:left="0"/>
                              <w:rPr>
                                <w:lang w:val="nl-NL"/>
                              </w:rPr>
                            </w:pPr>
                            <w:r w:rsidRPr="00062FC7">
                              <w:rPr>
                                <w:lang w:val="nl-NL"/>
                              </w:rPr>
                              <w:t>Trinomics B.V.</w:t>
                            </w:r>
                          </w:p>
                          <w:p w14:paraId="017842A8" w14:textId="77777777" w:rsidR="00C54943" w:rsidRPr="00062FC7" w:rsidRDefault="00C54943" w:rsidP="002F1771">
                            <w:pPr>
                              <w:ind w:left="0"/>
                              <w:rPr>
                                <w:lang w:val="nl-NL"/>
                              </w:rPr>
                            </w:pPr>
                            <w:r w:rsidRPr="00062FC7">
                              <w:rPr>
                                <w:lang w:val="nl-NL"/>
                              </w:rPr>
                              <w:t>Westersingel 34</w:t>
                            </w:r>
                          </w:p>
                          <w:p w14:paraId="7DA1E9A4" w14:textId="77777777" w:rsidR="00C54943" w:rsidRPr="00062FC7" w:rsidRDefault="00C54943" w:rsidP="002F1771">
                            <w:pPr>
                              <w:ind w:left="0"/>
                              <w:rPr>
                                <w:lang w:val="nl-NL"/>
                              </w:rPr>
                            </w:pPr>
                            <w:r w:rsidRPr="00062FC7">
                              <w:rPr>
                                <w:lang w:val="nl-NL"/>
                              </w:rPr>
                              <w:t>3014 GS Rotterdam</w:t>
                            </w:r>
                          </w:p>
                          <w:p w14:paraId="478D24C7" w14:textId="77777777" w:rsidR="00C54943" w:rsidRPr="00973270" w:rsidRDefault="00C54943" w:rsidP="002F1771">
                            <w:pPr>
                              <w:ind w:left="0"/>
                            </w:pPr>
                            <w:r w:rsidRPr="00973270">
                              <w:t>The Netherlands</w:t>
                            </w:r>
                          </w:p>
                          <w:p w14:paraId="0CC8B067" w14:textId="77777777" w:rsidR="00C54943" w:rsidRPr="00973270" w:rsidRDefault="00C54943" w:rsidP="002F1771">
                            <w:pPr>
                              <w:ind w:left="0"/>
                            </w:pPr>
                          </w:p>
                          <w:p w14:paraId="0A24052F" w14:textId="77777777" w:rsidR="00C54943" w:rsidRPr="00062FC7" w:rsidRDefault="00C54943" w:rsidP="002F1771">
                            <w:pPr>
                              <w:ind w:left="0"/>
                            </w:pPr>
                            <w:r w:rsidRPr="00062FC7">
                              <w:t>T +31 (0) 10 3414 592</w:t>
                            </w:r>
                          </w:p>
                          <w:p w14:paraId="22E7A488" w14:textId="77777777" w:rsidR="00C54943" w:rsidRPr="00B62D69" w:rsidRDefault="0031368D" w:rsidP="002F1771">
                            <w:pPr>
                              <w:ind w:left="0"/>
                              <w:rPr>
                                <w:szCs w:val="18"/>
                              </w:rPr>
                            </w:pPr>
                            <w:hyperlink r:id="rId30" w:history="1">
                              <w:r w:rsidR="00C54943" w:rsidRPr="00B62D69">
                                <w:rPr>
                                  <w:rStyle w:val="Hypertextovodkaz"/>
                                  <w:szCs w:val="18"/>
                                </w:rPr>
                                <w:t>www.trinomics.eu</w:t>
                              </w:r>
                            </w:hyperlink>
                          </w:p>
                          <w:p w14:paraId="2B9FC1AF" w14:textId="77777777" w:rsidR="00C54943" w:rsidRPr="00B62D69" w:rsidRDefault="00C54943" w:rsidP="002F1771">
                            <w:pPr>
                              <w:ind w:left="0"/>
                            </w:pPr>
                          </w:p>
                          <w:p w14:paraId="2AD62CF8" w14:textId="77777777" w:rsidR="00C54943" w:rsidRPr="00750021" w:rsidRDefault="00C54943" w:rsidP="002F1771">
                            <w:pPr>
                              <w:ind w:left="0"/>
                              <w:rPr>
                                <w:lang w:val="pt-PT"/>
                              </w:rPr>
                            </w:pPr>
                            <w:r w:rsidRPr="00750021">
                              <w:rPr>
                                <w:lang w:val="pt-PT"/>
                              </w:rPr>
                              <w:t>KvK n°: 56028016</w:t>
                            </w:r>
                          </w:p>
                          <w:p w14:paraId="7587EA20" w14:textId="77777777" w:rsidR="00C54943" w:rsidRPr="00587565" w:rsidRDefault="00C54943" w:rsidP="002F1771">
                            <w:pPr>
                              <w:ind w:left="0"/>
                              <w:rPr>
                                <w:szCs w:val="18"/>
                                <w:lang w:val="nl-NL"/>
                              </w:rPr>
                            </w:pPr>
                            <w:r w:rsidRPr="00587565">
                              <w:rPr>
                                <w:lang w:val="nl-NL"/>
                              </w:rPr>
                              <w:t>VAT n°: NL8519.48.662.B01</w:t>
                            </w:r>
                          </w:p>
                          <w:p w14:paraId="7A2DCB20" w14:textId="77777777" w:rsidR="00C54943" w:rsidRPr="00062FC7" w:rsidRDefault="00C54943">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70F3357D" id="Text Box 307" o:spid="_x0000_s1028" type="#_x0000_t202" style="position:absolute;left:0;text-align:left;margin-left:47.05pt;margin-top:0;width:305.75pt;height:16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" filled="f" stroked="f">
                <v:textbox>
                  <w:txbxContent>
                    <w:p w14:paraId="050A9163" w14:textId="77777777" w:rsidR="00C54943" w:rsidRPr="00062FC7" w:rsidRDefault="00C54943" w:rsidP="002F1771">
                      <w:pPr>
                        <w:ind w:left="0"/>
                        <w:rPr>
                          <w:lang w:val="nl-NL"/>
                        </w:rPr>
                      </w:pPr>
                      <w:r w:rsidRPr="00062FC7">
                        <w:rPr>
                          <w:lang w:val="nl-NL"/>
                        </w:rPr>
                        <w:t>Trinomics B.V.</w:t>
                      </w:r>
                    </w:p>
                    <w:p w14:paraId="017842A8" w14:textId="77777777" w:rsidR="00C54943" w:rsidRPr="00062FC7" w:rsidRDefault="00C54943" w:rsidP="002F1771">
                      <w:pPr>
                        <w:ind w:left="0"/>
                        <w:rPr>
                          <w:lang w:val="nl-NL"/>
                        </w:rPr>
                      </w:pPr>
                      <w:r w:rsidRPr="00062FC7">
                        <w:rPr>
                          <w:lang w:val="nl-NL"/>
                        </w:rPr>
                        <w:t>Westersingel 34</w:t>
                      </w:r>
                    </w:p>
                    <w:p w14:paraId="7DA1E9A4" w14:textId="77777777" w:rsidR="00C54943" w:rsidRPr="00062FC7" w:rsidRDefault="00C54943" w:rsidP="002F1771">
                      <w:pPr>
                        <w:ind w:left="0"/>
                        <w:rPr>
                          <w:lang w:val="nl-NL"/>
                        </w:rPr>
                      </w:pPr>
                      <w:r w:rsidRPr="00062FC7">
                        <w:rPr>
                          <w:lang w:val="nl-NL"/>
                        </w:rPr>
                        <w:t>3014 GS Rotterdam</w:t>
                      </w:r>
                    </w:p>
                    <w:p w14:paraId="478D24C7" w14:textId="77777777" w:rsidR="00C54943" w:rsidRPr="00973270" w:rsidRDefault="00C54943" w:rsidP="002F1771">
                      <w:pPr>
                        <w:ind w:left="0"/>
                      </w:pPr>
                      <w:r w:rsidRPr="00973270">
                        <w:t>The Netherlands</w:t>
                      </w:r>
                    </w:p>
                    <w:p w14:paraId="0CC8B067" w14:textId="77777777" w:rsidR="00C54943" w:rsidRPr="00973270" w:rsidRDefault="00C54943" w:rsidP="002F1771">
                      <w:pPr>
                        <w:ind w:left="0"/>
                      </w:pPr>
                    </w:p>
                    <w:p w14:paraId="0A24052F" w14:textId="77777777" w:rsidR="00C54943" w:rsidRPr="00062FC7" w:rsidRDefault="00C54943" w:rsidP="002F1771">
                      <w:pPr>
                        <w:ind w:left="0"/>
                      </w:pPr>
                      <w:r w:rsidRPr="00062FC7">
                        <w:t>T +31 (0) 10 3414 592</w:t>
                      </w:r>
                    </w:p>
                    <w:p w14:paraId="22E7A488" w14:textId="77777777" w:rsidR="00C54943" w:rsidRPr="00B62D69" w:rsidRDefault="003112C1" w:rsidP="002F1771">
                      <w:pPr>
                        <w:ind w:left="0"/>
                        <w:rPr>
                          <w:szCs w:val="18"/>
                        </w:rPr>
                      </w:pPr>
                      <w:hyperlink r:id="rId31" w:history="1">
                        <w:r w:rsidR="00C54943" w:rsidRPr="00B62D69">
                          <w:rPr>
                            <w:rStyle w:val="Hyperlink"/>
                            <w:szCs w:val="18"/>
                          </w:rPr>
                          <w:t>www.trinomics.eu</w:t>
                        </w:r>
                      </w:hyperlink>
                    </w:p>
                    <w:p w14:paraId="2B9FC1AF" w14:textId="77777777" w:rsidR="00C54943" w:rsidRPr="00B62D69" w:rsidRDefault="00C54943" w:rsidP="002F1771">
                      <w:pPr>
                        <w:ind w:left="0"/>
                      </w:pPr>
                    </w:p>
                    <w:p w14:paraId="2AD62CF8" w14:textId="77777777" w:rsidR="00C54943" w:rsidRPr="00750021" w:rsidRDefault="00C54943" w:rsidP="002F1771">
                      <w:pPr>
                        <w:ind w:left="0"/>
                        <w:rPr>
                          <w:lang w:val="pt-PT"/>
                        </w:rPr>
                      </w:pPr>
                      <w:r w:rsidRPr="00750021">
                        <w:rPr>
                          <w:lang w:val="pt-PT"/>
                        </w:rPr>
                        <w:t>KvK n°: 56028016</w:t>
                      </w:r>
                    </w:p>
                    <w:p w14:paraId="7587EA20" w14:textId="77777777" w:rsidR="00C54943" w:rsidRPr="00587565" w:rsidRDefault="00C54943" w:rsidP="002F1771">
                      <w:pPr>
                        <w:ind w:left="0"/>
                        <w:rPr>
                          <w:szCs w:val="18"/>
                          <w:lang w:val="nl-NL"/>
                        </w:rPr>
                      </w:pPr>
                      <w:r w:rsidRPr="00587565">
                        <w:rPr>
                          <w:lang w:val="nl-NL"/>
                        </w:rPr>
                        <w:t>VAT n°: NL8519.48.662.B01</w:t>
                      </w:r>
                    </w:p>
                    <w:p w14:paraId="7A2DCB20" w14:textId="77777777" w:rsidR="00C54943" w:rsidRPr="00062FC7" w:rsidRDefault="00C54943">
                      <w:pPr>
                        <w:rPr>
                          <w:lang w:val="nl-NL"/>
                        </w:rPr>
                      </w:pPr>
                    </w:p>
                  </w:txbxContent>
                </v:textbox>
              </v:shape>
            </w:pict>
          </mc:Fallback>
        </mc:AlternateContent>
      </w:r>
      <w:r w:rsidR="009976CE" w:rsidRPr="00446DB1">
        <w:rPr>
          <w:noProof/>
          <w:lang w:val="cs-CZ" w:eastAsia="cs-CZ"/>
        </w:rPr>
        <mc:AlternateContent>
          <mc:Choice Requires="wps">
            <w:drawing>
              <wp:anchor distT="0" distB="0" distL="114300" distR="114300" simplePos="0" relativeHeight="251658242" behindDoc="1" locked="0" layoutInCell="1" allowOverlap="1" wp14:anchorId="738004FC" wp14:editId="114C22FF">
                <wp:simplePos x="0" y="0"/>
                <wp:positionH relativeFrom="margin">
                  <wp:align>center</wp:align>
                </wp:positionH>
                <wp:positionV relativeFrom="page">
                  <wp:posOffset>381000</wp:posOffset>
                </wp:positionV>
                <wp:extent cx="7077075" cy="7543800"/>
                <wp:effectExtent l="0" t="0" r="9525"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7543800"/>
                        </a:xfrm>
                        <a:prstGeom prst="rect">
                          <a:avLst/>
                        </a:prstGeom>
                        <a:solidFill>
                          <a:srgbClr val="ECEBE1"/>
                        </a:solidFill>
                        <a:ln w="9525">
                          <a:no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rect w14:anchorId="24A18657" id="Rectangle 1" o:spid="_x0000_s1026" style="position:absolute;margin-left:0;margin-top:30pt;width:557.25pt;height:594pt;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" fillcolor="#ecebe1" stroked="f">
                <w10:wrap anchorx="margin" anchory="page"/>
              </v:rect>
            </w:pict>
          </mc:Fallback>
        </mc:AlternateContent>
      </w:r>
      <w:bookmarkEnd w:id="246"/>
      <w:bookmarkEnd w:id="247"/>
    </w:p>
    <w:p w14:paraId="106FD558" w14:textId="77777777" w:rsidR="00DB019C" w:rsidRPr="00875E14" w:rsidRDefault="00DB019C" w:rsidP="008059BC"/>
    <w:p w14:paraId="2D585C7F" w14:textId="77777777" w:rsidR="00DB019C" w:rsidRPr="00875E14" w:rsidRDefault="00DB019C" w:rsidP="008059BC"/>
    <w:p w14:paraId="31E15193" w14:textId="77777777" w:rsidR="00DB019C" w:rsidRPr="00875E14" w:rsidRDefault="00DB019C" w:rsidP="008059BC"/>
    <w:p w14:paraId="2C033B49" w14:textId="77777777" w:rsidR="009976CE" w:rsidRPr="00875E14" w:rsidRDefault="009976CE" w:rsidP="008059BC"/>
    <w:p w14:paraId="130632EB" w14:textId="77777777" w:rsidR="009976CE" w:rsidRPr="00875E14" w:rsidRDefault="009976CE" w:rsidP="008059BC"/>
    <w:p w14:paraId="6FDC1B37" w14:textId="77777777" w:rsidR="009976CE" w:rsidRPr="00875E14" w:rsidRDefault="009976CE" w:rsidP="008059BC"/>
    <w:p w14:paraId="6A0CEF82" w14:textId="77777777" w:rsidR="009976CE" w:rsidRPr="00875E14" w:rsidRDefault="009976CE" w:rsidP="008059BC"/>
    <w:p w14:paraId="0D4D490A" w14:textId="77777777" w:rsidR="009976CE" w:rsidRPr="00875E14" w:rsidRDefault="009976CE" w:rsidP="008059BC"/>
    <w:p w14:paraId="68F7ACF1" w14:textId="77777777" w:rsidR="00A77E49" w:rsidRPr="00875E14" w:rsidRDefault="00A77E49" w:rsidP="008059BC"/>
    <w:p w14:paraId="00B28F1E" w14:textId="77777777" w:rsidR="00572DD4" w:rsidRPr="00875E14" w:rsidRDefault="00572DD4" w:rsidP="008059BC"/>
    <w:p w14:paraId="5D292526" w14:textId="77777777" w:rsidR="00572DD4" w:rsidRPr="00875E14" w:rsidRDefault="00572DD4" w:rsidP="008059BC"/>
    <w:p w14:paraId="0E8305F0" w14:textId="77777777" w:rsidR="00572DD4" w:rsidRPr="00875E14" w:rsidRDefault="00572DD4" w:rsidP="008059BC"/>
    <w:p w14:paraId="5387930A" w14:textId="77777777" w:rsidR="009976CE" w:rsidRPr="00875E14" w:rsidRDefault="009976CE" w:rsidP="008059BC"/>
    <w:p w14:paraId="1320D215" w14:textId="77777777" w:rsidR="009976CE" w:rsidRPr="00875E14" w:rsidRDefault="009976CE" w:rsidP="008059BC"/>
    <w:p w14:paraId="6D28353C" w14:textId="77777777" w:rsidR="009976CE" w:rsidRPr="00875E14" w:rsidRDefault="009976CE" w:rsidP="008059BC"/>
    <w:p w14:paraId="3A8F352F" w14:textId="77777777" w:rsidR="009976CE" w:rsidRPr="00875E14" w:rsidRDefault="009976CE" w:rsidP="008059BC"/>
    <w:p w14:paraId="22F8259E" w14:textId="77777777" w:rsidR="009976CE" w:rsidRPr="00875E14" w:rsidRDefault="009976CE" w:rsidP="008059BC"/>
    <w:p w14:paraId="24C7D433" w14:textId="77777777" w:rsidR="009976CE" w:rsidRPr="009D40C1" w:rsidRDefault="00D803B9" w:rsidP="008059BC">
      <w:r w:rsidRPr="00446DB1">
        <w:rPr>
          <w:noProof/>
          <w:lang w:val="cs-CZ" w:eastAsia="cs-CZ"/>
        </w:rPr>
        <w:drawing>
          <wp:anchor distT="0" distB="0" distL="114300" distR="114300" simplePos="0" relativeHeight="251658245" behindDoc="1" locked="0" layoutInCell="1" allowOverlap="1" wp14:anchorId="30E75665" wp14:editId="35EA3EA7">
            <wp:simplePos x="0" y="0"/>
            <wp:positionH relativeFrom="margin">
              <wp:align>center</wp:align>
            </wp:positionH>
            <wp:positionV relativeFrom="paragraph">
              <wp:posOffset>-114935</wp:posOffset>
            </wp:positionV>
            <wp:extent cx="3247621"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sectPr w:rsidR="009976CE" w:rsidRPr="009D40C1" w:rsidSect="002022F4">
      <w:footerReference w:type="default" r:id="rId32"/>
      <w:type w:val="evenPag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C14AF" w14:textId="77777777" w:rsidR="00A56A1E" w:rsidRDefault="00A56A1E" w:rsidP="008059BC">
      <w:r>
        <w:separator/>
      </w:r>
    </w:p>
  </w:endnote>
  <w:endnote w:type="continuationSeparator" w:id="0">
    <w:p w14:paraId="55E7F608" w14:textId="77777777" w:rsidR="00A56A1E" w:rsidRDefault="00A56A1E" w:rsidP="008059BC">
      <w:r>
        <w:continuationSeparator/>
      </w:r>
    </w:p>
  </w:endnote>
  <w:endnote w:type="continuationNotice" w:id="1">
    <w:p w14:paraId="46B525EC" w14:textId="77777777" w:rsidR="00A56A1E" w:rsidRDefault="00A56A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EC Square Sans Pro">
    <w:altName w:val="Arial"/>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ÍH_">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8F42" w14:textId="77777777" w:rsidR="00C54943" w:rsidRDefault="00C54943" w:rsidP="008059BC">
    <w:pPr>
      <w:pStyle w:val="Pedmtkomente"/>
    </w:pPr>
    <w:r>
      <w:rPr>
        <w:noProof/>
        <w:lang w:eastAsia="en-GB"/>
      </w:rPr>
      <w:ptab w:relativeTo="margin" w:alignment="center" w:leader="none"/>
    </w:r>
    <w:r>
      <w:rPr>
        <w:noProof/>
        <w:lang w:val="cs-CZ" w:eastAsia="cs-CZ"/>
      </w:rPr>
      <w:drawing>
        <wp:anchor distT="0" distB="0" distL="114300" distR="114300" simplePos="0" relativeHeight="251658240" behindDoc="1" locked="0" layoutInCell="1" allowOverlap="1" wp14:anchorId="797F1DBA" wp14:editId="1CA45764">
          <wp:simplePos x="0" y="0"/>
          <wp:positionH relativeFrom="margin">
            <wp:align>center</wp:align>
          </wp:positionH>
          <wp:positionV relativeFrom="paragraph">
            <wp:posOffset>-706120</wp:posOffset>
          </wp:positionV>
          <wp:extent cx="3247621"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BB7C" w14:textId="77777777" w:rsidR="00C54943" w:rsidRDefault="00C54943" w:rsidP="008059BC">
    <w:pPr>
      <w:pStyle w:val="Pedmtkomen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717281"/>
      <w:docPartObj>
        <w:docPartGallery w:val="Page Numbers (Bottom of Page)"/>
        <w:docPartUnique/>
      </w:docPartObj>
    </w:sdtPr>
    <w:sdtEndPr>
      <w:rPr>
        <w:sz w:val="14"/>
        <w:szCs w:val="14"/>
      </w:rPr>
    </w:sdtEndPr>
    <w:sdtContent>
      <w:p w14:paraId="0721B9E3" w14:textId="6F54EDC5" w:rsidR="00C54943" w:rsidRPr="005B0DF1" w:rsidRDefault="00C54943" w:rsidP="005B0DF1">
        <w:pPr>
          <w:pStyle w:val="Pedmtkomente"/>
          <w:jc w:val="center"/>
          <w:rPr>
            <w:sz w:val="14"/>
            <w:szCs w:val="14"/>
          </w:rPr>
        </w:pPr>
        <w:r w:rsidRPr="00DF4A91">
          <w:rPr>
            <w:b w:val="0"/>
            <w:bCs w:val="0"/>
            <w:sz w:val="14"/>
            <w:szCs w:val="14"/>
          </w:rPr>
          <w:fldChar w:fldCharType="begin"/>
        </w:r>
        <w:r w:rsidRPr="00DF4A91">
          <w:rPr>
            <w:b w:val="0"/>
            <w:bCs w:val="0"/>
            <w:sz w:val="14"/>
            <w:szCs w:val="14"/>
          </w:rPr>
          <w:instrText xml:space="preserve"> PAGE   \* MERGEFORMAT </w:instrText>
        </w:r>
        <w:r w:rsidRPr="00DF4A91">
          <w:rPr>
            <w:b w:val="0"/>
            <w:bCs w:val="0"/>
            <w:sz w:val="14"/>
            <w:szCs w:val="14"/>
          </w:rPr>
          <w:fldChar w:fldCharType="separate"/>
        </w:r>
        <w:r w:rsidR="0031368D">
          <w:rPr>
            <w:b w:val="0"/>
            <w:bCs w:val="0"/>
            <w:noProof/>
            <w:sz w:val="14"/>
            <w:szCs w:val="14"/>
          </w:rPr>
          <w:t>25</w:t>
        </w:r>
        <w:r w:rsidRPr="00DF4A91">
          <w:rPr>
            <w:b w:val="0"/>
            <w:bCs w:val="0"/>
            <w:sz w:val="14"/>
            <w:szCs w:val="1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06683"/>
      <w:docPartObj>
        <w:docPartGallery w:val="Page Numbers (Bottom of Page)"/>
        <w:docPartUnique/>
      </w:docPartObj>
    </w:sdtPr>
    <w:sdtEndPr>
      <w:rPr>
        <w:sz w:val="14"/>
        <w:szCs w:val="14"/>
      </w:rPr>
    </w:sdtEndPr>
    <w:sdtContent>
      <w:p w14:paraId="5A6F9A41" w14:textId="0CBC5D0A" w:rsidR="006F0667" w:rsidRPr="005B0DF1" w:rsidRDefault="006F0667" w:rsidP="005B0DF1">
        <w:pPr>
          <w:pStyle w:val="Pedmtkomente"/>
          <w:jc w:val="center"/>
          <w:rPr>
            <w:sz w:val="14"/>
            <w:szCs w:val="14"/>
          </w:rPr>
        </w:pPr>
        <w:r w:rsidRPr="00DF4A91">
          <w:rPr>
            <w:b w:val="0"/>
            <w:bCs w:val="0"/>
            <w:sz w:val="14"/>
            <w:szCs w:val="14"/>
          </w:rPr>
          <w:fldChar w:fldCharType="begin"/>
        </w:r>
        <w:r w:rsidRPr="00DF4A91">
          <w:rPr>
            <w:b w:val="0"/>
            <w:bCs w:val="0"/>
            <w:sz w:val="14"/>
            <w:szCs w:val="14"/>
          </w:rPr>
          <w:instrText xml:space="preserve"> PAGE   \* MERGEFORMAT </w:instrText>
        </w:r>
        <w:r w:rsidRPr="00DF4A91">
          <w:rPr>
            <w:b w:val="0"/>
            <w:bCs w:val="0"/>
            <w:sz w:val="14"/>
            <w:szCs w:val="14"/>
          </w:rPr>
          <w:fldChar w:fldCharType="separate"/>
        </w:r>
        <w:r w:rsidR="0031368D">
          <w:rPr>
            <w:b w:val="0"/>
            <w:bCs w:val="0"/>
            <w:noProof/>
            <w:sz w:val="14"/>
            <w:szCs w:val="14"/>
          </w:rPr>
          <w:t>61</w:t>
        </w:r>
        <w:r w:rsidRPr="00DF4A91">
          <w:rPr>
            <w:b w:val="0"/>
            <w:bCs w:val="0"/>
            <w:sz w:val="14"/>
            <w:szCs w:val="1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E7EE" w14:textId="77777777" w:rsidR="00C54943" w:rsidRPr="00CB7234" w:rsidRDefault="00C54943" w:rsidP="008059BC">
    <w:pPr>
      <w:pStyle w:val="Pedmtkomente"/>
    </w:pPr>
  </w:p>
  <w:p w14:paraId="7C207ECF" w14:textId="77777777" w:rsidR="00C54943" w:rsidRDefault="00C54943" w:rsidP="008059BC">
    <w:pPr>
      <w:pStyle w:val="Pedmtkomen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09C5D" w14:textId="77777777" w:rsidR="00A56A1E" w:rsidRDefault="00A56A1E" w:rsidP="008059BC">
      <w:r>
        <w:separator/>
      </w:r>
    </w:p>
  </w:footnote>
  <w:footnote w:type="continuationSeparator" w:id="0">
    <w:p w14:paraId="183A5B49" w14:textId="77777777" w:rsidR="00A56A1E" w:rsidRDefault="00A56A1E" w:rsidP="008059BC">
      <w:r>
        <w:continuationSeparator/>
      </w:r>
    </w:p>
  </w:footnote>
  <w:footnote w:type="continuationNotice" w:id="1">
    <w:p w14:paraId="75187103" w14:textId="77777777" w:rsidR="00A56A1E" w:rsidRPr="00447114" w:rsidRDefault="00A56A1E">
      <w:pPr>
        <w:spacing w:line="240" w:lineRule="auto"/>
      </w:pPr>
    </w:p>
  </w:footnote>
  <w:footnote w:id="2">
    <w:p w14:paraId="4BBC7BD1" w14:textId="77777777" w:rsidR="00C54943" w:rsidRPr="00724CEB" w:rsidRDefault="00C54943" w:rsidP="00CF11B0">
      <w:pPr>
        <w:pStyle w:val="Textpoznpodarou"/>
        <w:rPr>
          <w:sz w:val="14"/>
          <w:szCs w:val="14"/>
        </w:rPr>
      </w:pPr>
      <w:r w:rsidRPr="00724CEB">
        <w:rPr>
          <w:rStyle w:val="Znakapoznpodarou"/>
          <w:sz w:val="14"/>
          <w:szCs w:val="14"/>
        </w:rPr>
        <w:footnoteRef/>
      </w:r>
      <w:r w:rsidRPr="00724CEB">
        <w:rPr>
          <w:sz w:val="14"/>
          <w:szCs w:val="14"/>
        </w:rPr>
        <w:t xml:space="preserve"> </w:t>
      </w:r>
      <w:r w:rsidRPr="00724CEB">
        <w:rPr>
          <w:rStyle w:val="foonoteChar"/>
          <w:rFonts w:ascii="Trebuchet MS" w:hAnsi="Trebuchet MS"/>
          <w:sz w:val="14"/>
          <w:szCs w:val="14"/>
        </w:rPr>
        <w:t xml:space="preserve">C(2021) 1054, Technical guidance on the application of “do no significant harm” under the Recovery and Resilience Facility Regulation </w:t>
      </w:r>
      <w:hyperlink r:id="rId1" w:history="1">
        <w:r w:rsidRPr="0079089A">
          <w:rPr>
            <w:rStyle w:val="Hypertextovodkaz"/>
            <w:rFonts w:cs="Arial"/>
            <w:sz w:val="14"/>
            <w:szCs w:val="14"/>
          </w:rPr>
          <w:t>https://ec.europa.eu/info/sites/default/files/c2021_1054_en.pdf</w:t>
        </w:r>
      </w:hyperlink>
      <w:r>
        <w:rPr>
          <w:rStyle w:val="foonoteChar"/>
          <w:rFonts w:ascii="Trebuchet MS" w:hAnsi="Trebuchet MS"/>
          <w:sz w:val="14"/>
          <w:szCs w:val="14"/>
        </w:rPr>
        <w:t xml:space="preserve"> </w:t>
      </w:r>
    </w:p>
  </w:footnote>
  <w:footnote w:id="3">
    <w:p w14:paraId="39DDC486" w14:textId="1FB7185D" w:rsidR="00C54943" w:rsidRPr="00657119" w:rsidRDefault="00C54943">
      <w:pPr>
        <w:pStyle w:val="Textpoznpodarou"/>
        <w:rPr>
          <w:sz w:val="14"/>
          <w:szCs w:val="14"/>
        </w:rPr>
      </w:pPr>
      <w:r w:rsidRPr="00657119">
        <w:rPr>
          <w:rStyle w:val="Znakapoznpodarou"/>
          <w:sz w:val="14"/>
          <w:szCs w:val="14"/>
        </w:rPr>
        <w:footnoteRef/>
      </w:r>
      <w:r w:rsidRPr="00657119">
        <w:rPr>
          <w:sz w:val="14"/>
          <w:szCs w:val="14"/>
        </w:rPr>
        <w:t xml:space="preserve"> </w:t>
      </w:r>
      <w:r w:rsidRPr="00435443">
        <w:rPr>
          <w:rStyle w:val="foonoteChar"/>
          <w:rFonts w:ascii="Trebuchet MS" w:hAnsi="Trebuchet MS"/>
          <w:sz w:val="14"/>
          <w:szCs w:val="14"/>
        </w:rPr>
        <w:t>Order TED/1374/2021</w:t>
      </w:r>
    </w:p>
  </w:footnote>
  <w:footnote w:id="4">
    <w:p w14:paraId="44850BF3" w14:textId="6D43F723" w:rsidR="00C54943" w:rsidRDefault="00C54943">
      <w:pPr>
        <w:pStyle w:val="Textpoznpodarou"/>
      </w:pPr>
      <w:r w:rsidRPr="00657119">
        <w:rPr>
          <w:rStyle w:val="Znakapoznpodarou"/>
          <w:sz w:val="14"/>
          <w:szCs w:val="14"/>
        </w:rPr>
        <w:footnoteRef/>
      </w:r>
      <w:r w:rsidRPr="00657119">
        <w:rPr>
          <w:sz w:val="14"/>
          <w:szCs w:val="14"/>
        </w:rPr>
        <w:t xml:space="preserve"> </w:t>
      </w:r>
      <w:r w:rsidRPr="00435443">
        <w:rPr>
          <w:rStyle w:val="foonoteChar"/>
          <w:rFonts w:ascii="Trebuchet MS" w:hAnsi="Trebuchet MS"/>
          <w:sz w:val="14"/>
          <w:szCs w:val="14"/>
        </w:rPr>
        <w:t>Note to the Council of Ministers, March 2022</w:t>
      </w:r>
    </w:p>
  </w:footnote>
  <w:footnote w:id="5">
    <w:p w14:paraId="579D697B" w14:textId="309057AF" w:rsidR="00C54943" w:rsidRPr="00435443" w:rsidRDefault="00C54943">
      <w:pPr>
        <w:pStyle w:val="Textpoznpodarou"/>
        <w:rPr>
          <w:sz w:val="14"/>
          <w:szCs w:val="14"/>
        </w:rPr>
      </w:pPr>
      <w:r w:rsidRPr="00435443">
        <w:rPr>
          <w:rStyle w:val="Znakapoznpodarou"/>
          <w:sz w:val="14"/>
          <w:szCs w:val="14"/>
        </w:rPr>
        <w:footnoteRef/>
      </w:r>
      <w:r w:rsidRPr="00435443">
        <w:rPr>
          <w:sz w:val="14"/>
          <w:szCs w:val="14"/>
        </w:rPr>
        <w:t xml:space="preserve"> </w:t>
      </w:r>
      <w:r w:rsidRPr="00435443">
        <w:rPr>
          <w:sz w:val="14"/>
          <w:szCs w:val="14"/>
          <w:lang w:val="en-GB"/>
        </w:rPr>
        <w:t>Cf. the helpdesk’s mandate to coordinate and ensure alignment, and the Federal Planning Bureau’s secretariat mandate.</w:t>
      </w:r>
    </w:p>
  </w:footnote>
  <w:footnote w:id="6">
    <w:p w14:paraId="4898CB18" w14:textId="77777777" w:rsidR="00C54943" w:rsidRPr="00A53A7B" w:rsidRDefault="00C54943" w:rsidP="009937DB">
      <w:pPr>
        <w:pStyle w:val="Textpoznpodarou"/>
        <w:rPr>
          <w:sz w:val="14"/>
          <w:szCs w:val="14"/>
        </w:rPr>
      </w:pPr>
      <w:r w:rsidRPr="00A53A7B">
        <w:rPr>
          <w:rStyle w:val="Znakapoznpodarou"/>
          <w:sz w:val="14"/>
          <w:szCs w:val="14"/>
        </w:rPr>
        <w:footnoteRef/>
      </w:r>
      <w:r w:rsidRPr="00A53A7B">
        <w:rPr>
          <w:rStyle w:val="foonoteChar"/>
          <w:rFonts w:ascii="Trebuchet MS" w:hAnsi="Trebuchet MS"/>
          <w:sz w:val="14"/>
          <w:szCs w:val="14"/>
        </w:rPr>
        <w:t xml:space="preserve"> This analysis was conducted in 2020. </w:t>
      </w:r>
      <w:r w:rsidRPr="001D4CF2">
        <w:rPr>
          <w:rStyle w:val="foonoteChar"/>
          <w:sz w:val="14"/>
          <w:szCs w:val="14"/>
        </w:rPr>
        <w:t xml:space="preserve">See </w:t>
      </w:r>
      <w:hyperlink r:id="rId2" w:history="1">
        <w:r w:rsidRPr="00A174BC">
          <w:rPr>
            <w:rStyle w:val="Hypertextovodkaz"/>
            <w:rFonts w:ascii="Arial" w:hAnsi="Arial" w:cs="Arial"/>
            <w:sz w:val="14"/>
            <w:szCs w:val="14"/>
          </w:rPr>
          <w:t>https://sustainabledevelopment.un.org/memberstates/czechrepublic</w:t>
        </w:r>
      </w:hyperlink>
      <w:r>
        <w:rPr>
          <w:rStyle w:val="foonoteChar"/>
          <w:sz w:val="14"/>
          <w:szCs w:val="14"/>
        </w:rPr>
        <w:t xml:space="preserve"> </w:t>
      </w:r>
    </w:p>
  </w:footnote>
  <w:footnote w:id="7">
    <w:p w14:paraId="05ED5C4D" w14:textId="77777777" w:rsidR="008A055F" w:rsidRPr="00A53A7B" w:rsidRDefault="008A055F" w:rsidP="008A055F">
      <w:pPr>
        <w:pStyle w:val="foonote"/>
        <w:rPr>
          <w:rFonts w:ascii="Trebuchet MS" w:hAnsi="Trebuchet MS"/>
          <w:sz w:val="14"/>
          <w:szCs w:val="14"/>
        </w:rPr>
      </w:pPr>
      <w:r w:rsidRPr="00A53A7B">
        <w:rPr>
          <w:rStyle w:val="Znakapoznpodarou"/>
          <w:rFonts w:ascii="Trebuchet MS" w:hAnsi="Trebuchet MS"/>
          <w:sz w:val="14"/>
          <w:szCs w:val="14"/>
        </w:rPr>
        <w:footnoteRef/>
      </w:r>
      <w:r w:rsidRPr="00A53A7B">
        <w:rPr>
          <w:rFonts w:ascii="Trebuchet MS" w:hAnsi="Trebuchet MS"/>
          <w:sz w:val="14"/>
          <w:szCs w:val="14"/>
        </w:rPr>
        <w:t xml:space="preserve"> Originally, the 3rd webinar was scheduled for 9 February, but was postponed due to unavailability of some key speakers. </w:t>
      </w:r>
    </w:p>
  </w:footnote>
  <w:footnote w:id="8">
    <w:p w14:paraId="7DFAB9EE" w14:textId="77777777" w:rsidR="008A055F" w:rsidRPr="000A1F47" w:rsidRDefault="008A055F" w:rsidP="008A055F">
      <w:pPr>
        <w:pStyle w:val="foonote"/>
      </w:pPr>
      <w:r w:rsidRPr="00A53A7B">
        <w:rPr>
          <w:rStyle w:val="Znakapoznpodarou"/>
          <w:rFonts w:ascii="Trebuchet MS" w:hAnsi="Trebuchet MS"/>
          <w:sz w:val="14"/>
          <w:szCs w:val="14"/>
        </w:rPr>
        <w:footnoteRef/>
      </w:r>
      <w:r w:rsidRPr="00A53A7B">
        <w:rPr>
          <w:rFonts w:ascii="Trebuchet MS" w:hAnsi="Trebuchet MS"/>
          <w:sz w:val="14"/>
          <w:szCs w:val="14"/>
        </w:rPr>
        <w:t xml:space="preserve"> The platform did not </w:t>
      </w:r>
      <w:r>
        <w:rPr>
          <w:rFonts w:ascii="Trebuchet MS" w:hAnsi="Trebuchet MS"/>
          <w:sz w:val="14"/>
          <w:szCs w:val="14"/>
        </w:rPr>
        <w:t>generate</w:t>
      </w:r>
      <w:r w:rsidRPr="00A53A7B">
        <w:rPr>
          <w:rFonts w:ascii="Trebuchet MS" w:hAnsi="Trebuchet MS"/>
          <w:sz w:val="14"/>
          <w:szCs w:val="14"/>
        </w:rPr>
        <w:t xml:space="preserve"> attendee report for the first webinar.</w:t>
      </w:r>
      <w:r w:rsidRPr="000A1F47">
        <w:t xml:space="preserve"> </w:t>
      </w:r>
    </w:p>
  </w:footnote>
  <w:footnote w:id="9">
    <w:p w14:paraId="38F416F3" w14:textId="77777777" w:rsidR="00C54943" w:rsidRPr="00634C2D" w:rsidRDefault="00C54943" w:rsidP="00634C2D">
      <w:pPr>
        <w:pStyle w:val="foonote"/>
        <w:ind w:left="0"/>
        <w:rPr>
          <w:rFonts w:ascii="Trebuchet MS" w:hAnsi="Trebuchet MS"/>
        </w:rPr>
      </w:pPr>
      <w:r w:rsidRPr="00634C2D">
        <w:rPr>
          <w:rStyle w:val="Znakapoznpodarou"/>
          <w:rFonts w:ascii="Trebuchet MS" w:hAnsi="Trebuchet MS"/>
        </w:rPr>
        <w:footnoteRef/>
      </w:r>
      <w:r w:rsidRPr="00634C2D">
        <w:rPr>
          <w:rFonts w:ascii="Trebuchet MS" w:hAnsi="Trebuchet MS"/>
        </w:rPr>
        <w:t xml:space="preserve"> In addition, the webinar will be recorded for purposes of wider dissemination within the Czech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73133" w14:textId="47039BB2" w:rsidR="00C54943" w:rsidRPr="00187CA4" w:rsidRDefault="00C54943" w:rsidP="00DC58BE">
    <w:pPr>
      <w:pStyle w:val="Textkomente"/>
      <w:ind w:left="0"/>
      <w:rPr>
        <w:bCs/>
        <w:sz w:val="14"/>
        <w:szCs w:val="14"/>
        <w:lang w:val="en-IE"/>
      </w:rPr>
    </w:pPr>
    <w:r w:rsidRPr="00187CA4">
      <w:rPr>
        <w:bCs/>
        <w:noProof/>
        <w:sz w:val="14"/>
        <w:szCs w:val="14"/>
        <w:lang w:val="cs-CZ" w:eastAsia="cs-CZ"/>
      </w:rPr>
      <w:drawing>
        <wp:anchor distT="0" distB="0" distL="114300" distR="114300" simplePos="0" relativeHeight="251658241" behindDoc="0" locked="0" layoutInCell="1" allowOverlap="1" wp14:anchorId="67B963AE" wp14:editId="4E31E792">
          <wp:simplePos x="0" y="0"/>
          <wp:positionH relativeFrom="column">
            <wp:posOffset>5124450</wp:posOffset>
          </wp:positionH>
          <wp:positionV relativeFrom="paragraph">
            <wp:posOffset>-144780</wp:posOffset>
          </wp:positionV>
          <wp:extent cx="990600" cy="358775"/>
          <wp:effectExtent l="0" t="0" r="0" b="0"/>
          <wp:wrapSquare wrapText="bothSides"/>
          <wp:docPr id="1156960648" name="Picture 11569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nomics-small atico 2.png"/>
                  <pic:cNvPicPr/>
                </pic:nvPicPr>
                <pic:blipFill>
                  <a:blip r:embed="rId1">
                    <a:extLst>
                      <a:ext uri="{28A0092B-C50C-407E-A947-70E740481C1C}">
                        <a14:useLocalDpi xmlns:a14="http://schemas.microsoft.com/office/drawing/2010/main" val="0"/>
                      </a:ext>
                    </a:extLst>
                  </a:blip>
                  <a:stretch>
                    <a:fillRect/>
                  </a:stretch>
                </pic:blipFill>
                <pic:spPr>
                  <a:xfrm>
                    <a:off x="0" y="0"/>
                    <a:ext cx="990600" cy="358775"/>
                  </a:xfrm>
                  <a:prstGeom prst="rect">
                    <a:avLst/>
                  </a:prstGeom>
                </pic:spPr>
              </pic:pic>
            </a:graphicData>
          </a:graphic>
          <wp14:sizeRelH relativeFrom="page">
            <wp14:pctWidth>0</wp14:pctWidth>
          </wp14:sizeRelH>
          <wp14:sizeRelV relativeFrom="page">
            <wp14:pctHeight>0</wp14:pctHeight>
          </wp14:sizeRelV>
        </wp:anchor>
      </w:drawing>
    </w:r>
    <w:r w:rsidR="005C7F35">
      <w:rPr>
        <w:bCs/>
        <w:sz w:val="14"/>
        <w:szCs w:val="14"/>
        <w:lang w:val="en-IE"/>
      </w:rPr>
      <w:t xml:space="preserve">DLV3 - </w:t>
    </w:r>
    <w:r w:rsidRPr="00187CA4">
      <w:rPr>
        <w:bCs/>
        <w:sz w:val="14"/>
        <w:szCs w:val="14"/>
        <w:lang w:val="en-IE"/>
      </w:rPr>
      <w:t>Methodology for the application of the DNSH principle at the national level in Czechia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426"/>
    <w:multiLevelType w:val="multilevel"/>
    <w:tmpl w:val="EFE24D50"/>
    <w:lvl w:ilvl="0">
      <w:start w:val="1"/>
      <w:numFmt w:val="bullet"/>
      <w:lvlText w:val=""/>
      <w:lvlJc w:val="left"/>
      <w:pPr>
        <w:ind w:left="1287" w:hanging="360"/>
      </w:pPr>
      <w:rPr>
        <w:rFonts w:ascii="Symbol" w:hAnsi="Symbol" w:hint="default"/>
        <w:color w:val="00596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C5E69"/>
    <w:multiLevelType w:val="hybridMultilevel"/>
    <w:tmpl w:val="58E27332"/>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06B75065"/>
    <w:multiLevelType w:val="hybridMultilevel"/>
    <w:tmpl w:val="DFE25C9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09233693"/>
    <w:multiLevelType w:val="hybridMultilevel"/>
    <w:tmpl w:val="E146BD84"/>
    <w:lvl w:ilvl="0" w:tplc="E88CE6CE">
      <w:start w:val="1"/>
      <w:numFmt w:val="bullet"/>
      <w:lvlText w:val=""/>
      <w:lvlJc w:val="left"/>
      <w:pPr>
        <w:ind w:left="720" w:hanging="360"/>
      </w:pPr>
      <w:rPr>
        <w:rFonts w:ascii="Symbol" w:hAnsi="Symbol"/>
      </w:rPr>
    </w:lvl>
    <w:lvl w:ilvl="1" w:tplc="32A2BAFC">
      <w:start w:val="1"/>
      <w:numFmt w:val="bullet"/>
      <w:lvlText w:val=""/>
      <w:lvlJc w:val="left"/>
      <w:pPr>
        <w:ind w:left="720" w:hanging="360"/>
      </w:pPr>
      <w:rPr>
        <w:rFonts w:ascii="Symbol" w:hAnsi="Symbol"/>
      </w:rPr>
    </w:lvl>
    <w:lvl w:ilvl="2" w:tplc="F964293E">
      <w:start w:val="1"/>
      <w:numFmt w:val="bullet"/>
      <w:lvlText w:val=""/>
      <w:lvlJc w:val="left"/>
      <w:pPr>
        <w:ind w:left="720" w:hanging="360"/>
      </w:pPr>
      <w:rPr>
        <w:rFonts w:ascii="Symbol" w:hAnsi="Symbol"/>
      </w:rPr>
    </w:lvl>
    <w:lvl w:ilvl="3" w:tplc="79AE79AC">
      <w:start w:val="1"/>
      <w:numFmt w:val="bullet"/>
      <w:lvlText w:val=""/>
      <w:lvlJc w:val="left"/>
      <w:pPr>
        <w:ind w:left="720" w:hanging="360"/>
      </w:pPr>
      <w:rPr>
        <w:rFonts w:ascii="Symbol" w:hAnsi="Symbol"/>
      </w:rPr>
    </w:lvl>
    <w:lvl w:ilvl="4" w:tplc="3670DC32">
      <w:start w:val="1"/>
      <w:numFmt w:val="bullet"/>
      <w:lvlText w:val=""/>
      <w:lvlJc w:val="left"/>
      <w:pPr>
        <w:ind w:left="720" w:hanging="360"/>
      </w:pPr>
      <w:rPr>
        <w:rFonts w:ascii="Symbol" w:hAnsi="Symbol"/>
      </w:rPr>
    </w:lvl>
    <w:lvl w:ilvl="5" w:tplc="EC308B40">
      <w:start w:val="1"/>
      <w:numFmt w:val="bullet"/>
      <w:lvlText w:val=""/>
      <w:lvlJc w:val="left"/>
      <w:pPr>
        <w:ind w:left="720" w:hanging="360"/>
      </w:pPr>
      <w:rPr>
        <w:rFonts w:ascii="Symbol" w:hAnsi="Symbol"/>
      </w:rPr>
    </w:lvl>
    <w:lvl w:ilvl="6" w:tplc="8A4E4C12">
      <w:start w:val="1"/>
      <w:numFmt w:val="bullet"/>
      <w:lvlText w:val=""/>
      <w:lvlJc w:val="left"/>
      <w:pPr>
        <w:ind w:left="720" w:hanging="360"/>
      </w:pPr>
      <w:rPr>
        <w:rFonts w:ascii="Symbol" w:hAnsi="Symbol"/>
      </w:rPr>
    </w:lvl>
    <w:lvl w:ilvl="7" w:tplc="BA3AB9AE">
      <w:start w:val="1"/>
      <w:numFmt w:val="bullet"/>
      <w:lvlText w:val=""/>
      <w:lvlJc w:val="left"/>
      <w:pPr>
        <w:ind w:left="720" w:hanging="360"/>
      </w:pPr>
      <w:rPr>
        <w:rFonts w:ascii="Symbol" w:hAnsi="Symbol"/>
      </w:rPr>
    </w:lvl>
    <w:lvl w:ilvl="8" w:tplc="CF9C328A">
      <w:start w:val="1"/>
      <w:numFmt w:val="bullet"/>
      <w:lvlText w:val=""/>
      <w:lvlJc w:val="left"/>
      <w:pPr>
        <w:ind w:left="720" w:hanging="360"/>
      </w:pPr>
      <w:rPr>
        <w:rFonts w:ascii="Symbol" w:hAnsi="Symbol"/>
      </w:rPr>
    </w:lvl>
  </w:abstractNum>
  <w:abstractNum w:abstractNumId="4" w15:restartNumberingAfterBreak="0">
    <w:nsid w:val="09970423"/>
    <w:multiLevelType w:val="hybridMultilevel"/>
    <w:tmpl w:val="5E402BA4"/>
    <w:lvl w:ilvl="0" w:tplc="E39A1D94">
      <w:start w:val="1"/>
      <w:numFmt w:val="bullet"/>
      <w:lvlText w:val=""/>
      <w:lvlJc w:val="left"/>
      <w:pPr>
        <w:tabs>
          <w:tab w:val="num" w:pos="720"/>
        </w:tabs>
        <w:ind w:left="720" w:hanging="360"/>
      </w:pPr>
      <w:rPr>
        <w:rFonts w:ascii="Symbol" w:hAnsi="Symbol" w:hint="default"/>
        <w:color w:val="005962"/>
      </w:rPr>
    </w:lvl>
    <w:lvl w:ilvl="1" w:tplc="07BCFEA2">
      <w:numFmt w:val="bullet"/>
      <w:lvlText w:val="•"/>
      <w:lvlJc w:val="left"/>
      <w:pPr>
        <w:tabs>
          <w:tab w:val="num" w:pos="1440"/>
        </w:tabs>
        <w:ind w:left="1440" w:hanging="360"/>
      </w:pPr>
      <w:rPr>
        <w:rFonts w:ascii="Arial" w:hAnsi="Arial" w:hint="default"/>
      </w:rPr>
    </w:lvl>
    <w:lvl w:ilvl="2" w:tplc="2E98C816">
      <w:numFmt w:val="bullet"/>
      <w:lvlText w:val="•"/>
      <w:lvlJc w:val="left"/>
      <w:pPr>
        <w:tabs>
          <w:tab w:val="num" w:pos="2160"/>
        </w:tabs>
        <w:ind w:left="2160" w:hanging="360"/>
      </w:pPr>
      <w:rPr>
        <w:rFonts w:ascii="Arial" w:hAnsi="Arial" w:hint="default"/>
      </w:rPr>
    </w:lvl>
    <w:lvl w:ilvl="3" w:tplc="80F83D40" w:tentative="1">
      <w:start w:val="1"/>
      <w:numFmt w:val="decimal"/>
      <w:lvlText w:val="%4."/>
      <w:lvlJc w:val="left"/>
      <w:pPr>
        <w:tabs>
          <w:tab w:val="num" w:pos="2880"/>
        </w:tabs>
        <w:ind w:left="2880" w:hanging="360"/>
      </w:pPr>
    </w:lvl>
    <w:lvl w:ilvl="4" w:tplc="0F68760A" w:tentative="1">
      <w:start w:val="1"/>
      <w:numFmt w:val="decimal"/>
      <w:lvlText w:val="%5."/>
      <w:lvlJc w:val="left"/>
      <w:pPr>
        <w:tabs>
          <w:tab w:val="num" w:pos="3600"/>
        </w:tabs>
        <w:ind w:left="3600" w:hanging="360"/>
      </w:pPr>
    </w:lvl>
    <w:lvl w:ilvl="5" w:tplc="CBBC9A4E" w:tentative="1">
      <w:start w:val="1"/>
      <w:numFmt w:val="decimal"/>
      <w:lvlText w:val="%6."/>
      <w:lvlJc w:val="left"/>
      <w:pPr>
        <w:tabs>
          <w:tab w:val="num" w:pos="4320"/>
        </w:tabs>
        <w:ind w:left="4320" w:hanging="360"/>
      </w:pPr>
    </w:lvl>
    <w:lvl w:ilvl="6" w:tplc="3EBE4CBE" w:tentative="1">
      <w:start w:val="1"/>
      <w:numFmt w:val="decimal"/>
      <w:lvlText w:val="%7."/>
      <w:lvlJc w:val="left"/>
      <w:pPr>
        <w:tabs>
          <w:tab w:val="num" w:pos="5040"/>
        </w:tabs>
        <w:ind w:left="5040" w:hanging="360"/>
      </w:pPr>
    </w:lvl>
    <w:lvl w:ilvl="7" w:tplc="AEB01418" w:tentative="1">
      <w:start w:val="1"/>
      <w:numFmt w:val="decimal"/>
      <w:lvlText w:val="%8."/>
      <w:lvlJc w:val="left"/>
      <w:pPr>
        <w:tabs>
          <w:tab w:val="num" w:pos="5760"/>
        </w:tabs>
        <w:ind w:left="5760" w:hanging="360"/>
      </w:pPr>
    </w:lvl>
    <w:lvl w:ilvl="8" w:tplc="4EDCA346" w:tentative="1">
      <w:start w:val="1"/>
      <w:numFmt w:val="decimal"/>
      <w:lvlText w:val="%9."/>
      <w:lvlJc w:val="left"/>
      <w:pPr>
        <w:tabs>
          <w:tab w:val="num" w:pos="6480"/>
        </w:tabs>
        <w:ind w:left="6480" w:hanging="360"/>
      </w:pPr>
    </w:lvl>
  </w:abstractNum>
  <w:abstractNum w:abstractNumId="5" w15:restartNumberingAfterBreak="0">
    <w:nsid w:val="09F957D7"/>
    <w:multiLevelType w:val="hybridMultilevel"/>
    <w:tmpl w:val="8C901246"/>
    <w:lvl w:ilvl="0" w:tplc="63147378">
      <w:start w:val="1"/>
      <w:numFmt w:val="lowerRoman"/>
      <w:lvlText w:val="%1)"/>
      <w:lvlJc w:val="left"/>
      <w:pPr>
        <w:ind w:left="1287" w:hanging="720"/>
      </w:pPr>
      <w:rPr>
        <w:rFonts w:hint="default"/>
        <w:color w:val="00596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144847B6"/>
    <w:multiLevelType w:val="hybridMultilevel"/>
    <w:tmpl w:val="51D484D6"/>
    <w:lvl w:ilvl="0" w:tplc="D05625EC">
      <w:numFmt w:val="bullet"/>
      <w:lvlText w:val="-"/>
      <w:lvlJc w:val="left"/>
      <w:pPr>
        <w:ind w:left="927" w:hanging="360"/>
      </w:pPr>
      <w:rPr>
        <w:rFonts w:ascii="Trebuchet MS" w:eastAsiaTheme="minorHAnsi" w:hAnsi="Trebuchet MS"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7" w15:restartNumberingAfterBreak="0">
    <w:nsid w:val="16BA0C46"/>
    <w:multiLevelType w:val="hybridMultilevel"/>
    <w:tmpl w:val="7BA6EE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CB864BD"/>
    <w:multiLevelType w:val="hybridMultilevel"/>
    <w:tmpl w:val="FDB2476A"/>
    <w:lvl w:ilvl="0" w:tplc="065C39A6">
      <w:start w:val="16"/>
      <w:numFmt w:val="bullet"/>
      <w:lvlText w:val="-"/>
      <w:lvlJc w:val="left"/>
      <w:pPr>
        <w:ind w:left="720" w:hanging="360"/>
      </w:pPr>
      <w:rPr>
        <w:rFonts w:ascii="Trebuchet MS" w:eastAsiaTheme="minorHAnsi" w:hAnsi="Trebuchet M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A50AD3"/>
    <w:multiLevelType w:val="multilevel"/>
    <w:tmpl w:val="5240D182"/>
    <w:lvl w:ilvl="0">
      <w:start w:val="1"/>
      <w:numFmt w:val="decimal"/>
      <w:lvlText w:val="%1)"/>
      <w:lvlJc w:val="left"/>
      <w:pPr>
        <w:ind w:left="1287" w:hanging="360"/>
      </w:pPr>
      <w:rPr>
        <w:b/>
        <w:bCs/>
        <w:color w:val="00596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EA67EA6"/>
    <w:multiLevelType w:val="hybridMultilevel"/>
    <w:tmpl w:val="581241D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791437"/>
    <w:multiLevelType w:val="hybridMultilevel"/>
    <w:tmpl w:val="789A128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29B417D"/>
    <w:multiLevelType w:val="hybridMultilevel"/>
    <w:tmpl w:val="BF666576"/>
    <w:lvl w:ilvl="0" w:tplc="2000000D">
      <w:start w:val="1"/>
      <w:numFmt w:val="bullet"/>
      <w:lvlText w:val=""/>
      <w:lvlJc w:val="left"/>
      <w:pPr>
        <w:ind w:left="1287" w:hanging="360"/>
      </w:pPr>
      <w:rPr>
        <w:rFonts w:ascii="Wingdings" w:hAnsi="Wingdings" w:hint="default"/>
        <w:color w:val="005962"/>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numFmt w:val="bullet"/>
      <w:lvlText w:val="-"/>
      <w:lvlJc w:val="left"/>
      <w:pPr>
        <w:ind w:left="3795" w:hanging="708"/>
      </w:pPr>
      <w:rPr>
        <w:rFonts w:ascii="Trebuchet MS" w:eastAsiaTheme="minorHAnsi" w:hAnsi="Trebuchet MS" w:cstheme="minorBid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33023AE"/>
    <w:multiLevelType w:val="hybridMultilevel"/>
    <w:tmpl w:val="3A5AD95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33A335C"/>
    <w:multiLevelType w:val="hybridMultilevel"/>
    <w:tmpl w:val="A18CDEB4"/>
    <w:lvl w:ilvl="0" w:tplc="1FD80DB0">
      <w:start w:val="1"/>
      <w:numFmt w:val="bullet"/>
      <w:lvlText w:val=""/>
      <w:lvlJc w:val="left"/>
      <w:pPr>
        <w:ind w:left="1146" w:hanging="360"/>
      </w:pPr>
      <w:rPr>
        <w:rFonts w:ascii="Symbol" w:hAnsi="Symbol" w:hint="default"/>
        <w:b w:val="0"/>
        <w:bCs/>
        <w:color w:val="005962"/>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3F77E5C"/>
    <w:multiLevelType w:val="hybridMultilevel"/>
    <w:tmpl w:val="CE844C90"/>
    <w:lvl w:ilvl="0" w:tplc="B18E132A">
      <w:start w:val="1"/>
      <w:numFmt w:val="decimal"/>
      <w:pStyle w:val="Addingupnumeral"/>
      <w:lvlText w:val="%1."/>
      <w:lvlJc w:val="left"/>
      <w:pPr>
        <w:ind w:left="1069" w:hanging="360"/>
      </w:pPr>
      <w:rPr>
        <w:rFonts w:hint="default"/>
        <w:b/>
        <w:bCs/>
        <w:color w:val="005962" w:themeColor="accent1"/>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256F58C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5B42C3A"/>
    <w:multiLevelType w:val="hybridMultilevel"/>
    <w:tmpl w:val="6E423D9C"/>
    <w:lvl w:ilvl="0" w:tplc="E39A1D94">
      <w:start w:val="1"/>
      <w:numFmt w:val="bullet"/>
      <w:lvlText w:val=""/>
      <w:lvlJc w:val="left"/>
      <w:pPr>
        <w:ind w:left="1287" w:hanging="360"/>
      </w:pPr>
      <w:rPr>
        <w:rFonts w:ascii="Symbol" w:hAnsi="Symbol" w:hint="default"/>
        <w:color w:val="005962"/>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2A87292B"/>
    <w:multiLevelType w:val="hybridMultilevel"/>
    <w:tmpl w:val="F16A1966"/>
    <w:lvl w:ilvl="0" w:tplc="D4C660FC">
      <w:start w:val="1"/>
      <w:numFmt w:val="lowerRoman"/>
      <w:lvlText w:val="%1)"/>
      <w:lvlJc w:val="left"/>
      <w:pPr>
        <w:ind w:left="1287" w:hanging="720"/>
      </w:pPr>
      <w:rPr>
        <w:rFonts w:hint="default"/>
        <w:color w:val="00596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2E0C43BA"/>
    <w:multiLevelType w:val="hybridMultilevel"/>
    <w:tmpl w:val="B77EDE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E3E4AC8"/>
    <w:multiLevelType w:val="hybridMultilevel"/>
    <w:tmpl w:val="2EF02964"/>
    <w:lvl w:ilvl="0" w:tplc="20000003">
      <w:start w:val="1"/>
      <w:numFmt w:val="bullet"/>
      <w:lvlText w:val="o"/>
      <w:lvlJc w:val="left"/>
      <w:pPr>
        <w:ind w:left="1287" w:hanging="360"/>
      </w:pPr>
      <w:rPr>
        <w:rFonts w:ascii="Courier New" w:hAnsi="Courier New" w:cs="Courier New"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3F86DF7"/>
    <w:multiLevelType w:val="multilevel"/>
    <w:tmpl w:val="F7C020D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76B4939"/>
    <w:multiLevelType w:val="hybridMultilevel"/>
    <w:tmpl w:val="826E59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7BD1346"/>
    <w:multiLevelType w:val="hybridMultilevel"/>
    <w:tmpl w:val="8C089FA4"/>
    <w:lvl w:ilvl="0" w:tplc="049E926C">
      <w:start w:val="1"/>
      <w:numFmt w:val="bullet"/>
      <w:pStyle w:val="Orangetabletext"/>
      <w:lvlText w:val=""/>
      <w:lvlJc w:val="left"/>
      <w:pPr>
        <w:ind w:left="720" w:hanging="360"/>
      </w:pPr>
      <w:rPr>
        <w:rFonts w:ascii="Symbol" w:hAnsi="Symbol" w:hint="default"/>
        <w:b w:val="0"/>
        <w:i w:val="0"/>
        <w:color w:val="FFFFFF" w:themeColor="background1"/>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B573319"/>
    <w:multiLevelType w:val="hybridMultilevel"/>
    <w:tmpl w:val="F6D03DD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5" w15:restartNumberingAfterBreak="0">
    <w:nsid w:val="3C217D6C"/>
    <w:multiLevelType w:val="hybridMultilevel"/>
    <w:tmpl w:val="52E8F2DE"/>
    <w:lvl w:ilvl="0" w:tplc="20000001">
      <w:start w:val="1"/>
      <w:numFmt w:val="bullet"/>
      <w:lvlText w:val=""/>
      <w:lvlJc w:val="left"/>
      <w:pPr>
        <w:ind w:left="1287" w:hanging="360"/>
      </w:pPr>
      <w:rPr>
        <w:rFonts w:ascii="Symbol" w:hAnsi="Symbol" w:hint="default"/>
      </w:rPr>
    </w:lvl>
    <w:lvl w:ilvl="1" w:tplc="1646EDF0">
      <w:numFmt w:val="bullet"/>
      <w:lvlText w:val="•"/>
      <w:lvlJc w:val="left"/>
      <w:pPr>
        <w:ind w:left="2007" w:hanging="360"/>
      </w:pPr>
      <w:rPr>
        <w:rFonts w:ascii="Trebuchet MS" w:eastAsiaTheme="minorHAnsi" w:hAnsi="Trebuchet MS" w:cstheme="minorBidi"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6" w15:restartNumberingAfterBreak="0">
    <w:nsid w:val="3C99036A"/>
    <w:multiLevelType w:val="hybridMultilevel"/>
    <w:tmpl w:val="F4727AE4"/>
    <w:lvl w:ilvl="0" w:tplc="1A882842">
      <w:start w:val="1"/>
      <w:numFmt w:val="bullet"/>
      <w:pStyle w:val="Checklistbulletpoint"/>
      <w:lvlText w:val=""/>
      <w:lvlJc w:val="left"/>
      <w:pPr>
        <w:ind w:left="1287" w:hanging="360"/>
      </w:pPr>
      <w:rPr>
        <w:rFonts w:ascii="Wingdings" w:hAnsi="Wingdings" w:cs="Wingdings" w:hint="default"/>
        <w:b/>
        <w:bCs/>
        <w:i w:val="0"/>
        <w:iCs w:val="0"/>
        <w:color w:val="F04E3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3D676B0F"/>
    <w:multiLevelType w:val="multilevel"/>
    <w:tmpl w:val="3EE8AD30"/>
    <w:styleLink w:val="Style1"/>
    <w:lvl w:ilvl="0">
      <w:start w:val="1"/>
      <w:numFmt w:val="decimal"/>
      <w:lvlText w:val="1.%1."/>
      <w:lvlJc w:val="left"/>
      <w:pPr>
        <w:ind w:left="360" w:hanging="360"/>
      </w:pPr>
      <w:rPr>
        <w:rFonts w:hint="default"/>
        <w:color w:val="00596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2B3419"/>
    <w:multiLevelType w:val="hybridMultilevel"/>
    <w:tmpl w:val="8B920196"/>
    <w:lvl w:ilvl="0" w:tplc="423459E2">
      <w:start w:val="1"/>
      <w:numFmt w:val="decimal"/>
      <w:lvlText w:val="%1."/>
      <w:lvlJc w:val="left"/>
      <w:pPr>
        <w:ind w:left="1571" w:hanging="360"/>
      </w:pPr>
      <w:rPr>
        <w:rFonts w:hint="default"/>
      </w:rPr>
    </w:lvl>
    <w:lvl w:ilvl="1" w:tplc="20000019">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29" w15:restartNumberingAfterBreak="0">
    <w:nsid w:val="3EB853A2"/>
    <w:multiLevelType w:val="multilevel"/>
    <w:tmpl w:val="3140B83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41AD5614"/>
    <w:multiLevelType w:val="hybridMultilevel"/>
    <w:tmpl w:val="91A0542C"/>
    <w:lvl w:ilvl="0" w:tplc="E39A1D94">
      <w:start w:val="1"/>
      <w:numFmt w:val="bullet"/>
      <w:lvlText w:val=""/>
      <w:lvlJc w:val="left"/>
      <w:pPr>
        <w:ind w:left="1287" w:hanging="360"/>
      </w:pPr>
      <w:rPr>
        <w:rFonts w:ascii="Symbol" w:hAnsi="Symbol" w:hint="default"/>
        <w:color w:val="005962"/>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1" w15:restartNumberingAfterBreak="0">
    <w:nsid w:val="44ED6B21"/>
    <w:multiLevelType w:val="hybridMultilevel"/>
    <w:tmpl w:val="3404DC8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2" w15:restartNumberingAfterBreak="0">
    <w:nsid w:val="48577158"/>
    <w:multiLevelType w:val="hybridMultilevel"/>
    <w:tmpl w:val="8C38A414"/>
    <w:lvl w:ilvl="0" w:tplc="262827FC">
      <w:start w:val="1"/>
      <w:numFmt w:val="bullet"/>
      <w:pStyle w:val="1stlevelround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33" w15:restartNumberingAfterBreak="0">
    <w:nsid w:val="48610459"/>
    <w:multiLevelType w:val="hybridMultilevel"/>
    <w:tmpl w:val="83665C14"/>
    <w:lvl w:ilvl="0" w:tplc="2000000D">
      <w:start w:val="1"/>
      <w:numFmt w:val="bullet"/>
      <w:lvlText w:val=""/>
      <w:lvlJc w:val="left"/>
      <w:pPr>
        <w:ind w:left="1287" w:hanging="360"/>
      </w:pPr>
      <w:rPr>
        <w:rFonts w:ascii="Wingdings" w:hAnsi="Wingdings" w:hint="default"/>
        <w:color w:val="005962"/>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numFmt w:val="bullet"/>
      <w:lvlText w:val="-"/>
      <w:lvlJc w:val="left"/>
      <w:pPr>
        <w:ind w:left="3795" w:hanging="708"/>
      </w:pPr>
      <w:rPr>
        <w:rFonts w:ascii="Trebuchet MS" w:eastAsiaTheme="minorHAnsi" w:hAnsi="Trebuchet MS" w:cstheme="minorBid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4" w15:restartNumberingAfterBreak="0">
    <w:nsid w:val="48CB686B"/>
    <w:multiLevelType w:val="hybridMultilevel"/>
    <w:tmpl w:val="5326433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5" w15:restartNumberingAfterBreak="0">
    <w:nsid w:val="49AF0F80"/>
    <w:multiLevelType w:val="multilevel"/>
    <w:tmpl w:val="960E3348"/>
    <w:lvl w:ilvl="0">
      <w:start w:val="1"/>
      <w:numFmt w:val="decimal"/>
      <w:pStyle w:val="Nadpis1"/>
      <w:lvlText w:val="%1"/>
      <w:lvlJc w:val="left"/>
      <w:pPr>
        <w:ind w:left="927" w:hanging="360"/>
      </w:pPr>
      <w:rPr>
        <w:rFonts w:hint="default"/>
      </w:rPr>
    </w:lvl>
    <w:lvl w:ilvl="1">
      <w:start w:val="1"/>
      <w:numFmt w:val="decimal"/>
      <w:pStyle w:val="Nadpis2"/>
      <w:isLgl/>
      <w:lvlText w:val="%1.%2"/>
      <w:lvlJc w:val="left"/>
      <w:pPr>
        <w:ind w:left="1287" w:hanging="360"/>
      </w:pPr>
      <w:rPr>
        <w:rFonts w:hint="default"/>
      </w:rPr>
    </w:lvl>
    <w:lvl w:ilvl="2">
      <w:start w:val="1"/>
      <w:numFmt w:val="decimal"/>
      <w:pStyle w:val="Nadpis3"/>
      <w:isLgl/>
      <w:lvlText w:val="%1.%2.%3"/>
      <w:lvlJc w:val="left"/>
      <w:pPr>
        <w:ind w:left="200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36" w15:restartNumberingAfterBreak="0">
    <w:nsid w:val="505F0FFE"/>
    <w:multiLevelType w:val="hybridMultilevel"/>
    <w:tmpl w:val="BA26B56C"/>
    <w:lvl w:ilvl="0" w:tplc="709698A4">
      <w:start w:val="1"/>
      <w:numFmt w:val="bullet"/>
      <w:pStyle w:val="Odstavecseseznamem"/>
      <w:lvlText w:val=""/>
      <w:lvlJc w:val="left"/>
      <w:pPr>
        <w:ind w:left="1287" w:hanging="360"/>
      </w:pPr>
      <w:rPr>
        <w:rFonts w:ascii="Symbol" w:hAnsi="Symbol" w:hint="default"/>
        <w:color w:val="005962"/>
      </w:rPr>
    </w:lvl>
    <w:lvl w:ilvl="1" w:tplc="058E5DA4">
      <w:start w:val="1"/>
      <w:numFmt w:val="bullet"/>
      <w:pStyle w:val="2ndlevelbulletpoint"/>
      <w:lvlText w:val="o"/>
      <w:lvlJc w:val="left"/>
      <w:pPr>
        <w:ind w:left="2007" w:hanging="360"/>
      </w:pPr>
      <w:rPr>
        <w:rFonts w:ascii="Courier New" w:hAnsi="Courier New" w:cs="Courier New" w:hint="default"/>
      </w:rPr>
    </w:lvl>
    <w:lvl w:ilvl="2" w:tplc="5728FDCC">
      <w:start w:val="1"/>
      <w:numFmt w:val="bullet"/>
      <w:pStyle w:val="3rdlevelbulletpoint"/>
      <w:lvlText w:val=""/>
      <w:lvlJc w:val="left"/>
      <w:pPr>
        <w:ind w:left="2727" w:hanging="360"/>
      </w:pPr>
      <w:rPr>
        <w:rFonts w:ascii="Wingdings" w:hAnsi="Wingdings" w:hint="default"/>
      </w:rPr>
    </w:lvl>
    <w:lvl w:ilvl="3" w:tplc="8A64B88C">
      <w:numFmt w:val="bullet"/>
      <w:lvlText w:val="-"/>
      <w:lvlJc w:val="left"/>
      <w:pPr>
        <w:ind w:left="3795" w:hanging="708"/>
      </w:pPr>
      <w:rPr>
        <w:rFonts w:ascii="Trebuchet MS" w:eastAsiaTheme="minorHAnsi" w:hAnsi="Trebuchet MS" w:cstheme="minorBidi"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0632CF4"/>
    <w:multiLevelType w:val="hybridMultilevel"/>
    <w:tmpl w:val="AD2C2456"/>
    <w:lvl w:ilvl="0" w:tplc="518492BA">
      <w:start w:val="1"/>
      <w:numFmt w:val="bullet"/>
      <w:lvlText w:val=""/>
      <w:lvlJc w:val="left"/>
      <w:pPr>
        <w:ind w:left="720" w:hanging="360"/>
      </w:pPr>
      <w:rPr>
        <w:rFonts w:ascii="Symbol" w:hAnsi="Symbol"/>
      </w:rPr>
    </w:lvl>
    <w:lvl w:ilvl="1" w:tplc="8828FF10">
      <w:start w:val="1"/>
      <w:numFmt w:val="bullet"/>
      <w:lvlText w:val=""/>
      <w:lvlJc w:val="left"/>
      <w:pPr>
        <w:ind w:left="720" w:hanging="360"/>
      </w:pPr>
      <w:rPr>
        <w:rFonts w:ascii="Symbol" w:hAnsi="Symbol"/>
      </w:rPr>
    </w:lvl>
    <w:lvl w:ilvl="2" w:tplc="C05886D2">
      <w:start w:val="1"/>
      <w:numFmt w:val="bullet"/>
      <w:lvlText w:val=""/>
      <w:lvlJc w:val="left"/>
      <w:pPr>
        <w:ind w:left="720" w:hanging="360"/>
      </w:pPr>
      <w:rPr>
        <w:rFonts w:ascii="Symbol" w:hAnsi="Symbol"/>
      </w:rPr>
    </w:lvl>
    <w:lvl w:ilvl="3" w:tplc="C5A868A6">
      <w:start w:val="1"/>
      <w:numFmt w:val="bullet"/>
      <w:lvlText w:val=""/>
      <w:lvlJc w:val="left"/>
      <w:pPr>
        <w:ind w:left="720" w:hanging="360"/>
      </w:pPr>
      <w:rPr>
        <w:rFonts w:ascii="Symbol" w:hAnsi="Symbol"/>
      </w:rPr>
    </w:lvl>
    <w:lvl w:ilvl="4" w:tplc="090C8D3A">
      <w:start w:val="1"/>
      <w:numFmt w:val="bullet"/>
      <w:lvlText w:val=""/>
      <w:lvlJc w:val="left"/>
      <w:pPr>
        <w:ind w:left="720" w:hanging="360"/>
      </w:pPr>
      <w:rPr>
        <w:rFonts w:ascii="Symbol" w:hAnsi="Symbol"/>
      </w:rPr>
    </w:lvl>
    <w:lvl w:ilvl="5" w:tplc="67F8337E">
      <w:start w:val="1"/>
      <w:numFmt w:val="bullet"/>
      <w:lvlText w:val=""/>
      <w:lvlJc w:val="left"/>
      <w:pPr>
        <w:ind w:left="720" w:hanging="360"/>
      </w:pPr>
      <w:rPr>
        <w:rFonts w:ascii="Symbol" w:hAnsi="Symbol"/>
      </w:rPr>
    </w:lvl>
    <w:lvl w:ilvl="6" w:tplc="C4D22CF0">
      <w:start w:val="1"/>
      <w:numFmt w:val="bullet"/>
      <w:lvlText w:val=""/>
      <w:lvlJc w:val="left"/>
      <w:pPr>
        <w:ind w:left="720" w:hanging="360"/>
      </w:pPr>
      <w:rPr>
        <w:rFonts w:ascii="Symbol" w:hAnsi="Symbol"/>
      </w:rPr>
    </w:lvl>
    <w:lvl w:ilvl="7" w:tplc="5B461266">
      <w:start w:val="1"/>
      <w:numFmt w:val="bullet"/>
      <w:lvlText w:val=""/>
      <w:lvlJc w:val="left"/>
      <w:pPr>
        <w:ind w:left="720" w:hanging="360"/>
      </w:pPr>
      <w:rPr>
        <w:rFonts w:ascii="Symbol" w:hAnsi="Symbol"/>
      </w:rPr>
    </w:lvl>
    <w:lvl w:ilvl="8" w:tplc="314A48C6">
      <w:start w:val="1"/>
      <w:numFmt w:val="bullet"/>
      <w:lvlText w:val=""/>
      <w:lvlJc w:val="left"/>
      <w:pPr>
        <w:ind w:left="720" w:hanging="360"/>
      </w:pPr>
      <w:rPr>
        <w:rFonts w:ascii="Symbol" w:hAnsi="Symbol"/>
      </w:rPr>
    </w:lvl>
  </w:abstractNum>
  <w:abstractNum w:abstractNumId="38" w15:restartNumberingAfterBreak="0">
    <w:nsid w:val="52820022"/>
    <w:multiLevelType w:val="hybridMultilevel"/>
    <w:tmpl w:val="9A2ABF88"/>
    <w:lvl w:ilvl="0" w:tplc="341C8E74">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8465AC"/>
    <w:multiLevelType w:val="hybridMultilevel"/>
    <w:tmpl w:val="A17491AC"/>
    <w:lvl w:ilvl="0" w:tplc="065C39A6">
      <w:start w:val="16"/>
      <w:numFmt w:val="bullet"/>
      <w:lvlText w:val="-"/>
      <w:lvlJc w:val="left"/>
      <w:pPr>
        <w:ind w:left="720" w:hanging="360"/>
      </w:pPr>
      <w:rPr>
        <w:rFonts w:ascii="Trebuchet MS" w:eastAsiaTheme="minorHAnsi" w:hAnsi="Trebuchet M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3D01772"/>
    <w:multiLevelType w:val="hybridMultilevel"/>
    <w:tmpl w:val="7F9ABCCC"/>
    <w:lvl w:ilvl="0" w:tplc="C0BEC16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5ADF78B5"/>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D26346D"/>
    <w:multiLevelType w:val="multilevel"/>
    <w:tmpl w:val="3EE8AD30"/>
    <w:styleLink w:val="Style2"/>
    <w:lvl w:ilvl="0">
      <w:start w:val="1"/>
      <w:numFmt w:val="decimal"/>
      <w:lvlText w:val="1.%1."/>
      <w:lvlJc w:val="left"/>
      <w:pPr>
        <w:ind w:left="360" w:hanging="360"/>
      </w:pPr>
      <w:rPr>
        <w:rFonts w:hint="default"/>
        <w:color w:val="00596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932202"/>
    <w:multiLevelType w:val="hybridMultilevel"/>
    <w:tmpl w:val="2EE8F482"/>
    <w:lvl w:ilvl="0" w:tplc="6ECC111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2CA317E"/>
    <w:multiLevelType w:val="hybridMultilevel"/>
    <w:tmpl w:val="C11CDD9C"/>
    <w:lvl w:ilvl="0" w:tplc="2000000F">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5" w15:restartNumberingAfterBreak="0">
    <w:nsid w:val="676E3D4F"/>
    <w:multiLevelType w:val="hybridMultilevel"/>
    <w:tmpl w:val="7A72DD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6" w15:restartNumberingAfterBreak="0">
    <w:nsid w:val="6CE67AD2"/>
    <w:multiLevelType w:val="multilevel"/>
    <w:tmpl w:val="186E8C76"/>
    <w:styleLink w:val="LFO1"/>
    <w:lvl w:ilvl="0">
      <w:numFmt w:val="bullet"/>
      <w:lvlText w:val=""/>
      <w:lvlJc w:val="left"/>
      <w:pPr>
        <w:ind w:left="1146" w:hanging="360"/>
      </w:pPr>
      <w:rPr>
        <w:rFonts w:ascii="Wingdings" w:hAnsi="Wingdings"/>
        <w:b/>
        <w:color w:val="005962"/>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7" w15:restartNumberingAfterBreak="0">
    <w:nsid w:val="6DF17B41"/>
    <w:multiLevelType w:val="hybridMultilevel"/>
    <w:tmpl w:val="73E44F48"/>
    <w:lvl w:ilvl="0" w:tplc="EFD44404">
      <w:start w:val="1"/>
      <w:numFmt w:val="lowerRoman"/>
      <w:lvlText w:val="%1)"/>
      <w:lvlJc w:val="left"/>
      <w:pPr>
        <w:ind w:left="1287" w:hanging="720"/>
      </w:pPr>
      <w:rPr>
        <w:rFonts w:hint="default"/>
        <w:color w:val="005962"/>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8" w15:restartNumberingAfterBreak="0">
    <w:nsid w:val="6EED4EB6"/>
    <w:multiLevelType w:val="hybridMultilevel"/>
    <w:tmpl w:val="16EE1B5C"/>
    <w:lvl w:ilvl="0" w:tplc="D6EEFCC6">
      <w:start w:val="1"/>
      <w:numFmt w:val="bullet"/>
      <w:lvlText w:val=""/>
      <w:lvlJc w:val="left"/>
      <w:pPr>
        <w:ind w:left="1287" w:hanging="360"/>
      </w:pPr>
      <w:rPr>
        <w:rFonts w:ascii="Symbol" w:hAnsi="Symbol" w:hint="default"/>
        <w:color w:val="005962"/>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9" w15:restartNumberingAfterBreak="0">
    <w:nsid w:val="6F473E83"/>
    <w:multiLevelType w:val="multilevel"/>
    <w:tmpl w:val="3140B83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77537B8E"/>
    <w:multiLevelType w:val="multilevel"/>
    <w:tmpl w:val="8BB29AF2"/>
    <w:styleLink w:val="LFO2"/>
    <w:lvl w:ilvl="0">
      <w:numFmt w:val="bullet"/>
      <w:lvlText w:val=""/>
      <w:lvlJc w:val="left"/>
      <w:pPr>
        <w:ind w:left="1287" w:hanging="360"/>
      </w:pPr>
      <w:rPr>
        <w:rFonts w:ascii="Symbol" w:hAnsi="Symbol"/>
        <w:color w:val="005962"/>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795" w:hanging="708"/>
      </w:pPr>
      <w:rPr>
        <w:rFonts w:ascii="Trebuchet MS" w:eastAsia="Calibri" w:hAnsi="Trebuchet MS" w:cs="Times New Roman"/>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1" w15:restartNumberingAfterBreak="0">
    <w:nsid w:val="777A67E5"/>
    <w:multiLevelType w:val="hybridMultilevel"/>
    <w:tmpl w:val="17B49BC2"/>
    <w:lvl w:ilvl="0" w:tplc="4B10F84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C46CB8"/>
    <w:multiLevelType w:val="hybridMultilevel"/>
    <w:tmpl w:val="151E9812"/>
    <w:lvl w:ilvl="0" w:tplc="E39A1D94">
      <w:start w:val="1"/>
      <w:numFmt w:val="bullet"/>
      <w:lvlText w:val=""/>
      <w:lvlJc w:val="left"/>
      <w:pPr>
        <w:ind w:left="1287" w:hanging="360"/>
      </w:pPr>
      <w:rPr>
        <w:rFonts w:ascii="Symbol" w:hAnsi="Symbol" w:hint="default"/>
        <w:color w:val="005962"/>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27"/>
  </w:num>
  <w:num w:numId="2">
    <w:abstractNumId w:val="42"/>
  </w:num>
  <w:num w:numId="3">
    <w:abstractNumId w:val="35"/>
  </w:num>
  <w:num w:numId="4">
    <w:abstractNumId w:val="14"/>
  </w:num>
  <w:num w:numId="5">
    <w:abstractNumId w:val="26"/>
  </w:num>
  <w:num w:numId="6">
    <w:abstractNumId w:val="23"/>
  </w:num>
  <w:num w:numId="7">
    <w:abstractNumId w:val="15"/>
  </w:num>
  <w:num w:numId="8">
    <w:abstractNumId w:val="36"/>
  </w:num>
  <w:num w:numId="9">
    <w:abstractNumId w:val="24"/>
  </w:num>
  <w:num w:numId="10">
    <w:abstractNumId w:val="25"/>
  </w:num>
  <w:num w:numId="11">
    <w:abstractNumId w:val="17"/>
  </w:num>
  <w:num w:numId="12">
    <w:abstractNumId w:val="37"/>
  </w:num>
  <w:num w:numId="13">
    <w:abstractNumId w:val="38"/>
  </w:num>
  <w:num w:numId="14">
    <w:abstractNumId w:val="8"/>
  </w:num>
  <w:num w:numId="15">
    <w:abstractNumId w:val="22"/>
  </w:num>
  <w:num w:numId="16">
    <w:abstractNumId w:val="51"/>
  </w:num>
  <w:num w:numId="17">
    <w:abstractNumId w:val="39"/>
  </w:num>
  <w:num w:numId="18">
    <w:abstractNumId w:val="10"/>
  </w:num>
  <w:num w:numId="19">
    <w:abstractNumId w:val="6"/>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9"/>
  </w:num>
  <w:num w:numId="23">
    <w:abstractNumId w:val="44"/>
  </w:num>
  <w:num w:numId="24">
    <w:abstractNumId w:val="43"/>
  </w:num>
  <w:num w:numId="25">
    <w:abstractNumId w:val="28"/>
  </w:num>
  <w:num w:numId="26">
    <w:abstractNumId w:val="40"/>
  </w:num>
  <w:num w:numId="27">
    <w:abstractNumId w:val="13"/>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9"/>
  </w:num>
  <w:num w:numId="31">
    <w:abstractNumId w:val="50"/>
  </w:num>
  <w:num w:numId="32">
    <w:abstractNumId w:val="21"/>
  </w:num>
  <w:num w:numId="33">
    <w:abstractNumId w:val="11"/>
  </w:num>
  <w:num w:numId="34">
    <w:abstractNumId w:val="30"/>
  </w:num>
  <w:num w:numId="35">
    <w:abstractNumId w:val="4"/>
  </w:num>
  <w:num w:numId="36">
    <w:abstractNumId w:val="48"/>
  </w:num>
  <w:num w:numId="37">
    <w:abstractNumId w:val="3"/>
  </w:num>
  <w:num w:numId="38">
    <w:abstractNumId w:val="46"/>
  </w:num>
  <w:num w:numId="39">
    <w:abstractNumId w:val="31"/>
  </w:num>
  <w:num w:numId="40">
    <w:abstractNumId w:val="45"/>
  </w:num>
  <w:num w:numId="41">
    <w:abstractNumId w:val="34"/>
  </w:num>
  <w:num w:numId="42">
    <w:abstractNumId w:val="2"/>
  </w:num>
  <w:num w:numId="43">
    <w:abstractNumId w:val="1"/>
  </w:num>
  <w:num w:numId="44">
    <w:abstractNumId w:val="16"/>
  </w:num>
  <w:num w:numId="45">
    <w:abstractNumId w:val="20"/>
  </w:num>
  <w:num w:numId="46">
    <w:abstractNumId w:val="52"/>
  </w:num>
  <w:num w:numId="47">
    <w:abstractNumId w:val="9"/>
  </w:num>
  <w:num w:numId="48">
    <w:abstractNumId w:val="0"/>
  </w:num>
  <w:num w:numId="49">
    <w:abstractNumId w:val="32"/>
  </w:num>
  <w:num w:numId="5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33"/>
  </w:num>
  <w:num w:numId="54">
    <w:abstractNumId w:val="41"/>
  </w:num>
  <w:num w:numId="55">
    <w:abstractNumId w:val="47"/>
  </w:num>
  <w:num w:numId="56">
    <w:abstractNumId w:val="18"/>
  </w:num>
  <w:num w:numId="57">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MjQ3sDQzNTEyMDBX0lEKTi0uzszPAykwrAUAXa21HCwAAAA="/>
  </w:docVars>
  <w:rsids>
    <w:rsidRoot w:val="00B539D4"/>
    <w:rsid w:val="000001DC"/>
    <w:rsid w:val="000007B0"/>
    <w:rsid w:val="00000AA6"/>
    <w:rsid w:val="00000AF4"/>
    <w:rsid w:val="00001026"/>
    <w:rsid w:val="00001122"/>
    <w:rsid w:val="0000151C"/>
    <w:rsid w:val="000019AA"/>
    <w:rsid w:val="00001A8E"/>
    <w:rsid w:val="00001BD6"/>
    <w:rsid w:val="00001E18"/>
    <w:rsid w:val="00001FF0"/>
    <w:rsid w:val="000022EA"/>
    <w:rsid w:val="00002446"/>
    <w:rsid w:val="0000251B"/>
    <w:rsid w:val="000045C8"/>
    <w:rsid w:val="00004E78"/>
    <w:rsid w:val="0000527D"/>
    <w:rsid w:val="000054CE"/>
    <w:rsid w:val="0000563E"/>
    <w:rsid w:val="00005D9D"/>
    <w:rsid w:val="000061FB"/>
    <w:rsid w:val="00006710"/>
    <w:rsid w:val="00006F13"/>
    <w:rsid w:val="0000735D"/>
    <w:rsid w:val="00007604"/>
    <w:rsid w:val="00007780"/>
    <w:rsid w:val="000077C5"/>
    <w:rsid w:val="00007D18"/>
    <w:rsid w:val="00007D2E"/>
    <w:rsid w:val="00007DF2"/>
    <w:rsid w:val="00007E1A"/>
    <w:rsid w:val="00007F42"/>
    <w:rsid w:val="00007F7C"/>
    <w:rsid w:val="00007F7F"/>
    <w:rsid w:val="000101E3"/>
    <w:rsid w:val="00010281"/>
    <w:rsid w:val="00010891"/>
    <w:rsid w:val="00010B27"/>
    <w:rsid w:val="00010E23"/>
    <w:rsid w:val="00011483"/>
    <w:rsid w:val="000116FA"/>
    <w:rsid w:val="000119EE"/>
    <w:rsid w:val="00011BDD"/>
    <w:rsid w:val="00012524"/>
    <w:rsid w:val="00012530"/>
    <w:rsid w:val="000131D4"/>
    <w:rsid w:val="0001389E"/>
    <w:rsid w:val="00013925"/>
    <w:rsid w:val="000139FD"/>
    <w:rsid w:val="00013AD7"/>
    <w:rsid w:val="00014421"/>
    <w:rsid w:val="00014697"/>
    <w:rsid w:val="000149B2"/>
    <w:rsid w:val="000149DA"/>
    <w:rsid w:val="00014A21"/>
    <w:rsid w:val="00014F7D"/>
    <w:rsid w:val="0001503B"/>
    <w:rsid w:val="00015102"/>
    <w:rsid w:val="000159DA"/>
    <w:rsid w:val="00015A08"/>
    <w:rsid w:val="00015D11"/>
    <w:rsid w:val="00016621"/>
    <w:rsid w:val="00016ABE"/>
    <w:rsid w:val="00016CBE"/>
    <w:rsid w:val="00017338"/>
    <w:rsid w:val="00017A8B"/>
    <w:rsid w:val="00017B1A"/>
    <w:rsid w:val="00017DE5"/>
    <w:rsid w:val="000209D5"/>
    <w:rsid w:val="00020DEC"/>
    <w:rsid w:val="00021411"/>
    <w:rsid w:val="00021CA1"/>
    <w:rsid w:val="000222E1"/>
    <w:rsid w:val="00022603"/>
    <w:rsid w:val="000226CC"/>
    <w:rsid w:val="00023066"/>
    <w:rsid w:val="0002313F"/>
    <w:rsid w:val="0002381D"/>
    <w:rsid w:val="00023CD2"/>
    <w:rsid w:val="00024D3C"/>
    <w:rsid w:val="00024DBD"/>
    <w:rsid w:val="00024E05"/>
    <w:rsid w:val="00025027"/>
    <w:rsid w:val="000252D9"/>
    <w:rsid w:val="00025506"/>
    <w:rsid w:val="00025653"/>
    <w:rsid w:val="00025768"/>
    <w:rsid w:val="00025EBF"/>
    <w:rsid w:val="000262DE"/>
    <w:rsid w:val="00026E5D"/>
    <w:rsid w:val="000271FD"/>
    <w:rsid w:val="00027281"/>
    <w:rsid w:val="00027414"/>
    <w:rsid w:val="0002799C"/>
    <w:rsid w:val="00027B84"/>
    <w:rsid w:val="00027B92"/>
    <w:rsid w:val="00030043"/>
    <w:rsid w:val="00030102"/>
    <w:rsid w:val="00030B26"/>
    <w:rsid w:val="00030EEC"/>
    <w:rsid w:val="00030F3A"/>
    <w:rsid w:val="000310DA"/>
    <w:rsid w:val="00031287"/>
    <w:rsid w:val="000313C4"/>
    <w:rsid w:val="0003154C"/>
    <w:rsid w:val="000316B9"/>
    <w:rsid w:val="00031D54"/>
    <w:rsid w:val="00032865"/>
    <w:rsid w:val="00032DD1"/>
    <w:rsid w:val="0003327C"/>
    <w:rsid w:val="00033415"/>
    <w:rsid w:val="0003350E"/>
    <w:rsid w:val="0003367B"/>
    <w:rsid w:val="000338D5"/>
    <w:rsid w:val="00033A0F"/>
    <w:rsid w:val="000340F0"/>
    <w:rsid w:val="000352C8"/>
    <w:rsid w:val="0003586B"/>
    <w:rsid w:val="00035C04"/>
    <w:rsid w:val="00036256"/>
    <w:rsid w:val="00037161"/>
    <w:rsid w:val="000372D3"/>
    <w:rsid w:val="00037384"/>
    <w:rsid w:val="00037D75"/>
    <w:rsid w:val="00040681"/>
    <w:rsid w:val="00040A92"/>
    <w:rsid w:val="0004101E"/>
    <w:rsid w:val="000410A9"/>
    <w:rsid w:val="000419A4"/>
    <w:rsid w:val="00041E80"/>
    <w:rsid w:val="00042425"/>
    <w:rsid w:val="00042679"/>
    <w:rsid w:val="0004276F"/>
    <w:rsid w:val="00042B2E"/>
    <w:rsid w:val="00042D22"/>
    <w:rsid w:val="00042F61"/>
    <w:rsid w:val="0004336E"/>
    <w:rsid w:val="000436D9"/>
    <w:rsid w:val="00043951"/>
    <w:rsid w:val="0004399F"/>
    <w:rsid w:val="00043A1B"/>
    <w:rsid w:val="00043B47"/>
    <w:rsid w:val="00043E76"/>
    <w:rsid w:val="00044152"/>
    <w:rsid w:val="0004425F"/>
    <w:rsid w:val="000449FD"/>
    <w:rsid w:val="00045551"/>
    <w:rsid w:val="00045609"/>
    <w:rsid w:val="00045C89"/>
    <w:rsid w:val="00045DE7"/>
    <w:rsid w:val="00045F12"/>
    <w:rsid w:val="000463FA"/>
    <w:rsid w:val="000466C5"/>
    <w:rsid w:val="000471C3"/>
    <w:rsid w:val="000474C4"/>
    <w:rsid w:val="00047771"/>
    <w:rsid w:val="000505E9"/>
    <w:rsid w:val="00050DBA"/>
    <w:rsid w:val="0005102A"/>
    <w:rsid w:val="000514FF"/>
    <w:rsid w:val="000515C0"/>
    <w:rsid w:val="00051802"/>
    <w:rsid w:val="00051EC4"/>
    <w:rsid w:val="0005204B"/>
    <w:rsid w:val="0005209F"/>
    <w:rsid w:val="00052370"/>
    <w:rsid w:val="00052433"/>
    <w:rsid w:val="00052929"/>
    <w:rsid w:val="00052FBF"/>
    <w:rsid w:val="0005328B"/>
    <w:rsid w:val="00053850"/>
    <w:rsid w:val="00054169"/>
    <w:rsid w:val="000544EF"/>
    <w:rsid w:val="0005465C"/>
    <w:rsid w:val="00054BDF"/>
    <w:rsid w:val="00054CA8"/>
    <w:rsid w:val="00054F56"/>
    <w:rsid w:val="00054FC6"/>
    <w:rsid w:val="000552E1"/>
    <w:rsid w:val="00055606"/>
    <w:rsid w:val="00055E7C"/>
    <w:rsid w:val="00055F2F"/>
    <w:rsid w:val="00056D4A"/>
    <w:rsid w:val="00057033"/>
    <w:rsid w:val="000574E4"/>
    <w:rsid w:val="000576EE"/>
    <w:rsid w:val="00060334"/>
    <w:rsid w:val="0006121E"/>
    <w:rsid w:val="00061BC2"/>
    <w:rsid w:val="00061C4C"/>
    <w:rsid w:val="00061F27"/>
    <w:rsid w:val="0006236C"/>
    <w:rsid w:val="000624F7"/>
    <w:rsid w:val="000628D5"/>
    <w:rsid w:val="00062969"/>
    <w:rsid w:val="00062FC7"/>
    <w:rsid w:val="000631C9"/>
    <w:rsid w:val="00063B5A"/>
    <w:rsid w:val="00063FBD"/>
    <w:rsid w:val="00064BB4"/>
    <w:rsid w:val="000651F6"/>
    <w:rsid w:val="000659C7"/>
    <w:rsid w:val="00065E9C"/>
    <w:rsid w:val="00066235"/>
    <w:rsid w:val="00066288"/>
    <w:rsid w:val="00066612"/>
    <w:rsid w:val="00066ED7"/>
    <w:rsid w:val="00066EFA"/>
    <w:rsid w:val="00066F89"/>
    <w:rsid w:val="000674BA"/>
    <w:rsid w:val="000677E2"/>
    <w:rsid w:val="00067A72"/>
    <w:rsid w:val="00070994"/>
    <w:rsid w:val="00070D9B"/>
    <w:rsid w:val="00071070"/>
    <w:rsid w:val="00071252"/>
    <w:rsid w:val="00072E47"/>
    <w:rsid w:val="000738C2"/>
    <w:rsid w:val="00073BE8"/>
    <w:rsid w:val="00073F29"/>
    <w:rsid w:val="0007402C"/>
    <w:rsid w:val="000747DC"/>
    <w:rsid w:val="00074B19"/>
    <w:rsid w:val="00074E3C"/>
    <w:rsid w:val="00075034"/>
    <w:rsid w:val="0007524D"/>
    <w:rsid w:val="000756E0"/>
    <w:rsid w:val="000759B2"/>
    <w:rsid w:val="00075B3E"/>
    <w:rsid w:val="00075BFE"/>
    <w:rsid w:val="00076535"/>
    <w:rsid w:val="00076879"/>
    <w:rsid w:val="00076B05"/>
    <w:rsid w:val="000777F4"/>
    <w:rsid w:val="00077A4A"/>
    <w:rsid w:val="000802A6"/>
    <w:rsid w:val="0008072E"/>
    <w:rsid w:val="00080780"/>
    <w:rsid w:val="000807B4"/>
    <w:rsid w:val="00080887"/>
    <w:rsid w:val="00080A59"/>
    <w:rsid w:val="00080A77"/>
    <w:rsid w:val="000810C7"/>
    <w:rsid w:val="00081146"/>
    <w:rsid w:val="000812C2"/>
    <w:rsid w:val="00081454"/>
    <w:rsid w:val="00081958"/>
    <w:rsid w:val="00081E7E"/>
    <w:rsid w:val="00082A81"/>
    <w:rsid w:val="000838DE"/>
    <w:rsid w:val="00083936"/>
    <w:rsid w:val="00083F22"/>
    <w:rsid w:val="0008442B"/>
    <w:rsid w:val="000847E0"/>
    <w:rsid w:val="00084A7F"/>
    <w:rsid w:val="00085A7C"/>
    <w:rsid w:val="00085ED8"/>
    <w:rsid w:val="0009036A"/>
    <w:rsid w:val="00090520"/>
    <w:rsid w:val="00090820"/>
    <w:rsid w:val="00091337"/>
    <w:rsid w:val="00091465"/>
    <w:rsid w:val="000918FC"/>
    <w:rsid w:val="00091C01"/>
    <w:rsid w:val="00091C60"/>
    <w:rsid w:val="00091EF0"/>
    <w:rsid w:val="00092076"/>
    <w:rsid w:val="000925A0"/>
    <w:rsid w:val="00092C1F"/>
    <w:rsid w:val="00092D24"/>
    <w:rsid w:val="00092F18"/>
    <w:rsid w:val="0009356D"/>
    <w:rsid w:val="00093C1A"/>
    <w:rsid w:val="00093C49"/>
    <w:rsid w:val="00093D4A"/>
    <w:rsid w:val="0009421F"/>
    <w:rsid w:val="000942CB"/>
    <w:rsid w:val="000944D3"/>
    <w:rsid w:val="00095C90"/>
    <w:rsid w:val="00095E21"/>
    <w:rsid w:val="0009619D"/>
    <w:rsid w:val="0009694D"/>
    <w:rsid w:val="00096FF2"/>
    <w:rsid w:val="00097A34"/>
    <w:rsid w:val="00097F80"/>
    <w:rsid w:val="000A0C5E"/>
    <w:rsid w:val="000A16FD"/>
    <w:rsid w:val="000A1F47"/>
    <w:rsid w:val="000A2AA7"/>
    <w:rsid w:val="000A2DD9"/>
    <w:rsid w:val="000A2DF7"/>
    <w:rsid w:val="000A3545"/>
    <w:rsid w:val="000A37CC"/>
    <w:rsid w:val="000A3FCD"/>
    <w:rsid w:val="000A4C44"/>
    <w:rsid w:val="000A5596"/>
    <w:rsid w:val="000A5951"/>
    <w:rsid w:val="000A5B16"/>
    <w:rsid w:val="000A630C"/>
    <w:rsid w:val="000A6519"/>
    <w:rsid w:val="000A66D4"/>
    <w:rsid w:val="000A6A17"/>
    <w:rsid w:val="000A73E3"/>
    <w:rsid w:val="000A77F2"/>
    <w:rsid w:val="000A7DAB"/>
    <w:rsid w:val="000B0B8F"/>
    <w:rsid w:val="000B1536"/>
    <w:rsid w:val="000B1C4B"/>
    <w:rsid w:val="000B1C76"/>
    <w:rsid w:val="000B2599"/>
    <w:rsid w:val="000B279D"/>
    <w:rsid w:val="000B2837"/>
    <w:rsid w:val="000B2F51"/>
    <w:rsid w:val="000B345B"/>
    <w:rsid w:val="000B3908"/>
    <w:rsid w:val="000B3A22"/>
    <w:rsid w:val="000B3B56"/>
    <w:rsid w:val="000B3CD2"/>
    <w:rsid w:val="000B3DC8"/>
    <w:rsid w:val="000B3EBD"/>
    <w:rsid w:val="000B40E3"/>
    <w:rsid w:val="000B4478"/>
    <w:rsid w:val="000B4481"/>
    <w:rsid w:val="000B472A"/>
    <w:rsid w:val="000B475D"/>
    <w:rsid w:val="000B4A76"/>
    <w:rsid w:val="000B4E32"/>
    <w:rsid w:val="000B50E6"/>
    <w:rsid w:val="000B59AE"/>
    <w:rsid w:val="000B5ADB"/>
    <w:rsid w:val="000B5F19"/>
    <w:rsid w:val="000B6847"/>
    <w:rsid w:val="000B6F21"/>
    <w:rsid w:val="000B6FF8"/>
    <w:rsid w:val="000B703D"/>
    <w:rsid w:val="000B7117"/>
    <w:rsid w:val="000B78A4"/>
    <w:rsid w:val="000B7D71"/>
    <w:rsid w:val="000B7F42"/>
    <w:rsid w:val="000C0352"/>
    <w:rsid w:val="000C03C9"/>
    <w:rsid w:val="000C0539"/>
    <w:rsid w:val="000C096F"/>
    <w:rsid w:val="000C0D6E"/>
    <w:rsid w:val="000C1038"/>
    <w:rsid w:val="000C1BDC"/>
    <w:rsid w:val="000C1C45"/>
    <w:rsid w:val="000C1D36"/>
    <w:rsid w:val="000C26DA"/>
    <w:rsid w:val="000C2B41"/>
    <w:rsid w:val="000C2D05"/>
    <w:rsid w:val="000C32AE"/>
    <w:rsid w:val="000C3D89"/>
    <w:rsid w:val="000C3EE5"/>
    <w:rsid w:val="000C463D"/>
    <w:rsid w:val="000C5096"/>
    <w:rsid w:val="000C50B3"/>
    <w:rsid w:val="000C5802"/>
    <w:rsid w:val="000C5828"/>
    <w:rsid w:val="000C5E33"/>
    <w:rsid w:val="000C66AA"/>
    <w:rsid w:val="000C6D3D"/>
    <w:rsid w:val="000C708D"/>
    <w:rsid w:val="000C78FE"/>
    <w:rsid w:val="000C7910"/>
    <w:rsid w:val="000C7A21"/>
    <w:rsid w:val="000D00C4"/>
    <w:rsid w:val="000D03BB"/>
    <w:rsid w:val="000D0610"/>
    <w:rsid w:val="000D084E"/>
    <w:rsid w:val="000D0E06"/>
    <w:rsid w:val="000D1053"/>
    <w:rsid w:val="000D12E7"/>
    <w:rsid w:val="000D13A8"/>
    <w:rsid w:val="000D21D0"/>
    <w:rsid w:val="000D26F2"/>
    <w:rsid w:val="000D2BC5"/>
    <w:rsid w:val="000D2F79"/>
    <w:rsid w:val="000D32C2"/>
    <w:rsid w:val="000D3334"/>
    <w:rsid w:val="000D3A35"/>
    <w:rsid w:val="000D3C62"/>
    <w:rsid w:val="000D3CD9"/>
    <w:rsid w:val="000D3D4E"/>
    <w:rsid w:val="000D4334"/>
    <w:rsid w:val="000D47FA"/>
    <w:rsid w:val="000D4EB4"/>
    <w:rsid w:val="000D5166"/>
    <w:rsid w:val="000D56ED"/>
    <w:rsid w:val="000D5FFE"/>
    <w:rsid w:val="000D6405"/>
    <w:rsid w:val="000D6759"/>
    <w:rsid w:val="000D6A21"/>
    <w:rsid w:val="000D6C2C"/>
    <w:rsid w:val="000D6C39"/>
    <w:rsid w:val="000D7176"/>
    <w:rsid w:val="000D789A"/>
    <w:rsid w:val="000D7D8C"/>
    <w:rsid w:val="000E0411"/>
    <w:rsid w:val="000E0A9F"/>
    <w:rsid w:val="000E1079"/>
    <w:rsid w:val="000E1F1D"/>
    <w:rsid w:val="000E218F"/>
    <w:rsid w:val="000E250C"/>
    <w:rsid w:val="000E28D8"/>
    <w:rsid w:val="000E2B84"/>
    <w:rsid w:val="000E3005"/>
    <w:rsid w:val="000E3034"/>
    <w:rsid w:val="000E399F"/>
    <w:rsid w:val="000E39F0"/>
    <w:rsid w:val="000E3B2F"/>
    <w:rsid w:val="000E50B1"/>
    <w:rsid w:val="000E50D0"/>
    <w:rsid w:val="000E51A3"/>
    <w:rsid w:val="000E5243"/>
    <w:rsid w:val="000E53DA"/>
    <w:rsid w:val="000E585D"/>
    <w:rsid w:val="000E5AEC"/>
    <w:rsid w:val="000E5C38"/>
    <w:rsid w:val="000E5EE1"/>
    <w:rsid w:val="000E609B"/>
    <w:rsid w:val="000E617C"/>
    <w:rsid w:val="000E6B9D"/>
    <w:rsid w:val="000E6CBB"/>
    <w:rsid w:val="000E6E9D"/>
    <w:rsid w:val="000E7096"/>
    <w:rsid w:val="000E71FA"/>
    <w:rsid w:val="000E7701"/>
    <w:rsid w:val="000E7C02"/>
    <w:rsid w:val="000E7C66"/>
    <w:rsid w:val="000F0276"/>
    <w:rsid w:val="000F0297"/>
    <w:rsid w:val="000F0476"/>
    <w:rsid w:val="000F0767"/>
    <w:rsid w:val="000F07B1"/>
    <w:rsid w:val="000F0A85"/>
    <w:rsid w:val="000F0AD4"/>
    <w:rsid w:val="000F0E84"/>
    <w:rsid w:val="000F10D9"/>
    <w:rsid w:val="000F1449"/>
    <w:rsid w:val="000F16C6"/>
    <w:rsid w:val="000F1A4D"/>
    <w:rsid w:val="000F1CAD"/>
    <w:rsid w:val="000F1FBE"/>
    <w:rsid w:val="000F3115"/>
    <w:rsid w:val="000F37F6"/>
    <w:rsid w:val="000F3FA4"/>
    <w:rsid w:val="000F4465"/>
    <w:rsid w:val="000F4594"/>
    <w:rsid w:val="000F4BEF"/>
    <w:rsid w:val="000F4EC7"/>
    <w:rsid w:val="000F5037"/>
    <w:rsid w:val="000F5969"/>
    <w:rsid w:val="000F5CC1"/>
    <w:rsid w:val="000F5D48"/>
    <w:rsid w:val="000F658D"/>
    <w:rsid w:val="000F683B"/>
    <w:rsid w:val="000F6D0F"/>
    <w:rsid w:val="000F71CC"/>
    <w:rsid w:val="000F7247"/>
    <w:rsid w:val="000F7279"/>
    <w:rsid w:val="000F7404"/>
    <w:rsid w:val="0010009D"/>
    <w:rsid w:val="001002B1"/>
    <w:rsid w:val="001007D2"/>
    <w:rsid w:val="00100B99"/>
    <w:rsid w:val="00100FAA"/>
    <w:rsid w:val="0010118E"/>
    <w:rsid w:val="00101389"/>
    <w:rsid w:val="00101A85"/>
    <w:rsid w:val="00101AA5"/>
    <w:rsid w:val="0010243B"/>
    <w:rsid w:val="001026DD"/>
    <w:rsid w:val="00102905"/>
    <w:rsid w:val="00102B03"/>
    <w:rsid w:val="00102C88"/>
    <w:rsid w:val="001031D3"/>
    <w:rsid w:val="001034CE"/>
    <w:rsid w:val="001038FF"/>
    <w:rsid w:val="00103A88"/>
    <w:rsid w:val="00103C08"/>
    <w:rsid w:val="00103F96"/>
    <w:rsid w:val="0010408D"/>
    <w:rsid w:val="0010463C"/>
    <w:rsid w:val="00104670"/>
    <w:rsid w:val="00104766"/>
    <w:rsid w:val="001047AB"/>
    <w:rsid w:val="00104BD0"/>
    <w:rsid w:val="00105851"/>
    <w:rsid w:val="001059B2"/>
    <w:rsid w:val="00105A84"/>
    <w:rsid w:val="00106002"/>
    <w:rsid w:val="001062CD"/>
    <w:rsid w:val="00106417"/>
    <w:rsid w:val="001065F6"/>
    <w:rsid w:val="00107138"/>
    <w:rsid w:val="001075DA"/>
    <w:rsid w:val="00107C32"/>
    <w:rsid w:val="0011020D"/>
    <w:rsid w:val="00110230"/>
    <w:rsid w:val="0011059A"/>
    <w:rsid w:val="001105BE"/>
    <w:rsid w:val="0011060E"/>
    <w:rsid w:val="00110ED7"/>
    <w:rsid w:val="00110F76"/>
    <w:rsid w:val="0011112D"/>
    <w:rsid w:val="0011139B"/>
    <w:rsid w:val="0011140C"/>
    <w:rsid w:val="0011233F"/>
    <w:rsid w:val="001128E5"/>
    <w:rsid w:val="00112AE6"/>
    <w:rsid w:val="00112D7B"/>
    <w:rsid w:val="0011405E"/>
    <w:rsid w:val="001142F1"/>
    <w:rsid w:val="0011434D"/>
    <w:rsid w:val="001147E3"/>
    <w:rsid w:val="00115405"/>
    <w:rsid w:val="001159B5"/>
    <w:rsid w:val="00115A33"/>
    <w:rsid w:val="00116369"/>
    <w:rsid w:val="00116EEF"/>
    <w:rsid w:val="0011730A"/>
    <w:rsid w:val="001173A8"/>
    <w:rsid w:val="00120050"/>
    <w:rsid w:val="001201F3"/>
    <w:rsid w:val="0012062C"/>
    <w:rsid w:val="0012067F"/>
    <w:rsid w:val="00120D0B"/>
    <w:rsid w:val="00120F75"/>
    <w:rsid w:val="001216D9"/>
    <w:rsid w:val="001218A6"/>
    <w:rsid w:val="001218D7"/>
    <w:rsid w:val="00121FA0"/>
    <w:rsid w:val="00122C67"/>
    <w:rsid w:val="001233BF"/>
    <w:rsid w:val="00123582"/>
    <w:rsid w:val="0012415F"/>
    <w:rsid w:val="00124845"/>
    <w:rsid w:val="001248F5"/>
    <w:rsid w:val="001249AD"/>
    <w:rsid w:val="00124BCD"/>
    <w:rsid w:val="00124C0D"/>
    <w:rsid w:val="00124FDD"/>
    <w:rsid w:val="001255C5"/>
    <w:rsid w:val="00125F40"/>
    <w:rsid w:val="00126482"/>
    <w:rsid w:val="00126E5A"/>
    <w:rsid w:val="00127756"/>
    <w:rsid w:val="00127A39"/>
    <w:rsid w:val="00127E5A"/>
    <w:rsid w:val="00127EEC"/>
    <w:rsid w:val="001303D5"/>
    <w:rsid w:val="0013046E"/>
    <w:rsid w:val="001307FE"/>
    <w:rsid w:val="00130BCA"/>
    <w:rsid w:val="00131565"/>
    <w:rsid w:val="00131603"/>
    <w:rsid w:val="00131745"/>
    <w:rsid w:val="00131A68"/>
    <w:rsid w:val="00131C0D"/>
    <w:rsid w:val="001328D3"/>
    <w:rsid w:val="00132E0F"/>
    <w:rsid w:val="00132FAF"/>
    <w:rsid w:val="00132FFC"/>
    <w:rsid w:val="0013311C"/>
    <w:rsid w:val="0013312B"/>
    <w:rsid w:val="0013457B"/>
    <w:rsid w:val="00134AF3"/>
    <w:rsid w:val="00134B03"/>
    <w:rsid w:val="00135BBA"/>
    <w:rsid w:val="00135F7B"/>
    <w:rsid w:val="001360EE"/>
    <w:rsid w:val="001361CA"/>
    <w:rsid w:val="00136CDD"/>
    <w:rsid w:val="0013766C"/>
    <w:rsid w:val="00137802"/>
    <w:rsid w:val="00137914"/>
    <w:rsid w:val="00137D4F"/>
    <w:rsid w:val="00137DF8"/>
    <w:rsid w:val="00137E80"/>
    <w:rsid w:val="00140446"/>
    <w:rsid w:val="00140D04"/>
    <w:rsid w:val="00140D7A"/>
    <w:rsid w:val="00141BFB"/>
    <w:rsid w:val="00141DFC"/>
    <w:rsid w:val="00141ED1"/>
    <w:rsid w:val="00142017"/>
    <w:rsid w:val="00142062"/>
    <w:rsid w:val="001420E6"/>
    <w:rsid w:val="00142497"/>
    <w:rsid w:val="001429FA"/>
    <w:rsid w:val="00142A25"/>
    <w:rsid w:val="001432C0"/>
    <w:rsid w:val="0014353E"/>
    <w:rsid w:val="001435C3"/>
    <w:rsid w:val="00143DEE"/>
    <w:rsid w:val="00143EF2"/>
    <w:rsid w:val="001442CC"/>
    <w:rsid w:val="00144557"/>
    <w:rsid w:val="001445ED"/>
    <w:rsid w:val="00144680"/>
    <w:rsid w:val="001455C9"/>
    <w:rsid w:val="001455EB"/>
    <w:rsid w:val="00145AEE"/>
    <w:rsid w:val="00145E07"/>
    <w:rsid w:val="00145F30"/>
    <w:rsid w:val="001462A9"/>
    <w:rsid w:val="00146542"/>
    <w:rsid w:val="0014692D"/>
    <w:rsid w:val="00146BD8"/>
    <w:rsid w:val="00146CCE"/>
    <w:rsid w:val="00146F7A"/>
    <w:rsid w:val="00147226"/>
    <w:rsid w:val="001474CE"/>
    <w:rsid w:val="00147B64"/>
    <w:rsid w:val="00147F70"/>
    <w:rsid w:val="0015052A"/>
    <w:rsid w:val="001505A8"/>
    <w:rsid w:val="001507B2"/>
    <w:rsid w:val="00150950"/>
    <w:rsid w:val="00150A15"/>
    <w:rsid w:val="00151C1C"/>
    <w:rsid w:val="00152C3B"/>
    <w:rsid w:val="00152CDF"/>
    <w:rsid w:val="0015334C"/>
    <w:rsid w:val="00153F75"/>
    <w:rsid w:val="00154307"/>
    <w:rsid w:val="001553B3"/>
    <w:rsid w:val="001555A1"/>
    <w:rsid w:val="00155A13"/>
    <w:rsid w:val="0015696D"/>
    <w:rsid w:val="00156AF6"/>
    <w:rsid w:val="00156B9A"/>
    <w:rsid w:val="00156DC1"/>
    <w:rsid w:val="00156EC6"/>
    <w:rsid w:val="00156F40"/>
    <w:rsid w:val="00156F9C"/>
    <w:rsid w:val="0015728F"/>
    <w:rsid w:val="00157301"/>
    <w:rsid w:val="0015730C"/>
    <w:rsid w:val="00157801"/>
    <w:rsid w:val="001579C4"/>
    <w:rsid w:val="00157AA0"/>
    <w:rsid w:val="00157D1C"/>
    <w:rsid w:val="00157E67"/>
    <w:rsid w:val="0016009B"/>
    <w:rsid w:val="001604B2"/>
    <w:rsid w:val="00160B8A"/>
    <w:rsid w:val="00161323"/>
    <w:rsid w:val="00161327"/>
    <w:rsid w:val="001618A0"/>
    <w:rsid w:val="001618CE"/>
    <w:rsid w:val="00161B85"/>
    <w:rsid w:val="00161D8B"/>
    <w:rsid w:val="00161E45"/>
    <w:rsid w:val="00161E59"/>
    <w:rsid w:val="00162245"/>
    <w:rsid w:val="00163140"/>
    <w:rsid w:val="001638DE"/>
    <w:rsid w:val="00164339"/>
    <w:rsid w:val="00164817"/>
    <w:rsid w:val="00164C86"/>
    <w:rsid w:val="001658A9"/>
    <w:rsid w:val="00165D1A"/>
    <w:rsid w:val="00165E1E"/>
    <w:rsid w:val="00165E3D"/>
    <w:rsid w:val="0016687D"/>
    <w:rsid w:val="0016697E"/>
    <w:rsid w:val="001672C8"/>
    <w:rsid w:val="001703FC"/>
    <w:rsid w:val="0017050E"/>
    <w:rsid w:val="00170B7F"/>
    <w:rsid w:val="00170CAE"/>
    <w:rsid w:val="00170DF2"/>
    <w:rsid w:val="00170ED4"/>
    <w:rsid w:val="001711C3"/>
    <w:rsid w:val="0017145C"/>
    <w:rsid w:val="0017188B"/>
    <w:rsid w:val="00171DCD"/>
    <w:rsid w:val="00172113"/>
    <w:rsid w:val="0017299E"/>
    <w:rsid w:val="00172B20"/>
    <w:rsid w:val="001730F7"/>
    <w:rsid w:val="00173452"/>
    <w:rsid w:val="001734ED"/>
    <w:rsid w:val="0017395C"/>
    <w:rsid w:val="00173D84"/>
    <w:rsid w:val="00173EE3"/>
    <w:rsid w:val="00173F93"/>
    <w:rsid w:val="00174195"/>
    <w:rsid w:val="0017447A"/>
    <w:rsid w:val="0017495C"/>
    <w:rsid w:val="0017515C"/>
    <w:rsid w:val="001751F7"/>
    <w:rsid w:val="0017528E"/>
    <w:rsid w:val="00175616"/>
    <w:rsid w:val="00175DBA"/>
    <w:rsid w:val="00175EA0"/>
    <w:rsid w:val="00175F08"/>
    <w:rsid w:val="0017606A"/>
    <w:rsid w:val="00176645"/>
    <w:rsid w:val="00177AB4"/>
    <w:rsid w:val="00180488"/>
    <w:rsid w:val="00180624"/>
    <w:rsid w:val="00180710"/>
    <w:rsid w:val="00180723"/>
    <w:rsid w:val="001809A1"/>
    <w:rsid w:val="00180DF8"/>
    <w:rsid w:val="00180FF9"/>
    <w:rsid w:val="0018156D"/>
    <w:rsid w:val="001818CA"/>
    <w:rsid w:val="00181E0E"/>
    <w:rsid w:val="00182F88"/>
    <w:rsid w:val="001832B4"/>
    <w:rsid w:val="00183C51"/>
    <w:rsid w:val="00183C91"/>
    <w:rsid w:val="00183CFD"/>
    <w:rsid w:val="00184313"/>
    <w:rsid w:val="00184680"/>
    <w:rsid w:val="00184972"/>
    <w:rsid w:val="00184B40"/>
    <w:rsid w:val="00184E24"/>
    <w:rsid w:val="001850CC"/>
    <w:rsid w:val="001854E4"/>
    <w:rsid w:val="00185517"/>
    <w:rsid w:val="00185C36"/>
    <w:rsid w:val="00185C7C"/>
    <w:rsid w:val="00185DE5"/>
    <w:rsid w:val="00186577"/>
    <w:rsid w:val="001865A0"/>
    <w:rsid w:val="0018661A"/>
    <w:rsid w:val="00187048"/>
    <w:rsid w:val="00187763"/>
    <w:rsid w:val="00187CA4"/>
    <w:rsid w:val="00187D84"/>
    <w:rsid w:val="0019060A"/>
    <w:rsid w:val="00190DC8"/>
    <w:rsid w:val="00191740"/>
    <w:rsid w:val="001918CE"/>
    <w:rsid w:val="001919F5"/>
    <w:rsid w:val="00191AAD"/>
    <w:rsid w:val="00191C01"/>
    <w:rsid w:val="00191C89"/>
    <w:rsid w:val="00192223"/>
    <w:rsid w:val="00192399"/>
    <w:rsid w:val="001923C3"/>
    <w:rsid w:val="001928F7"/>
    <w:rsid w:val="001930CA"/>
    <w:rsid w:val="001930FA"/>
    <w:rsid w:val="00193175"/>
    <w:rsid w:val="001932D3"/>
    <w:rsid w:val="00193573"/>
    <w:rsid w:val="00193C59"/>
    <w:rsid w:val="00193ED0"/>
    <w:rsid w:val="0019417C"/>
    <w:rsid w:val="00194259"/>
    <w:rsid w:val="00195102"/>
    <w:rsid w:val="0019522A"/>
    <w:rsid w:val="00195337"/>
    <w:rsid w:val="001953C0"/>
    <w:rsid w:val="00195AE3"/>
    <w:rsid w:val="00195B27"/>
    <w:rsid w:val="001966D3"/>
    <w:rsid w:val="00197410"/>
    <w:rsid w:val="00197A46"/>
    <w:rsid w:val="00197DBE"/>
    <w:rsid w:val="00197F73"/>
    <w:rsid w:val="001A03DF"/>
    <w:rsid w:val="001A0448"/>
    <w:rsid w:val="001A04A8"/>
    <w:rsid w:val="001A0590"/>
    <w:rsid w:val="001A0D75"/>
    <w:rsid w:val="001A10A5"/>
    <w:rsid w:val="001A117D"/>
    <w:rsid w:val="001A1449"/>
    <w:rsid w:val="001A1C83"/>
    <w:rsid w:val="001A2105"/>
    <w:rsid w:val="001A231B"/>
    <w:rsid w:val="001A29C4"/>
    <w:rsid w:val="001A31B5"/>
    <w:rsid w:val="001A406E"/>
    <w:rsid w:val="001A430B"/>
    <w:rsid w:val="001A4851"/>
    <w:rsid w:val="001A4A39"/>
    <w:rsid w:val="001A5592"/>
    <w:rsid w:val="001A5847"/>
    <w:rsid w:val="001A5E27"/>
    <w:rsid w:val="001A5E38"/>
    <w:rsid w:val="001A6895"/>
    <w:rsid w:val="001A75F6"/>
    <w:rsid w:val="001A79F4"/>
    <w:rsid w:val="001A7ABF"/>
    <w:rsid w:val="001B0466"/>
    <w:rsid w:val="001B056C"/>
    <w:rsid w:val="001B1278"/>
    <w:rsid w:val="001B1574"/>
    <w:rsid w:val="001B192F"/>
    <w:rsid w:val="001B19FE"/>
    <w:rsid w:val="001B1D57"/>
    <w:rsid w:val="001B1FB0"/>
    <w:rsid w:val="001B21D9"/>
    <w:rsid w:val="001B2547"/>
    <w:rsid w:val="001B2810"/>
    <w:rsid w:val="001B2A1D"/>
    <w:rsid w:val="001B2BC2"/>
    <w:rsid w:val="001B2C50"/>
    <w:rsid w:val="001B2DC5"/>
    <w:rsid w:val="001B2F85"/>
    <w:rsid w:val="001B32B7"/>
    <w:rsid w:val="001B3D41"/>
    <w:rsid w:val="001B4014"/>
    <w:rsid w:val="001B426A"/>
    <w:rsid w:val="001B43A3"/>
    <w:rsid w:val="001B459F"/>
    <w:rsid w:val="001B491B"/>
    <w:rsid w:val="001B49A7"/>
    <w:rsid w:val="001B4B7E"/>
    <w:rsid w:val="001B5045"/>
    <w:rsid w:val="001B5085"/>
    <w:rsid w:val="001B544E"/>
    <w:rsid w:val="001B54D1"/>
    <w:rsid w:val="001B5714"/>
    <w:rsid w:val="001B61B5"/>
    <w:rsid w:val="001B61D5"/>
    <w:rsid w:val="001B683A"/>
    <w:rsid w:val="001B6C2A"/>
    <w:rsid w:val="001B6F24"/>
    <w:rsid w:val="001B7187"/>
    <w:rsid w:val="001B76D9"/>
    <w:rsid w:val="001B7929"/>
    <w:rsid w:val="001B7C3E"/>
    <w:rsid w:val="001C0113"/>
    <w:rsid w:val="001C0A81"/>
    <w:rsid w:val="001C0C51"/>
    <w:rsid w:val="001C0D0C"/>
    <w:rsid w:val="001C11AB"/>
    <w:rsid w:val="001C1232"/>
    <w:rsid w:val="001C12C1"/>
    <w:rsid w:val="001C13B6"/>
    <w:rsid w:val="001C1BBC"/>
    <w:rsid w:val="001C210B"/>
    <w:rsid w:val="001C2410"/>
    <w:rsid w:val="001C2440"/>
    <w:rsid w:val="001C2B6B"/>
    <w:rsid w:val="001C309A"/>
    <w:rsid w:val="001C31D6"/>
    <w:rsid w:val="001C3259"/>
    <w:rsid w:val="001C39CD"/>
    <w:rsid w:val="001C3D8D"/>
    <w:rsid w:val="001C46A3"/>
    <w:rsid w:val="001C47AE"/>
    <w:rsid w:val="001C48EF"/>
    <w:rsid w:val="001C50FA"/>
    <w:rsid w:val="001C5514"/>
    <w:rsid w:val="001C5C7A"/>
    <w:rsid w:val="001C605D"/>
    <w:rsid w:val="001C60AE"/>
    <w:rsid w:val="001C617F"/>
    <w:rsid w:val="001C61D2"/>
    <w:rsid w:val="001C64E7"/>
    <w:rsid w:val="001C68C2"/>
    <w:rsid w:val="001C6D69"/>
    <w:rsid w:val="001C75E6"/>
    <w:rsid w:val="001C7608"/>
    <w:rsid w:val="001C77EA"/>
    <w:rsid w:val="001C7972"/>
    <w:rsid w:val="001C79E6"/>
    <w:rsid w:val="001C7B67"/>
    <w:rsid w:val="001C7CDC"/>
    <w:rsid w:val="001D0375"/>
    <w:rsid w:val="001D0642"/>
    <w:rsid w:val="001D06C7"/>
    <w:rsid w:val="001D082A"/>
    <w:rsid w:val="001D0B77"/>
    <w:rsid w:val="001D0BD2"/>
    <w:rsid w:val="001D0E89"/>
    <w:rsid w:val="001D10AD"/>
    <w:rsid w:val="001D149A"/>
    <w:rsid w:val="001D1E3C"/>
    <w:rsid w:val="001D30B6"/>
    <w:rsid w:val="001D30D3"/>
    <w:rsid w:val="001D3D87"/>
    <w:rsid w:val="001D3F71"/>
    <w:rsid w:val="001D41FF"/>
    <w:rsid w:val="001D49A2"/>
    <w:rsid w:val="001D4A11"/>
    <w:rsid w:val="001D4CF2"/>
    <w:rsid w:val="001D52B5"/>
    <w:rsid w:val="001D5644"/>
    <w:rsid w:val="001D5BBA"/>
    <w:rsid w:val="001D5C13"/>
    <w:rsid w:val="001D5CB1"/>
    <w:rsid w:val="001D5D18"/>
    <w:rsid w:val="001D5D22"/>
    <w:rsid w:val="001D5EE3"/>
    <w:rsid w:val="001D612E"/>
    <w:rsid w:val="001D63F5"/>
    <w:rsid w:val="001D662A"/>
    <w:rsid w:val="001D6771"/>
    <w:rsid w:val="001D6957"/>
    <w:rsid w:val="001D6F48"/>
    <w:rsid w:val="001D7D6E"/>
    <w:rsid w:val="001D7E98"/>
    <w:rsid w:val="001E00A6"/>
    <w:rsid w:val="001E0254"/>
    <w:rsid w:val="001E033F"/>
    <w:rsid w:val="001E0445"/>
    <w:rsid w:val="001E07FD"/>
    <w:rsid w:val="001E152A"/>
    <w:rsid w:val="001E1568"/>
    <w:rsid w:val="001E1B2F"/>
    <w:rsid w:val="001E1B51"/>
    <w:rsid w:val="001E1D76"/>
    <w:rsid w:val="001E2C39"/>
    <w:rsid w:val="001E2E32"/>
    <w:rsid w:val="001E34CB"/>
    <w:rsid w:val="001E38E7"/>
    <w:rsid w:val="001E3C9E"/>
    <w:rsid w:val="001E46FD"/>
    <w:rsid w:val="001E47A3"/>
    <w:rsid w:val="001E4A6B"/>
    <w:rsid w:val="001E4D03"/>
    <w:rsid w:val="001E5272"/>
    <w:rsid w:val="001E582F"/>
    <w:rsid w:val="001E5920"/>
    <w:rsid w:val="001E5AEE"/>
    <w:rsid w:val="001E5E87"/>
    <w:rsid w:val="001E632D"/>
    <w:rsid w:val="001E6693"/>
    <w:rsid w:val="001E6709"/>
    <w:rsid w:val="001E674E"/>
    <w:rsid w:val="001E6B10"/>
    <w:rsid w:val="001E6D56"/>
    <w:rsid w:val="001E6E56"/>
    <w:rsid w:val="001E724D"/>
    <w:rsid w:val="001E73EB"/>
    <w:rsid w:val="001E74F3"/>
    <w:rsid w:val="001E77DC"/>
    <w:rsid w:val="001E7893"/>
    <w:rsid w:val="001E79E8"/>
    <w:rsid w:val="001E7A28"/>
    <w:rsid w:val="001E7D50"/>
    <w:rsid w:val="001E7E85"/>
    <w:rsid w:val="001F0482"/>
    <w:rsid w:val="001F07C5"/>
    <w:rsid w:val="001F1069"/>
    <w:rsid w:val="001F11B1"/>
    <w:rsid w:val="001F12EB"/>
    <w:rsid w:val="001F130C"/>
    <w:rsid w:val="001F1472"/>
    <w:rsid w:val="001F14E3"/>
    <w:rsid w:val="001F158C"/>
    <w:rsid w:val="001F18D0"/>
    <w:rsid w:val="001F22E1"/>
    <w:rsid w:val="001F2504"/>
    <w:rsid w:val="001F28CD"/>
    <w:rsid w:val="001F2992"/>
    <w:rsid w:val="001F2AE7"/>
    <w:rsid w:val="001F2DE8"/>
    <w:rsid w:val="001F367E"/>
    <w:rsid w:val="001F4676"/>
    <w:rsid w:val="001F480B"/>
    <w:rsid w:val="001F499E"/>
    <w:rsid w:val="001F4AA9"/>
    <w:rsid w:val="001F506F"/>
    <w:rsid w:val="001F5266"/>
    <w:rsid w:val="001F531A"/>
    <w:rsid w:val="001F5CC4"/>
    <w:rsid w:val="001F5D74"/>
    <w:rsid w:val="001F6156"/>
    <w:rsid w:val="001F6CFA"/>
    <w:rsid w:val="001F7014"/>
    <w:rsid w:val="001F7055"/>
    <w:rsid w:val="001F789F"/>
    <w:rsid w:val="001F79BE"/>
    <w:rsid w:val="002000B9"/>
    <w:rsid w:val="00200252"/>
    <w:rsid w:val="0020043C"/>
    <w:rsid w:val="00201273"/>
    <w:rsid w:val="002013EB"/>
    <w:rsid w:val="00201545"/>
    <w:rsid w:val="0020196B"/>
    <w:rsid w:val="00201A80"/>
    <w:rsid w:val="00201F29"/>
    <w:rsid w:val="0020212C"/>
    <w:rsid w:val="00202198"/>
    <w:rsid w:val="002022F4"/>
    <w:rsid w:val="00202C19"/>
    <w:rsid w:val="00202D2A"/>
    <w:rsid w:val="002033E9"/>
    <w:rsid w:val="0020343F"/>
    <w:rsid w:val="002037CF"/>
    <w:rsid w:val="002038C1"/>
    <w:rsid w:val="00204203"/>
    <w:rsid w:val="00204ED4"/>
    <w:rsid w:val="002050D6"/>
    <w:rsid w:val="00205696"/>
    <w:rsid w:val="00205810"/>
    <w:rsid w:val="0020667C"/>
    <w:rsid w:val="00206A4D"/>
    <w:rsid w:val="00206CC9"/>
    <w:rsid w:val="002072B3"/>
    <w:rsid w:val="002074EE"/>
    <w:rsid w:val="002105B9"/>
    <w:rsid w:val="0021083E"/>
    <w:rsid w:val="00210D48"/>
    <w:rsid w:val="00211571"/>
    <w:rsid w:val="002116E5"/>
    <w:rsid w:val="00212428"/>
    <w:rsid w:val="00212B58"/>
    <w:rsid w:val="0021333A"/>
    <w:rsid w:val="002135D8"/>
    <w:rsid w:val="00213614"/>
    <w:rsid w:val="00213BBF"/>
    <w:rsid w:val="00213E5B"/>
    <w:rsid w:val="00214455"/>
    <w:rsid w:val="00214D31"/>
    <w:rsid w:val="00214DAF"/>
    <w:rsid w:val="002155BB"/>
    <w:rsid w:val="00215A6E"/>
    <w:rsid w:val="00215CD6"/>
    <w:rsid w:val="00215E63"/>
    <w:rsid w:val="002161B4"/>
    <w:rsid w:val="002161CA"/>
    <w:rsid w:val="002162BE"/>
    <w:rsid w:val="00216484"/>
    <w:rsid w:val="00216700"/>
    <w:rsid w:val="00216EB3"/>
    <w:rsid w:val="00217356"/>
    <w:rsid w:val="0021780D"/>
    <w:rsid w:val="00221F33"/>
    <w:rsid w:val="00222034"/>
    <w:rsid w:val="00222591"/>
    <w:rsid w:val="00222608"/>
    <w:rsid w:val="002228D2"/>
    <w:rsid w:val="00222939"/>
    <w:rsid w:val="00222B12"/>
    <w:rsid w:val="00223193"/>
    <w:rsid w:val="0022343C"/>
    <w:rsid w:val="00223722"/>
    <w:rsid w:val="002237B5"/>
    <w:rsid w:val="00223B0A"/>
    <w:rsid w:val="00224368"/>
    <w:rsid w:val="002248F8"/>
    <w:rsid w:val="0022498B"/>
    <w:rsid w:val="00224AFA"/>
    <w:rsid w:val="00224DA8"/>
    <w:rsid w:val="00224F31"/>
    <w:rsid w:val="002253A6"/>
    <w:rsid w:val="002255C2"/>
    <w:rsid w:val="00225D95"/>
    <w:rsid w:val="0022648A"/>
    <w:rsid w:val="0022648C"/>
    <w:rsid w:val="0022653D"/>
    <w:rsid w:val="00226573"/>
    <w:rsid w:val="00226EB9"/>
    <w:rsid w:val="00226F6B"/>
    <w:rsid w:val="002270AF"/>
    <w:rsid w:val="00227236"/>
    <w:rsid w:val="0022724E"/>
    <w:rsid w:val="00230C48"/>
    <w:rsid w:val="00230CE0"/>
    <w:rsid w:val="00230F99"/>
    <w:rsid w:val="0023149C"/>
    <w:rsid w:val="002315DA"/>
    <w:rsid w:val="0023162B"/>
    <w:rsid w:val="00231892"/>
    <w:rsid w:val="00231BB8"/>
    <w:rsid w:val="00231FC6"/>
    <w:rsid w:val="002320B4"/>
    <w:rsid w:val="00232DBF"/>
    <w:rsid w:val="002335C3"/>
    <w:rsid w:val="00233975"/>
    <w:rsid w:val="00233D6D"/>
    <w:rsid w:val="00233DE5"/>
    <w:rsid w:val="0023488C"/>
    <w:rsid w:val="00234B65"/>
    <w:rsid w:val="002356C3"/>
    <w:rsid w:val="002357C1"/>
    <w:rsid w:val="00235FB4"/>
    <w:rsid w:val="002360D4"/>
    <w:rsid w:val="0023690D"/>
    <w:rsid w:val="00236E4B"/>
    <w:rsid w:val="002373AD"/>
    <w:rsid w:val="00237527"/>
    <w:rsid w:val="00237579"/>
    <w:rsid w:val="002375CF"/>
    <w:rsid w:val="0023771E"/>
    <w:rsid w:val="00237747"/>
    <w:rsid w:val="002379A3"/>
    <w:rsid w:val="002404F3"/>
    <w:rsid w:val="002406DC"/>
    <w:rsid w:val="002407CA"/>
    <w:rsid w:val="00240BF9"/>
    <w:rsid w:val="002418B0"/>
    <w:rsid w:val="002419FF"/>
    <w:rsid w:val="00241A61"/>
    <w:rsid w:val="00241C32"/>
    <w:rsid w:val="00241E0B"/>
    <w:rsid w:val="00241F21"/>
    <w:rsid w:val="00241FB5"/>
    <w:rsid w:val="002420E5"/>
    <w:rsid w:val="002427E5"/>
    <w:rsid w:val="00243189"/>
    <w:rsid w:val="00243404"/>
    <w:rsid w:val="0024393A"/>
    <w:rsid w:val="00243B5A"/>
    <w:rsid w:val="0024478F"/>
    <w:rsid w:val="00244B44"/>
    <w:rsid w:val="0024593C"/>
    <w:rsid w:val="002462D0"/>
    <w:rsid w:val="0024661C"/>
    <w:rsid w:val="00246685"/>
    <w:rsid w:val="00246791"/>
    <w:rsid w:val="00246CC8"/>
    <w:rsid w:val="00246DC0"/>
    <w:rsid w:val="00247002"/>
    <w:rsid w:val="002471BE"/>
    <w:rsid w:val="00247493"/>
    <w:rsid w:val="0024772E"/>
    <w:rsid w:val="00247A28"/>
    <w:rsid w:val="00247E5F"/>
    <w:rsid w:val="00250153"/>
    <w:rsid w:val="00250304"/>
    <w:rsid w:val="00250CE9"/>
    <w:rsid w:val="00250EB5"/>
    <w:rsid w:val="0025176A"/>
    <w:rsid w:val="002518FA"/>
    <w:rsid w:val="00252596"/>
    <w:rsid w:val="00252767"/>
    <w:rsid w:val="0025337A"/>
    <w:rsid w:val="0025355F"/>
    <w:rsid w:val="0025375E"/>
    <w:rsid w:val="002537C9"/>
    <w:rsid w:val="00253912"/>
    <w:rsid w:val="00253A4B"/>
    <w:rsid w:val="00254A69"/>
    <w:rsid w:val="0025583F"/>
    <w:rsid w:val="0025598E"/>
    <w:rsid w:val="00255F52"/>
    <w:rsid w:val="00256054"/>
    <w:rsid w:val="002561E6"/>
    <w:rsid w:val="002562DA"/>
    <w:rsid w:val="00256BC3"/>
    <w:rsid w:val="00256F51"/>
    <w:rsid w:val="0025710E"/>
    <w:rsid w:val="00257E0D"/>
    <w:rsid w:val="00257E12"/>
    <w:rsid w:val="00257EF8"/>
    <w:rsid w:val="00260BAA"/>
    <w:rsid w:val="002610E2"/>
    <w:rsid w:val="0026143B"/>
    <w:rsid w:val="0026180A"/>
    <w:rsid w:val="002619F3"/>
    <w:rsid w:val="00262082"/>
    <w:rsid w:val="002627EC"/>
    <w:rsid w:val="00262CA4"/>
    <w:rsid w:val="00263039"/>
    <w:rsid w:val="00263045"/>
    <w:rsid w:val="00263B99"/>
    <w:rsid w:val="00264A45"/>
    <w:rsid w:val="00264B6C"/>
    <w:rsid w:val="00264E3E"/>
    <w:rsid w:val="00264FAB"/>
    <w:rsid w:val="00265674"/>
    <w:rsid w:val="00265C3C"/>
    <w:rsid w:val="00266135"/>
    <w:rsid w:val="0026625E"/>
    <w:rsid w:val="00266307"/>
    <w:rsid w:val="00266544"/>
    <w:rsid w:val="00266A16"/>
    <w:rsid w:val="00266DDA"/>
    <w:rsid w:val="00266F78"/>
    <w:rsid w:val="002670A4"/>
    <w:rsid w:val="002672C3"/>
    <w:rsid w:val="00267434"/>
    <w:rsid w:val="00267517"/>
    <w:rsid w:val="0026764E"/>
    <w:rsid w:val="00267A06"/>
    <w:rsid w:val="00267B32"/>
    <w:rsid w:val="00270285"/>
    <w:rsid w:val="00270708"/>
    <w:rsid w:val="00270BA4"/>
    <w:rsid w:val="00270CE6"/>
    <w:rsid w:val="002710CE"/>
    <w:rsid w:val="002714D8"/>
    <w:rsid w:val="0027152C"/>
    <w:rsid w:val="00271808"/>
    <w:rsid w:val="0027187B"/>
    <w:rsid w:val="0027213A"/>
    <w:rsid w:val="00272BAC"/>
    <w:rsid w:val="00272D06"/>
    <w:rsid w:val="00272E3C"/>
    <w:rsid w:val="0027321D"/>
    <w:rsid w:val="00273379"/>
    <w:rsid w:val="00273EB0"/>
    <w:rsid w:val="00273F66"/>
    <w:rsid w:val="00274386"/>
    <w:rsid w:val="00274452"/>
    <w:rsid w:val="002745E7"/>
    <w:rsid w:val="0027470E"/>
    <w:rsid w:val="002747CD"/>
    <w:rsid w:val="0027489A"/>
    <w:rsid w:val="00274908"/>
    <w:rsid w:val="0027515E"/>
    <w:rsid w:val="00275182"/>
    <w:rsid w:val="002751C5"/>
    <w:rsid w:val="00275487"/>
    <w:rsid w:val="002756D0"/>
    <w:rsid w:val="002756E3"/>
    <w:rsid w:val="00275E3F"/>
    <w:rsid w:val="00276079"/>
    <w:rsid w:val="00276BBE"/>
    <w:rsid w:val="00276D99"/>
    <w:rsid w:val="00276DAE"/>
    <w:rsid w:val="0027722B"/>
    <w:rsid w:val="00277717"/>
    <w:rsid w:val="002778E6"/>
    <w:rsid w:val="00280B51"/>
    <w:rsid w:val="00280C12"/>
    <w:rsid w:val="0028108B"/>
    <w:rsid w:val="00281624"/>
    <w:rsid w:val="002818A2"/>
    <w:rsid w:val="002821D8"/>
    <w:rsid w:val="002822BB"/>
    <w:rsid w:val="0028237C"/>
    <w:rsid w:val="00282F06"/>
    <w:rsid w:val="002834EA"/>
    <w:rsid w:val="0028391B"/>
    <w:rsid w:val="00283BA8"/>
    <w:rsid w:val="00283BEC"/>
    <w:rsid w:val="00283C46"/>
    <w:rsid w:val="00283F00"/>
    <w:rsid w:val="00283F8B"/>
    <w:rsid w:val="0028427E"/>
    <w:rsid w:val="002845F6"/>
    <w:rsid w:val="00284D8F"/>
    <w:rsid w:val="00285127"/>
    <w:rsid w:val="0028545C"/>
    <w:rsid w:val="002857BD"/>
    <w:rsid w:val="002858BA"/>
    <w:rsid w:val="002858C5"/>
    <w:rsid w:val="0028597F"/>
    <w:rsid w:val="00286A6E"/>
    <w:rsid w:val="00286AF0"/>
    <w:rsid w:val="00286D43"/>
    <w:rsid w:val="00286F56"/>
    <w:rsid w:val="002874E1"/>
    <w:rsid w:val="00287A60"/>
    <w:rsid w:val="0029046C"/>
    <w:rsid w:val="00290C31"/>
    <w:rsid w:val="00290CE8"/>
    <w:rsid w:val="00291A59"/>
    <w:rsid w:val="00291C79"/>
    <w:rsid w:val="00291D7E"/>
    <w:rsid w:val="00291EB5"/>
    <w:rsid w:val="00292087"/>
    <w:rsid w:val="0029213A"/>
    <w:rsid w:val="00292337"/>
    <w:rsid w:val="0029297F"/>
    <w:rsid w:val="00292A0A"/>
    <w:rsid w:val="00292D63"/>
    <w:rsid w:val="002932FA"/>
    <w:rsid w:val="002935DB"/>
    <w:rsid w:val="00293EDF"/>
    <w:rsid w:val="00293FC7"/>
    <w:rsid w:val="0029402C"/>
    <w:rsid w:val="0029430B"/>
    <w:rsid w:val="002952D8"/>
    <w:rsid w:val="002955C1"/>
    <w:rsid w:val="00295CF7"/>
    <w:rsid w:val="00295F37"/>
    <w:rsid w:val="0029678D"/>
    <w:rsid w:val="00296BE7"/>
    <w:rsid w:val="00297249"/>
    <w:rsid w:val="00297729"/>
    <w:rsid w:val="00297A39"/>
    <w:rsid w:val="002A01E6"/>
    <w:rsid w:val="002A03EA"/>
    <w:rsid w:val="002A0531"/>
    <w:rsid w:val="002A206D"/>
    <w:rsid w:val="002A218F"/>
    <w:rsid w:val="002A237D"/>
    <w:rsid w:val="002A33EC"/>
    <w:rsid w:val="002A3CA4"/>
    <w:rsid w:val="002A41AB"/>
    <w:rsid w:val="002A44D8"/>
    <w:rsid w:val="002A487F"/>
    <w:rsid w:val="002A4BF0"/>
    <w:rsid w:val="002A4CEE"/>
    <w:rsid w:val="002A4DFD"/>
    <w:rsid w:val="002A50DE"/>
    <w:rsid w:val="002A5812"/>
    <w:rsid w:val="002A58EF"/>
    <w:rsid w:val="002A5AE5"/>
    <w:rsid w:val="002A5B67"/>
    <w:rsid w:val="002A5D09"/>
    <w:rsid w:val="002A5D9E"/>
    <w:rsid w:val="002A5E69"/>
    <w:rsid w:val="002A60B2"/>
    <w:rsid w:val="002A653D"/>
    <w:rsid w:val="002A6D9D"/>
    <w:rsid w:val="002A6DE7"/>
    <w:rsid w:val="002A6E9A"/>
    <w:rsid w:val="002A705E"/>
    <w:rsid w:val="002A7528"/>
    <w:rsid w:val="002A76B3"/>
    <w:rsid w:val="002A783E"/>
    <w:rsid w:val="002A7894"/>
    <w:rsid w:val="002A794B"/>
    <w:rsid w:val="002A7ACC"/>
    <w:rsid w:val="002A7F4E"/>
    <w:rsid w:val="002B0009"/>
    <w:rsid w:val="002B011A"/>
    <w:rsid w:val="002B062D"/>
    <w:rsid w:val="002B095C"/>
    <w:rsid w:val="002B0DC2"/>
    <w:rsid w:val="002B0F6A"/>
    <w:rsid w:val="002B19A5"/>
    <w:rsid w:val="002B20A9"/>
    <w:rsid w:val="002B21BA"/>
    <w:rsid w:val="002B2321"/>
    <w:rsid w:val="002B23B5"/>
    <w:rsid w:val="002B28A0"/>
    <w:rsid w:val="002B296A"/>
    <w:rsid w:val="002B2DC3"/>
    <w:rsid w:val="002B2E50"/>
    <w:rsid w:val="002B2F30"/>
    <w:rsid w:val="002B3D8C"/>
    <w:rsid w:val="002B47EC"/>
    <w:rsid w:val="002B4868"/>
    <w:rsid w:val="002B4AB9"/>
    <w:rsid w:val="002B4F7F"/>
    <w:rsid w:val="002B5532"/>
    <w:rsid w:val="002B57EC"/>
    <w:rsid w:val="002B5D3A"/>
    <w:rsid w:val="002B63AA"/>
    <w:rsid w:val="002B6487"/>
    <w:rsid w:val="002B6894"/>
    <w:rsid w:val="002B6DE3"/>
    <w:rsid w:val="002B7096"/>
    <w:rsid w:val="002B7471"/>
    <w:rsid w:val="002B7625"/>
    <w:rsid w:val="002B7AAD"/>
    <w:rsid w:val="002C0436"/>
    <w:rsid w:val="002C0591"/>
    <w:rsid w:val="002C0A59"/>
    <w:rsid w:val="002C0E41"/>
    <w:rsid w:val="002C1060"/>
    <w:rsid w:val="002C1845"/>
    <w:rsid w:val="002C1BBF"/>
    <w:rsid w:val="002C1E04"/>
    <w:rsid w:val="002C1F61"/>
    <w:rsid w:val="002C2439"/>
    <w:rsid w:val="002C3379"/>
    <w:rsid w:val="002C34CE"/>
    <w:rsid w:val="002C36F3"/>
    <w:rsid w:val="002C48CE"/>
    <w:rsid w:val="002C4D6D"/>
    <w:rsid w:val="002C6352"/>
    <w:rsid w:val="002C6B1F"/>
    <w:rsid w:val="002C711B"/>
    <w:rsid w:val="002C71BB"/>
    <w:rsid w:val="002C7559"/>
    <w:rsid w:val="002C78B8"/>
    <w:rsid w:val="002D015E"/>
    <w:rsid w:val="002D0C24"/>
    <w:rsid w:val="002D0C75"/>
    <w:rsid w:val="002D0FB7"/>
    <w:rsid w:val="002D1675"/>
    <w:rsid w:val="002D178D"/>
    <w:rsid w:val="002D1C8B"/>
    <w:rsid w:val="002D1E3F"/>
    <w:rsid w:val="002D1E40"/>
    <w:rsid w:val="002D200D"/>
    <w:rsid w:val="002D284A"/>
    <w:rsid w:val="002D2C26"/>
    <w:rsid w:val="002D2CC0"/>
    <w:rsid w:val="002D35DC"/>
    <w:rsid w:val="002D3CEA"/>
    <w:rsid w:val="002D4231"/>
    <w:rsid w:val="002D4A74"/>
    <w:rsid w:val="002D4BF3"/>
    <w:rsid w:val="002D4F6B"/>
    <w:rsid w:val="002D500A"/>
    <w:rsid w:val="002D57DB"/>
    <w:rsid w:val="002D57FE"/>
    <w:rsid w:val="002D5927"/>
    <w:rsid w:val="002D5C0A"/>
    <w:rsid w:val="002D5FE4"/>
    <w:rsid w:val="002D6337"/>
    <w:rsid w:val="002D6914"/>
    <w:rsid w:val="002D6B86"/>
    <w:rsid w:val="002D6BD7"/>
    <w:rsid w:val="002D6E92"/>
    <w:rsid w:val="002D6FE2"/>
    <w:rsid w:val="002D7696"/>
    <w:rsid w:val="002D7BD9"/>
    <w:rsid w:val="002E0150"/>
    <w:rsid w:val="002E059E"/>
    <w:rsid w:val="002E0C54"/>
    <w:rsid w:val="002E0E7A"/>
    <w:rsid w:val="002E1117"/>
    <w:rsid w:val="002E14F9"/>
    <w:rsid w:val="002E1941"/>
    <w:rsid w:val="002E1CA3"/>
    <w:rsid w:val="002E1DC6"/>
    <w:rsid w:val="002E2042"/>
    <w:rsid w:val="002E20C5"/>
    <w:rsid w:val="002E22E5"/>
    <w:rsid w:val="002E3234"/>
    <w:rsid w:val="002E3318"/>
    <w:rsid w:val="002E3330"/>
    <w:rsid w:val="002E3542"/>
    <w:rsid w:val="002E3621"/>
    <w:rsid w:val="002E3D81"/>
    <w:rsid w:val="002E3EA5"/>
    <w:rsid w:val="002E4801"/>
    <w:rsid w:val="002E49B2"/>
    <w:rsid w:val="002E4A9C"/>
    <w:rsid w:val="002E4CB1"/>
    <w:rsid w:val="002E4FCD"/>
    <w:rsid w:val="002E5087"/>
    <w:rsid w:val="002E5259"/>
    <w:rsid w:val="002E52EA"/>
    <w:rsid w:val="002E54B1"/>
    <w:rsid w:val="002E54C2"/>
    <w:rsid w:val="002E59F3"/>
    <w:rsid w:val="002E5A61"/>
    <w:rsid w:val="002E5D06"/>
    <w:rsid w:val="002E5DC9"/>
    <w:rsid w:val="002E5EA6"/>
    <w:rsid w:val="002E5F37"/>
    <w:rsid w:val="002E6D5C"/>
    <w:rsid w:val="002E6E03"/>
    <w:rsid w:val="002E6ED0"/>
    <w:rsid w:val="002E7175"/>
    <w:rsid w:val="002E7255"/>
    <w:rsid w:val="002E75CE"/>
    <w:rsid w:val="002E75DD"/>
    <w:rsid w:val="002E7B43"/>
    <w:rsid w:val="002E7C43"/>
    <w:rsid w:val="002E7D92"/>
    <w:rsid w:val="002E7F3F"/>
    <w:rsid w:val="002F0156"/>
    <w:rsid w:val="002F0E2B"/>
    <w:rsid w:val="002F1653"/>
    <w:rsid w:val="002F1771"/>
    <w:rsid w:val="002F1CFC"/>
    <w:rsid w:val="002F1F6B"/>
    <w:rsid w:val="002F2636"/>
    <w:rsid w:val="002F26BC"/>
    <w:rsid w:val="002F28AD"/>
    <w:rsid w:val="002F2A43"/>
    <w:rsid w:val="002F2A7F"/>
    <w:rsid w:val="002F2F06"/>
    <w:rsid w:val="002F2FE7"/>
    <w:rsid w:val="002F306B"/>
    <w:rsid w:val="002F3BCF"/>
    <w:rsid w:val="002F3CD9"/>
    <w:rsid w:val="002F3FAD"/>
    <w:rsid w:val="002F427E"/>
    <w:rsid w:val="002F43CD"/>
    <w:rsid w:val="002F4878"/>
    <w:rsid w:val="002F5AEE"/>
    <w:rsid w:val="002F5B9E"/>
    <w:rsid w:val="002F60CB"/>
    <w:rsid w:val="002F6745"/>
    <w:rsid w:val="002F6C57"/>
    <w:rsid w:val="002F6F87"/>
    <w:rsid w:val="002F7B73"/>
    <w:rsid w:val="002F7D8B"/>
    <w:rsid w:val="0030079B"/>
    <w:rsid w:val="00300804"/>
    <w:rsid w:val="00300815"/>
    <w:rsid w:val="00300EE5"/>
    <w:rsid w:val="003012A4"/>
    <w:rsid w:val="00301662"/>
    <w:rsid w:val="0030181D"/>
    <w:rsid w:val="00301C5D"/>
    <w:rsid w:val="00301D94"/>
    <w:rsid w:val="00301D97"/>
    <w:rsid w:val="00301DB8"/>
    <w:rsid w:val="00301ECD"/>
    <w:rsid w:val="003020F5"/>
    <w:rsid w:val="003024A6"/>
    <w:rsid w:val="003025DA"/>
    <w:rsid w:val="00302794"/>
    <w:rsid w:val="003029EC"/>
    <w:rsid w:val="00303065"/>
    <w:rsid w:val="00303394"/>
    <w:rsid w:val="00303430"/>
    <w:rsid w:val="003036EF"/>
    <w:rsid w:val="00303FA4"/>
    <w:rsid w:val="003041AE"/>
    <w:rsid w:val="003043DA"/>
    <w:rsid w:val="00304919"/>
    <w:rsid w:val="00304944"/>
    <w:rsid w:val="00304B1F"/>
    <w:rsid w:val="00304C51"/>
    <w:rsid w:val="00304E01"/>
    <w:rsid w:val="003055E8"/>
    <w:rsid w:val="003059EA"/>
    <w:rsid w:val="00305B06"/>
    <w:rsid w:val="00305B7C"/>
    <w:rsid w:val="00305CE2"/>
    <w:rsid w:val="00305D72"/>
    <w:rsid w:val="0030623A"/>
    <w:rsid w:val="0030677B"/>
    <w:rsid w:val="0030713A"/>
    <w:rsid w:val="0030731D"/>
    <w:rsid w:val="0030742F"/>
    <w:rsid w:val="00307A8C"/>
    <w:rsid w:val="003100E2"/>
    <w:rsid w:val="0031031E"/>
    <w:rsid w:val="00310593"/>
    <w:rsid w:val="00310626"/>
    <w:rsid w:val="00310C82"/>
    <w:rsid w:val="00310DE0"/>
    <w:rsid w:val="003112C1"/>
    <w:rsid w:val="0031144C"/>
    <w:rsid w:val="00311CBB"/>
    <w:rsid w:val="00312DDF"/>
    <w:rsid w:val="00312F3C"/>
    <w:rsid w:val="0031368D"/>
    <w:rsid w:val="0031381E"/>
    <w:rsid w:val="00313AA8"/>
    <w:rsid w:val="00313B61"/>
    <w:rsid w:val="00313BC4"/>
    <w:rsid w:val="0031490C"/>
    <w:rsid w:val="00314A66"/>
    <w:rsid w:val="00315089"/>
    <w:rsid w:val="0031531F"/>
    <w:rsid w:val="0031544D"/>
    <w:rsid w:val="00315CDF"/>
    <w:rsid w:val="00315DAF"/>
    <w:rsid w:val="00315F09"/>
    <w:rsid w:val="003161E0"/>
    <w:rsid w:val="00316603"/>
    <w:rsid w:val="00316936"/>
    <w:rsid w:val="00317A82"/>
    <w:rsid w:val="00317BCC"/>
    <w:rsid w:val="00317BE2"/>
    <w:rsid w:val="00317FF4"/>
    <w:rsid w:val="0032001B"/>
    <w:rsid w:val="0032013F"/>
    <w:rsid w:val="00320816"/>
    <w:rsid w:val="00320F0B"/>
    <w:rsid w:val="00321007"/>
    <w:rsid w:val="003212E7"/>
    <w:rsid w:val="00321497"/>
    <w:rsid w:val="00321801"/>
    <w:rsid w:val="00321872"/>
    <w:rsid w:val="003219BD"/>
    <w:rsid w:val="003221DE"/>
    <w:rsid w:val="00322304"/>
    <w:rsid w:val="00322589"/>
    <w:rsid w:val="003226E3"/>
    <w:rsid w:val="003227D8"/>
    <w:rsid w:val="0032293B"/>
    <w:rsid w:val="00322B6C"/>
    <w:rsid w:val="0032303E"/>
    <w:rsid w:val="00323AFA"/>
    <w:rsid w:val="00323D9A"/>
    <w:rsid w:val="00324214"/>
    <w:rsid w:val="00324618"/>
    <w:rsid w:val="0032486D"/>
    <w:rsid w:val="00324C3C"/>
    <w:rsid w:val="00324D08"/>
    <w:rsid w:val="00325360"/>
    <w:rsid w:val="00325BAB"/>
    <w:rsid w:val="00325CD6"/>
    <w:rsid w:val="00325F27"/>
    <w:rsid w:val="00325FCA"/>
    <w:rsid w:val="003263E4"/>
    <w:rsid w:val="0032684E"/>
    <w:rsid w:val="00326BCC"/>
    <w:rsid w:val="003270D2"/>
    <w:rsid w:val="003272E3"/>
    <w:rsid w:val="003274DF"/>
    <w:rsid w:val="00330106"/>
    <w:rsid w:val="00330426"/>
    <w:rsid w:val="00330868"/>
    <w:rsid w:val="00330B13"/>
    <w:rsid w:val="00330BB1"/>
    <w:rsid w:val="0033259C"/>
    <w:rsid w:val="003325EB"/>
    <w:rsid w:val="003329C6"/>
    <w:rsid w:val="00332CD1"/>
    <w:rsid w:val="0033367D"/>
    <w:rsid w:val="003338A3"/>
    <w:rsid w:val="0033395D"/>
    <w:rsid w:val="00333B9D"/>
    <w:rsid w:val="0033428B"/>
    <w:rsid w:val="0033486A"/>
    <w:rsid w:val="00334B3F"/>
    <w:rsid w:val="00334B75"/>
    <w:rsid w:val="00335425"/>
    <w:rsid w:val="0033551A"/>
    <w:rsid w:val="00335768"/>
    <w:rsid w:val="003359DB"/>
    <w:rsid w:val="00335A36"/>
    <w:rsid w:val="003362A4"/>
    <w:rsid w:val="00336430"/>
    <w:rsid w:val="00336623"/>
    <w:rsid w:val="003367E5"/>
    <w:rsid w:val="003368BB"/>
    <w:rsid w:val="00336A8E"/>
    <w:rsid w:val="00336E9F"/>
    <w:rsid w:val="003371AA"/>
    <w:rsid w:val="0033734D"/>
    <w:rsid w:val="00340266"/>
    <w:rsid w:val="003405C4"/>
    <w:rsid w:val="00340A80"/>
    <w:rsid w:val="0034100A"/>
    <w:rsid w:val="003410AF"/>
    <w:rsid w:val="0034151C"/>
    <w:rsid w:val="0034187D"/>
    <w:rsid w:val="00342358"/>
    <w:rsid w:val="00342587"/>
    <w:rsid w:val="003427AE"/>
    <w:rsid w:val="003427CB"/>
    <w:rsid w:val="00342885"/>
    <w:rsid w:val="00343514"/>
    <w:rsid w:val="00343EDF"/>
    <w:rsid w:val="003444D7"/>
    <w:rsid w:val="00344C60"/>
    <w:rsid w:val="00344CDD"/>
    <w:rsid w:val="0034511A"/>
    <w:rsid w:val="003451A4"/>
    <w:rsid w:val="0034580E"/>
    <w:rsid w:val="0034615F"/>
    <w:rsid w:val="003463B0"/>
    <w:rsid w:val="00346619"/>
    <w:rsid w:val="00346983"/>
    <w:rsid w:val="00346A32"/>
    <w:rsid w:val="00346AB8"/>
    <w:rsid w:val="00346E77"/>
    <w:rsid w:val="00346EE3"/>
    <w:rsid w:val="00346F7B"/>
    <w:rsid w:val="00347034"/>
    <w:rsid w:val="00347677"/>
    <w:rsid w:val="00347C25"/>
    <w:rsid w:val="003500D6"/>
    <w:rsid w:val="003504F5"/>
    <w:rsid w:val="00350610"/>
    <w:rsid w:val="00350DCD"/>
    <w:rsid w:val="0035129E"/>
    <w:rsid w:val="003513B4"/>
    <w:rsid w:val="0035140F"/>
    <w:rsid w:val="00351879"/>
    <w:rsid w:val="00351CDE"/>
    <w:rsid w:val="00352258"/>
    <w:rsid w:val="003524A0"/>
    <w:rsid w:val="003524E0"/>
    <w:rsid w:val="003527BB"/>
    <w:rsid w:val="0035293B"/>
    <w:rsid w:val="00352E71"/>
    <w:rsid w:val="003533CC"/>
    <w:rsid w:val="003533D7"/>
    <w:rsid w:val="00353DCF"/>
    <w:rsid w:val="0035428F"/>
    <w:rsid w:val="00354323"/>
    <w:rsid w:val="00354FC6"/>
    <w:rsid w:val="0035561C"/>
    <w:rsid w:val="0035583E"/>
    <w:rsid w:val="0035595A"/>
    <w:rsid w:val="00355BB0"/>
    <w:rsid w:val="00355C2F"/>
    <w:rsid w:val="00355C8C"/>
    <w:rsid w:val="0035649C"/>
    <w:rsid w:val="00356564"/>
    <w:rsid w:val="00356A7B"/>
    <w:rsid w:val="00357ED5"/>
    <w:rsid w:val="0036011C"/>
    <w:rsid w:val="00360431"/>
    <w:rsid w:val="0036073B"/>
    <w:rsid w:val="0036076D"/>
    <w:rsid w:val="0036090C"/>
    <w:rsid w:val="00360DC6"/>
    <w:rsid w:val="0036101E"/>
    <w:rsid w:val="0036114C"/>
    <w:rsid w:val="00361C5F"/>
    <w:rsid w:val="00363273"/>
    <w:rsid w:val="00363429"/>
    <w:rsid w:val="00363431"/>
    <w:rsid w:val="003634AB"/>
    <w:rsid w:val="003634DC"/>
    <w:rsid w:val="00363B6A"/>
    <w:rsid w:val="00363FF4"/>
    <w:rsid w:val="003643F7"/>
    <w:rsid w:val="003648F9"/>
    <w:rsid w:val="00364DAF"/>
    <w:rsid w:val="00365070"/>
    <w:rsid w:val="003652FA"/>
    <w:rsid w:val="00365827"/>
    <w:rsid w:val="00365A0C"/>
    <w:rsid w:val="00365C66"/>
    <w:rsid w:val="00365CA7"/>
    <w:rsid w:val="00366189"/>
    <w:rsid w:val="00366472"/>
    <w:rsid w:val="00366764"/>
    <w:rsid w:val="00366F6B"/>
    <w:rsid w:val="003671E2"/>
    <w:rsid w:val="00367368"/>
    <w:rsid w:val="003678F3"/>
    <w:rsid w:val="00367A59"/>
    <w:rsid w:val="00367DB8"/>
    <w:rsid w:val="00367DBE"/>
    <w:rsid w:val="00367EBA"/>
    <w:rsid w:val="003703FB"/>
    <w:rsid w:val="003708D4"/>
    <w:rsid w:val="00370BF1"/>
    <w:rsid w:val="00370DA2"/>
    <w:rsid w:val="003710DC"/>
    <w:rsid w:val="0037123A"/>
    <w:rsid w:val="003713CD"/>
    <w:rsid w:val="00371417"/>
    <w:rsid w:val="003714AA"/>
    <w:rsid w:val="003719B6"/>
    <w:rsid w:val="00371E2C"/>
    <w:rsid w:val="00372DED"/>
    <w:rsid w:val="003732CD"/>
    <w:rsid w:val="003733B2"/>
    <w:rsid w:val="00373818"/>
    <w:rsid w:val="00373BBA"/>
    <w:rsid w:val="00373C01"/>
    <w:rsid w:val="00373CAC"/>
    <w:rsid w:val="003743AB"/>
    <w:rsid w:val="003744B8"/>
    <w:rsid w:val="00374767"/>
    <w:rsid w:val="00374D1C"/>
    <w:rsid w:val="00374F5E"/>
    <w:rsid w:val="003752B0"/>
    <w:rsid w:val="00376A40"/>
    <w:rsid w:val="00376E7F"/>
    <w:rsid w:val="003771D6"/>
    <w:rsid w:val="0037728C"/>
    <w:rsid w:val="00377382"/>
    <w:rsid w:val="003773EC"/>
    <w:rsid w:val="00377499"/>
    <w:rsid w:val="0037790A"/>
    <w:rsid w:val="003779CE"/>
    <w:rsid w:val="00377B8B"/>
    <w:rsid w:val="003800F9"/>
    <w:rsid w:val="003803B2"/>
    <w:rsid w:val="003803BC"/>
    <w:rsid w:val="003808B9"/>
    <w:rsid w:val="003808E6"/>
    <w:rsid w:val="00380A51"/>
    <w:rsid w:val="00381427"/>
    <w:rsid w:val="00381452"/>
    <w:rsid w:val="00381466"/>
    <w:rsid w:val="00381727"/>
    <w:rsid w:val="0038177F"/>
    <w:rsid w:val="00381C6B"/>
    <w:rsid w:val="00381E2A"/>
    <w:rsid w:val="003821C2"/>
    <w:rsid w:val="00382721"/>
    <w:rsid w:val="003828BF"/>
    <w:rsid w:val="00382E5E"/>
    <w:rsid w:val="00383695"/>
    <w:rsid w:val="003836B1"/>
    <w:rsid w:val="00383D70"/>
    <w:rsid w:val="00383E11"/>
    <w:rsid w:val="00383FC4"/>
    <w:rsid w:val="003846EE"/>
    <w:rsid w:val="00384D85"/>
    <w:rsid w:val="00384E70"/>
    <w:rsid w:val="00384ED6"/>
    <w:rsid w:val="00385687"/>
    <w:rsid w:val="003856BB"/>
    <w:rsid w:val="00386350"/>
    <w:rsid w:val="003866EC"/>
    <w:rsid w:val="00386C94"/>
    <w:rsid w:val="00386CFA"/>
    <w:rsid w:val="00386E9B"/>
    <w:rsid w:val="003870D8"/>
    <w:rsid w:val="0038759A"/>
    <w:rsid w:val="003877A7"/>
    <w:rsid w:val="00387FAA"/>
    <w:rsid w:val="003900C8"/>
    <w:rsid w:val="003904D3"/>
    <w:rsid w:val="00390548"/>
    <w:rsid w:val="0039092C"/>
    <w:rsid w:val="003914BF"/>
    <w:rsid w:val="00391654"/>
    <w:rsid w:val="00391844"/>
    <w:rsid w:val="00391A13"/>
    <w:rsid w:val="00391FEA"/>
    <w:rsid w:val="0039247B"/>
    <w:rsid w:val="00392559"/>
    <w:rsid w:val="00392632"/>
    <w:rsid w:val="00392B75"/>
    <w:rsid w:val="0039352F"/>
    <w:rsid w:val="00393545"/>
    <w:rsid w:val="003935E1"/>
    <w:rsid w:val="00393635"/>
    <w:rsid w:val="0039392E"/>
    <w:rsid w:val="00393B15"/>
    <w:rsid w:val="00394360"/>
    <w:rsid w:val="00394D08"/>
    <w:rsid w:val="00394E3C"/>
    <w:rsid w:val="00395174"/>
    <w:rsid w:val="003952FA"/>
    <w:rsid w:val="00395329"/>
    <w:rsid w:val="00395786"/>
    <w:rsid w:val="003958E0"/>
    <w:rsid w:val="00395993"/>
    <w:rsid w:val="00395AB1"/>
    <w:rsid w:val="00395DCF"/>
    <w:rsid w:val="00395E3A"/>
    <w:rsid w:val="00395E63"/>
    <w:rsid w:val="003965A5"/>
    <w:rsid w:val="00396ABE"/>
    <w:rsid w:val="00397500"/>
    <w:rsid w:val="0039771D"/>
    <w:rsid w:val="00397F08"/>
    <w:rsid w:val="003A0342"/>
    <w:rsid w:val="003A039E"/>
    <w:rsid w:val="003A045A"/>
    <w:rsid w:val="003A0B4C"/>
    <w:rsid w:val="003A0EFA"/>
    <w:rsid w:val="003A1961"/>
    <w:rsid w:val="003A1BDA"/>
    <w:rsid w:val="003A1D96"/>
    <w:rsid w:val="003A1E20"/>
    <w:rsid w:val="003A258B"/>
    <w:rsid w:val="003A2988"/>
    <w:rsid w:val="003A2C1F"/>
    <w:rsid w:val="003A3032"/>
    <w:rsid w:val="003A3404"/>
    <w:rsid w:val="003A3876"/>
    <w:rsid w:val="003A3EB5"/>
    <w:rsid w:val="003A4575"/>
    <w:rsid w:val="003A4936"/>
    <w:rsid w:val="003A536B"/>
    <w:rsid w:val="003A53E3"/>
    <w:rsid w:val="003A5B6E"/>
    <w:rsid w:val="003A5B8D"/>
    <w:rsid w:val="003A5BAB"/>
    <w:rsid w:val="003A5C40"/>
    <w:rsid w:val="003A5E8D"/>
    <w:rsid w:val="003A61EA"/>
    <w:rsid w:val="003A623E"/>
    <w:rsid w:val="003A6451"/>
    <w:rsid w:val="003A65BA"/>
    <w:rsid w:val="003A6CD3"/>
    <w:rsid w:val="003A797B"/>
    <w:rsid w:val="003A7AE9"/>
    <w:rsid w:val="003A7D40"/>
    <w:rsid w:val="003A7DD0"/>
    <w:rsid w:val="003B006F"/>
    <w:rsid w:val="003B03C4"/>
    <w:rsid w:val="003B0788"/>
    <w:rsid w:val="003B0971"/>
    <w:rsid w:val="003B0C74"/>
    <w:rsid w:val="003B0D09"/>
    <w:rsid w:val="003B0D90"/>
    <w:rsid w:val="003B159B"/>
    <w:rsid w:val="003B1A1D"/>
    <w:rsid w:val="003B1C17"/>
    <w:rsid w:val="003B211B"/>
    <w:rsid w:val="003B2432"/>
    <w:rsid w:val="003B2493"/>
    <w:rsid w:val="003B250F"/>
    <w:rsid w:val="003B256B"/>
    <w:rsid w:val="003B261A"/>
    <w:rsid w:val="003B2958"/>
    <w:rsid w:val="003B2C0B"/>
    <w:rsid w:val="003B31BB"/>
    <w:rsid w:val="003B335F"/>
    <w:rsid w:val="003B340F"/>
    <w:rsid w:val="003B353F"/>
    <w:rsid w:val="003B356B"/>
    <w:rsid w:val="003B3C44"/>
    <w:rsid w:val="003B456C"/>
    <w:rsid w:val="003B51DD"/>
    <w:rsid w:val="003B5663"/>
    <w:rsid w:val="003B59B2"/>
    <w:rsid w:val="003B63AA"/>
    <w:rsid w:val="003B66A7"/>
    <w:rsid w:val="003B684B"/>
    <w:rsid w:val="003B6A54"/>
    <w:rsid w:val="003B6D01"/>
    <w:rsid w:val="003B7302"/>
    <w:rsid w:val="003B744C"/>
    <w:rsid w:val="003B74D5"/>
    <w:rsid w:val="003B7587"/>
    <w:rsid w:val="003B7B32"/>
    <w:rsid w:val="003B7BA4"/>
    <w:rsid w:val="003B7DD2"/>
    <w:rsid w:val="003B7E6E"/>
    <w:rsid w:val="003C03AE"/>
    <w:rsid w:val="003C0C07"/>
    <w:rsid w:val="003C192C"/>
    <w:rsid w:val="003C1993"/>
    <w:rsid w:val="003C1DAF"/>
    <w:rsid w:val="003C2040"/>
    <w:rsid w:val="003C21C5"/>
    <w:rsid w:val="003C2C90"/>
    <w:rsid w:val="003C3204"/>
    <w:rsid w:val="003C38B1"/>
    <w:rsid w:val="003C3910"/>
    <w:rsid w:val="003C40FB"/>
    <w:rsid w:val="003C4651"/>
    <w:rsid w:val="003C4664"/>
    <w:rsid w:val="003C4AA5"/>
    <w:rsid w:val="003C4AD8"/>
    <w:rsid w:val="003C53DC"/>
    <w:rsid w:val="003C5463"/>
    <w:rsid w:val="003C56F0"/>
    <w:rsid w:val="003C5735"/>
    <w:rsid w:val="003C5FA7"/>
    <w:rsid w:val="003C65C0"/>
    <w:rsid w:val="003C68D5"/>
    <w:rsid w:val="003C69D4"/>
    <w:rsid w:val="003C7496"/>
    <w:rsid w:val="003C79A5"/>
    <w:rsid w:val="003C7BA9"/>
    <w:rsid w:val="003C7C49"/>
    <w:rsid w:val="003C7EAA"/>
    <w:rsid w:val="003D0098"/>
    <w:rsid w:val="003D02E0"/>
    <w:rsid w:val="003D05A4"/>
    <w:rsid w:val="003D07E4"/>
    <w:rsid w:val="003D0850"/>
    <w:rsid w:val="003D08AE"/>
    <w:rsid w:val="003D09DB"/>
    <w:rsid w:val="003D0CBF"/>
    <w:rsid w:val="003D10CE"/>
    <w:rsid w:val="003D1538"/>
    <w:rsid w:val="003D1A60"/>
    <w:rsid w:val="003D2535"/>
    <w:rsid w:val="003D25BA"/>
    <w:rsid w:val="003D281D"/>
    <w:rsid w:val="003D299A"/>
    <w:rsid w:val="003D2A36"/>
    <w:rsid w:val="003D3017"/>
    <w:rsid w:val="003D334C"/>
    <w:rsid w:val="003D33BA"/>
    <w:rsid w:val="003D39C1"/>
    <w:rsid w:val="003D3E5C"/>
    <w:rsid w:val="003D46D0"/>
    <w:rsid w:val="003D47DC"/>
    <w:rsid w:val="003D4BAC"/>
    <w:rsid w:val="003D580F"/>
    <w:rsid w:val="003D58FD"/>
    <w:rsid w:val="003D635C"/>
    <w:rsid w:val="003D6622"/>
    <w:rsid w:val="003D726D"/>
    <w:rsid w:val="003D735B"/>
    <w:rsid w:val="003D7378"/>
    <w:rsid w:val="003D7381"/>
    <w:rsid w:val="003D769F"/>
    <w:rsid w:val="003D796F"/>
    <w:rsid w:val="003E07D4"/>
    <w:rsid w:val="003E096A"/>
    <w:rsid w:val="003E0984"/>
    <w:rsid w:val="003E0C1B"/>
    <w:rsid w:val="003E11F8"/>
    <w:rsid w:val="003E2259"/>
    <w:rsid w:val="003E2B92"/>
    <w:rsid w:val="003E2E92"/>
    <w:rsid w:val="003E3313"/>
    <w:rsid w:val="003E34C8"/>
    <w:rsid w:val="003E3777"/>
    <w:rsid w:val="003E3A06"/>
    <w:rsid w:val="003E46D0"/>
    <w:rsid w:val="003E49BB"/>
    <w:rsid w:val="003E4A94"/>
    <w:rsid w:val="003E4B98"/>
    <w:rsid w:val="003E4F8B"/>
    <w:rsid w:val="003E5682"/>
    <w:rsid w:val="003E6F4D"/>
    <w:rsid w:val="003E7338"/>
    <w:rsid w:val="003E76AF"/>
    <w:rsid w:val="003E76E7"/>
    <w:rsid w:val="003E77E4"/>
    <w:rsid w:val="003E7862"/>
    <w:rsid w:val="003E7957"/>
    <w:rsid w:val="003E7A9D"/>
    <w:rsid w:val="003F022F"/>
    <w:rsid w:val="003F06DF"/>
    <w:rsid w:val="003F0F7E"/>
    <w:rsid w:val="003F139D"/>
    <w:rsid w:val="003F18BC"/>
    <w:rsid w:val="003F2422"/>
    <w:rsid w:val="003F2A11"/>
    <w:rsid w:val="003F2DD7"/>
    <w:rsid w:val="003F2F13"/>
    <w:rsid w:val="003F30FA"/>
    <w:rsid w:val="003F3214"/>
    <w:rsid w:val="003F3501"/>
    <w:rsid w:val="003F3B54"/>
    <w:rsid w:val="003F4043"/>
    <w:rsid w:val="003F435B"/>
    <w:rsid w:val="003F4829"/>
    <w:rsid w:val="003F48B0"/>
    <w:rsid w:val="003F51D8"/>
    <w:rsid w:val="003F54C3"/>
    <w:rsid w:val="003F573A"/>
    <w:rsid w:val="003F578A"/>
    <w:rsid w:val="003F57EE"/>
    <w:rsid w:val="003F59E0"/>
    <w:rsid w:val="003F7173"/>
    <w:rsid w:val="003F79AA"/>
    <w:rsid w:val="003F7A63"/>
    <w:rsid w:val="003F7C52"/>
    <w:rsid w:val="003F7E40"/>
    <w:rsid w:val="00400006"/>
    <w:rsid w:val="0040005B"/>
    <w:rsid w:val="004000CE"/>
    <w:rsid w:val="0040013A"/>
    <w:rsid w:val="004001B7"/>
    <w:rsid w:val="00400320"/>
    <w:rsid w:val="0040042D"/>
    <w:rsid w:val="0040075C"/>
    <w:rsid w:val="00400C54"/>
    <w:rsid w:val="004018E5"/>
    <w:rsid w:val="00401D9A"/>
    <w:rsid w:val="00401FF5"/>
    <w:rsid w:val="004021B1"/>
    <w:rsid w:val="0040227D"/>
    <w:rsid w:val="00402619"/>
    <w:rsid w:val="00402AF7"/>
    <w:rsid w:val="00402B10"/>
    <w:rsid w:val="00402FD3"/>
    <w:rsid w:val="004032BA"/>
    <w:rsid w:val="004035D0"/>
    <w:rsid w:val="00403967"/>
    <w:rsid w:val="0040460B"/>
    <w:rsid w:val="00404807"/>
    <w:rsid w:val="00404BCB"/>
    <w:rsid w:val="00404CB2"/>
    <w:rsid w:val="00405288"/>
    <w:rsid w:val="004062D8"/>
    <w:rsid w:val="00406759"/>
    <w:rsid w:val="00406BBB"/>
    <w:rsid w:val="00406D44"/>
    <w:rsid w:val="00406D4A"/>
    <w:rsid w:val="00407A9C"/>
    <w:rsid w:val="00407C3A"/>
    <w:rsid w:val="00410239"/>
    <w:rsid w:val="0041037E"/>
    <w:rsid w:val="004103B8"/>
    <w:rsid w:val="0041062B"/>
    <w:rsid w:val="00410716"/>
    <w:rsid w:val="0041074A"/>
    <w:rsid w:val="004107C7"/>
    <w:rsid w:val="004107DD"/>
    <w:rsid w:val="0041085C"/>
    <w:rsid w:val="00410C45"/>
    <w:rsid w:val="00411A37"/>
    <w:rsid w:val="0041283F"/>
    <w:rsid w:val="00412F90"/>
    <w:rsid w:val="00413055"/>
    <w:rsid w:val="00413E7A"/>
    <w:rsid w:val="00414576"/>
    <w:rsid w:val="004149FD"/>
    <w:rsid w:val="00414A8A"/>
    <w:rsid w:val="00414BF6"/>
    <w:rsid w:val="00414D25"/>
    <w:rsid w:val="0041511B"/>
    <w:rsid w:val="0041557D"/>
    <w:rsid w:val="0041596C"/>
    <w:rsid w:val="00415D2D"/>
    <w:rsid w:val="00415F2C"/>
    <w:rsid w:val="00416015"/>
    <w:rsid w:val="00416864"/>
    <w:rsid w:val="00417096"/>
    <w:rsid w:val="0041791C"/>
    <w:rsid w:val="00420297"/>
    <w:rsid w:val="004204E5"/>
    <w:rsid w:val="0042076C"/>
    <w:rsid w:val="00420F1D"/>
    <w:rsid w:val="004211A9"/>
    <w:rsid w:val="004215A3"/>
    <w:rsid w:val="004218DF"/>
    <w:rsid w:val="00421BC6"/>
    <w:rsid w:val="00421D59"/>
    <w:rsid w:val="004222C8"/>
    <w:rsid w:val="004222D5"/>
    <w:rsid w:val="00422A09"/>
    <w:rsid w:val="00422F89"/>
    <w:rsid w:val="004234AB"/>
    <w:rsid w:val="00423D74"/>
    <w:rsid w:val="00423F65"/>
    <w:rsid w:val="004247FB"/>
    <w:rsid w:val="0042480A"/>
    <w:rsid w:val="004248F7"/>
    <w:rsid w:val="00424BA1"/>
    <w:rsid w:val="00424D30"/>
    <w:rsid w:val="004253E2"/>
    <w:rsid w:val="004255AF"/>
    <w:rsid w:val="004257F9"/>
    <w:rsid w:val="004258B7"/>
    <w:rsid w:val="00426498"/>
    <w:rsid w:val="004264F0"/>
    <w:rsid w:val="00426528"/>
    <w:rsid w:val="0042684C"/>
    <w:rsid w:val="00426A23"/>
    <w:rsid w:val="004270F7"/>
    <w:rsid w:val="004274FC"/>
    <w:rsid w:val="00427632"/>
    <w:rsid w:val="00427CD6"/>
    <w:rsid w:val="0043000F"/>
    <w:rsid w:val="0043016E"/>
    <w:rsid w:val="00430A2A"/>
    <w:rsid w:val="00430C4F"/>
    <w:rsid w:val="00430E8A"/>
    <w:rsid w:val="00430FEB"/>
    <w:rsid w:val="0043102E"/>
    <w:rsid w:val="004310D4"/>
    <w:rsid w:val="0043140A"/>
    <w:rsid w:val="0043140D"/>
    <w:rsid w:val="004314AD"/>
    <w:rsid w:val="0043182B"/>
    <w:rsid w:val="00431D3D"/>
    <w:rsid w:val="00431DC2"/>
    <w:rsid w:val="004320C7"/>
    <w:rsid w:val="0043211E"/>
    <w:rsid w:val="00432792"/>
    <w:rsid w:val="004328D3"/>
    <w:rsid w:val="00432A6D"/>
    <w:rsid w:val="00432A75"/>
    <w:rsid w:val="00432F20"/>
    <w:rsid w:val="00433059"/>
    <w:rsid w:val="004338F2"/>
    <w:rsid w:val="00433C54"/>
    <w:rsid w:val="00433C8D"/>
    <w:rsid w:val="00433FB6"/>
    <w:rsid w:val="0043400B"/>
    <w:rsid w:val="00434525"/>
    <w:rsid w:val="00434DA7"/>
    <w:rsid w:val="0043511D"/>
    <w:rsid w:val="00435443"/>
    <w:rsid w:val="00435520"/>
    <w:rsid w:val="00435689"/>
    <w:rsid w:val="00435F31"/>
    <w:rsid w:val="004360CF"/>
    <w:rsid w:val="00436294"/>
    <w:rsid w:val="00436403"/>
    <w:rsid w:val="00436DE6"/>
    <w:rsid w:val="00436DED"/>
    <w:rsid w:val="0043792A"/>
    <w:rsid w:val="004379AE"/>
    <w:rsid w:val="00437D2E"/>
    <w:rsid w:val="00437F9B"/>
    <w:rsid w:val="00440048"/>
    <w:rsid w:val="004404F5"/>
    <w:rsid w:val="00440744"/>
    <w:rsid w:val="00440918"/>
    <w:rsid w:val="00440A02"/>
    <w:rsid w:val="00440C5B"/>
    <w:rsid w:val="00441149"/>
    <w:rsid w:val="0044162C"/>
    <w:rsid w:val="00441870"/>
    <w:rsid w:val="00441A89"/>
    <w:rsid w:val="00441E9C"/>
    <w:rsid w:val="0044247F"/>
    <w:rsid w:val="00442BD5"/>
    <w:rsid w:val="00442E53"/>
    <w:rsid w:val="00442FEF"/>
    <w:rsid w:val="004432DC"/>
    <w:rsid w:val="00443670"/>
    <w:rsid w:val="00443A21"/>
    <w:rsid w:val="00443A54"/>
    <w:rsid w:val="00443A69"/>
    <w:rsid w:val="00443AD3"/>
    <w:rsid w:val="004443A0"/>
    <w:rsid w:val="00444657"/>
    <w:rsid w:val="0044471C"/>
    <w:rsid w:val="00444DAF"/>
    <w:rsid w:val="00444E02"/>
    <w:rsid w:val="00444EC6"/>
    <w:rsid w:val="00445599"/>
    <w:rsid w:val="00445C06"/>
    <w:rsid w:val="004461CF"/>
    <w:rsid w:val="00446270"/>
    <w:rsid w:val="00446919"/>
    <w:rsid w:val="00446BD3"/>
    <w:rsid w:val="00446DB1"/>
    <w:rsid w:val="00447114"/>
    <w:rsid w:val="00447178"/>
    <w:rsid w:val="00447395"/>
    <w:rsid w:val="004477DB"/>
    <w:rsid w:val="00447E0F"/>
    <w:rsid w:val="004503E4"/>
    <w:rsid w:val="004506A8"/>
    <w:rsid w:val="00450C10"/>
    <w:rsid w:val="00450C25"/>
    <w:rsid w:val="00450C88"/>
    <w:rsid w:val="00451065"/>
    <w:rsid w:val="004514A1"/>
    <w:rsid w:val="0045157A"/>
    <w:rsid w:val="00452584"/>
    <w:rsid w:val="00452808"/>
    <w:rsid w:val="00452A52"/>
    <w:rsid w:val="00452B7D"/>
    <w:rsid w:val="00452C4A"/>
    <w:rsid w:val="00452E47"/>
    <w:rsid w:val="00453076"/>
    <w:rsid w:val="00453C5F"/>
    <w:rsid w:val="00453E23"/>
    <w:rsid w:val="0045400B"/>
    <w:rsid w:val="0045415D"/>
    <w:rsid w:val="00454616"/>
    <w:rsid w:val="004547EF"/>
    <w:rsid w:val="00454A27"/>
    <w:rsid w:val="00454DCA"/>
    <w:rsid w:val="00455085"/>
    <w:rsid w:val="00455300"/>
    <w:rsid w:val="004553E6"/>
    <w:rsid w:val="00455C09"/>
    <w:rsid w:val="00456415"/>
    <w:rsid w:val="00456BFF"/>
    <w:rsid w:val="00456CCB"/>
    <w:rsid w:val="004572EA"/>
    <w:rsid w:val="0045777C"/>
    <w:rsid w:val="0046015F"/>
    <w:rsid w:val="0046041F"/>
    <w:rsid w:val="0046051B"/>
    <w:rsid w:val="00460D2C"/>
    <w:rsid w:val="00461743"/>
    <w:rsid w:val="00461B62"/>
    <w:rsid w:val="00461C56"/>
    <w:rsid w:val="00461F08"/>
    <w:rsid w:val="004620D2"/>
    <w:rsid w:val="0046212A"/>
    <w:rsid w:val="004625F8"/>
    <w:rsid w:val="0046272B"/>
    <w:rsid w:val="00462B60"/>
    <w:rsid w:val="004632BF"/>
    <w:rsid w:val="00463374"/>
    <w:rsid w:val="004644DE"/>
    <w:rsid w:val="0046462D"/>
    <w:rsid w:val="00464CA3"/>
    <w:rsid w:val="00464D3A"/>
    <w:rsid w:val="00464D64"/>
    <w:rsid w:val="00464E16"/>
    <w:rsid w:val="00464F59"/>
    <w:rsid w:val="004659F6"/>
    <w:rsid w:val="00465BEF"/>
    <w:rsid w:val="00465DD6"/>
    <w:rsid w:val="00466BC6"/>
    <w:rsid w:val="00467007"/>
    <w:rsid w:val="00467440"/>
    <w:rsid w:val="00467EBF"/>
    <w:rsid w:val="00470494"/>
    <w:rsid w:val="00470701"/>
    <w:rsid w:val="00470855"/>
    <w:rsid w:val="004708C5"/>
    <w:rsid w:val="00470D66"/>
    <w:rsid w:val="00471110"/>
    <w:rsid w:val="0047120A"/>
    <w:rsid w:val="00471280"/>
    <w:rsid w:val="00471306"/>
    <w:rsid w:val="00471BDE"/>
    <w:rsid w:val="00471FFB"/>
    <w:rsid w:val="0047208B"/>
    <w:rsid w:val="00472682"/>
    <w:rsid w:val="0047283F"/>
    <w:rsid w:val="004730A0"/>
    <w:rsid w:val="004735C9"/>
    <w:rsid w:val="00473937"/>
    <w:rsid w:val="00473AE5"/>
    <w:rsid w:val="00473BAF"/>
    <w:rsid w:val="004740DB"/>
    <w:rsid w:val="004740FC"/>
    <w:rsid w:val="004743DC"/>
    <w:rsid w:val="0047463A"/>
    <w:rsid w:val="00475508"/>
    <w:rsid w:val="004757CC"/>
    <w:rsid w:val="0047606E"/>
    <w:rsid w:val="004760AD"/>
    <w:rsid w:val="004761F9"/>
    <w:rsid w:val="004765EE"/>
    <w:rsid w:val="00476BA0"/>
    <w:rsid w:val="00476C60"/>
    <w:rsid w:val="00477123"/>
    <w:rsid w:val="004771EB"/>
    <w:rsid w:val="00477278"/>
    <w:rsid w:val="00477509"/>
    <w:rsid w:val="004778FF"/>
    <w:rsid w:val="004805F1"/>
    <w:rsid w:val="00482091"/>
    <w:rsid w:val="00482400"/>
    <w:rsid w:val="0048254F"/>
    <w:rsid w:val="00482A1F"/>
    <w:rsid w:val="0048319A"/>
    <w:rsid w:val="004838A9"/>
    <w:rsid w:val="004839B1"/>
    <w:rsid w:val="00483BC7"/>
    <w:rsid w:val="00483E52"/>
    <w:rsid w:val="00484180"/>
    <w:rsid w:val="004842BF"/>
    <w:rsid w:val="004842F1"/>
    <w:rsid w:val="00484347"/>
    <w:rsid w:val="004846C1"/>
    <w:rsid w:val="00484768"/>
    <w:rsid w:val="004848CC"/>
    <w:rsid w:val="00484BB0"/>
    <w:rsid w:val="00485008"/>
    <w:rsid w:val="0048513D"/>
    <w:rsid w:val="0048541C"/>
    <w:rsid w:val="00485650"/>
    <w:rsid w:val="004856EF"/>
    <w:rsid w:val="00485927"/>
    <w:rsid w:val="00485AA5"/>
    <w:rsid w:val="004860E5"/>
    <w:rsid w:val="0048614F"/>
    <w:rsid w:val="00486B3D"/>
    <w:rsid w:val="00486CC5"/>
    <w:rsid w:val="004878B6"/>
    <w:rsid w:val="00487905"/>
    <w:rsid w:val="0048797D"/>
    <w:rsid w:val="00487B3F"/>
    <w:rsid w:val="00487EA5"/>
    <w:rsid w:val="0049000A"/>
    <w:rsid w:val="0049038E"/>
    <w:rsid w:val="004904BC"/>
    <w:rsid w:val="004908D5"/>
    <w:rsid w:val="0049090D"/>
    <w:rsid w:val="00490953"/>
    <w:rsid w:val="00490B52"/>
    <w:rsid w:val="00491159"/>
    <w:rsid w:val="004914C7"/>
    <w:rsid w:val="004917A5"/>
    <w:rsid w:val="00491C01"/>
    <w:rsid w:val="00491C4E"/>
    <w:rsid w:val="00492904"/>
    <w:rsid w:val="00492984"/>
    <w:rsid w:val="00492BDF"/>
    <w:rsid w:val="00492C3F"/>
    <w:rsid w:val="00492D85"/>
    <w:rsid w:val="00492E4E"/>
    <w:rsid w:val="00493C06"/>
    <w:rsid w:val="00493E84"/>
    <w:rsid w:val="0049424B"/>
    <w:rsid w:val="0049495E"/>
    <w:rsid w:val="00494CE6"/>
    <w:rsid w:val="00494E48"/>
    <w:rsid w:val="00495D0E"/>
    <w:rsid w:val="00495DD9"/>
    <w:rsid w:val="004970C7"/>
    <w:rsid w:val="00497BD9"/>
    <w:rsid w:val="00497C82"/>
    <w:rsid w:val="00497DBE"/>
    <w:rsid w:val="004A04A5"/>
    <w:rsid w:val="004A05AD"/>
    <w:rsid w:val="004A099C"/>
    <w:rsid w:val="004A0AD4"/>
    <w:rsid w:val="004A0B4E"/>
    <w:rsid w:val="004A12E6"/>
    <w:rsid w:val="004A1311"/>
    <w:rsid w:val="004A1586"/>
    <w:rsid w:val="004A1D11"/>
    <w:rsid w:val="004A1E45"/>
    <w:rsid w:val="004A2336"/>
    <w:rsid w:val="004A3361"/>
    <w:rsid w:val="004A3D9C"/>
    <w:rsid w:val="004A3DB7"/>
    <w:rsid w:val="004A4ACF"/>
    <w:rsid w:val="004A4D71"/>
    <w:rsid w:val="004A5289"/>
    <w:rsid w:val="004A54A7"/>
    <w:rsid w:val="004A560C"/>
    <w:rsid w:val="004A562B"/>
    <w:rsid w:val="004A57C3"/>
    <w:rsid w:val="004A594D"/>
    <w:rsid w:val="004A5F39"/>
    <w:rsid w:val="004A61D3"/>
    <w:rsid w:val="004A6839"/>
    <w:rsid w:val="004A6974"/>
    <w:rsid w:val="004A6E20"/>
    <w:rsid w:val="004A7531"/>
    <w:rsid w:val="004A75BE"/>
    <w:rsid w:val="004A7782"/>
    <w:rsid w:val="004A7CB8"/>
    <w:rsid w:val="004A7EF6"/>
    <w:rsid w:val="004B0C13"/>
    <w:rsid w:val="004B0CB2"/>
    <w:rsid w:val="004B0DFB"/>
    <w:rsid w:val="004B10EE"/>
    <w:rsid w:val="004B12B6"/>
    <w:rsid w:val="004B2065"/>
    <w:rsid w:val="004B2273"/>
    <w:rsid w:val="004B2488"/>
    <w:rsid w:val="004B292A"/>
    <w:rsid w:val="004B32BE"/>
    <w:rsid w:val="004B3608"/>
    <w:rsid w:val="004B37B0"/>
    <w:rsid w:val="004B3817"/>
    <w:rsid w:val="004B3C6F"/>
    <w:rsid w:val="004B3FC2"/>
    <w:rsid w:val="004B4175"/>
    <w:rsid w:val="004B46E7"/>
    <w:rsid w:val="004B49D5"/>
    <w:rsid w:val="004B4B38"/>
    <w:rsid w:val="004B516A"/>
    <w:rsid w:val="004B5494"/>
    <w:rsid w:val="004B571E"/>
    <w:rsid w:val="004B5906"/>
    <w:rsid w:val="004B67E3"/>
    <w:rsid w:val="004B71C8"/>
    <w:rsid w:val="004B7FF9"/>
    <w:rsid w:val="004C00F9"/>
    <w:rsid w:val="004C08B6"/>
    <w:rsid w:val="004C0DD6"/>
    <w:rsid w:val="004C0F2A"/>
    <w:rsid w:val="004C123D"/>
    <w:rsid w:val="004C16F4"/>
    <w:rsid w:val="004C1904"/>
    <w:rsid w:val="004C1C70"/>
    <w:rsid w:val="004C1D88"/>
    <w:rsid w:val="004C1F63"/>
    <w:rsid w:val="004C2013"/>
    <w:rsid w:val="004C2238"/>
    <w:rsid w:val="004C2469"/>
    <w:rsid w:val="004C2494"/>
    <w:rsid w:val="004C2E13"/>
    <w:rsid w:val="004C3719"/>
    <w:rsid w:val="004C3930"/>
    <w:rsid w:val="004C3970"/>
    <w:rsid w:val="004C3EE0"/>
    <w:rsid w:val="004C45A2"/>
    <w:rsid w:val="004C47FE"/>
    <w:rsid w:val="004C538A"/>
    <w:rsid w:val="004C5A4E"/>
    <w:rsid w:val="004C5B46"/>
    <w:rsid w:val="004C5FBB"/>
    <w:rsid w:val="004C682A"/>
    <w:rsid w:val="004C68DD"/>
    <w:rsid w:val="004C7306"/>
    <w:rsid w:val="004C74CB"/>
    <w:rsid w:val="004C7971"/>
    <w:rsid w:val="004C7DC5"/>
    <w:rsid w:val="004D033F"/>
    <w:rsid w:val="004D0755"/>
    <w:rsid w:val="004D0856"/>
    <w:rsid w:val="004D0CAD"/>
    <w:rsid w:val="004D148A"/>
    <w:rsid w:val="004D1734"/>
    <w:rsid w:val="004D1887"/>
    <w:rsid w:val="004D20CD"/>
    <w:rsid w:val="004D21E7"/>
    <w:rsid w:val="004D2964"/>
    <w:rsid w:val="004D2B81"/>
    <w:rsid w:val="004D2FD0"/>
    <w:rsid w:val="004D34B3"/>
    <w:rsid w:val="004D391B"/>
    <w:rsid w:val="004D3F86"/>
    <w:rsid w:val="004D4439"/>
    <w:rsid w:val="004D4A95"/>
    <w:rsid w:val="004D4BA6"/>
    <w:rsid w:val="004D4D9D"/>
    <w:rsid w:val="004D4F5A"/>
    <w:rsid w:val="004D5001"/>
    <w:rsid w:val="004D6539"/>
    <w:rsid w:val="004D680B"/>
    <w:rsid w:val="004D6E48"/>
    <w:rsid w:val="004D6F94"/>
    <w:rsid w:val="004D70A0"/>
    <w:rsid w:val="004D7351"/>
    <w:rsid w:val="004D762E"/>
    <w:rsid w:val="004D79B6"/>
    <w:rsid w:val="004E07A6"/>
    <w:rsid w:val="004E0B3D"/>
    <w:rsid w:val="004E1282"/>
    <w:rsid w:val="004E1A9D"/>
    <w:rsid w:val="004E1BBC"/>
    <w:rsid w:val="004E1F5D"/>
    <w:rsid w:val="004E1FE2"/>
    <w:rsid w:val="004E20F1"/>
    <w:rsid w:val="004E21DF"/>
    <w:rsid w:val="004E262B"/>
    <w:rsid w:val="004E2754"/>
    <w:rsid w:val="004E2BA9"/>
    <w:rsid w:val="004E2D6D"/>
    <w:rsid w:val="004E2D85"/>
    <w:rsid w:val="004E35B2"/>
    <w:rsid w:val="004E3F54"/>
    <w:rsid w:val="004E4743"/>
    <w:rsid w:val="004E4E8C"/>
    <w:rsid w:val="004E53CF"/>
    <w:rsid w:val="004E5916"/>
    <w:rsid w:val="004E6105"/>
    <w:rsid w:val="004E6465"/>
    <w:rsid w:val="004E6779"/>
    <w:rsid w:val="004E6D40"/>
    <w:rsid w:val="004E6F71"/>
    <w:rsid w:val="004E711E"/>
    <w:rsid w:val="004E7337"/>
    <w:rsid w:val="004E7539"/>
    <w:rsid w:val="004E7696"/>
    <w:rsid w:val="004E7D12"/>
    <w:rsid w:val="004E7DBF"/>
    <w:rsid w:val="004E7E67"/>
    <w:rsid w:val="004F1669"/>
    <w:rsid w:val="004F1CD7"/>
    <w:rsid w:val="004F24A2"/>
    <w:rsid w:val="004F35A9"/>
    <w:rsid w:val="004F3B9E"/>
    <w:rsid w:val="004F47E3"/>
    <w:rsid w:val="004F48A6"/>
    <w:rsid w:val="004F48E5"/>
    <w:rsid w:val="004F4FB8"/>
    <w:rsid w:val="004F5102"/>
    <w:rsid w:val="004F59BE"/>
    <w:rsid w:val="004F5E53"/>
    <w:rsid w:val="004F5E73"/>
    <w:rsid w:val="004F6335"/>
    <w:rsid w:val="004F657D"/>
    <w:rsid w:val="004F6C08"/>
    <w:rsid w:val="004F71A4"/>
    <w:rsid w:val="004F748B"/>
    <w:rsid w:val="004F7F02"/>
    <w:rsid w:val="00500B60"/>
    <w:rsid w:val="00501014"/>
    <w:rsid w:val="005020EF"/>
    <w:rsid w:val="00502772"/>
    <w:rsid w:val="005027B1"/>
    <w:rsid w:val="00502D98"/>
    <w:rsid w:val="00503376"/>
    <w:rsid w:val="005034AB"/>
    <w:rsid w:val="005036ED"/>
    <w:rsid w:val="0050372A"/>
    <w:rsid w:val="0050389B"/>
    <w:rsid w:val="00503C28"/>
    <w:rsid w:val="0050437C"/>
    <w:rsid w:val="00504857"/>
    <w:rsid w:val="00504895"/>
    <w:rsid w:val="00504967"/>
    <w:rsid w:val="00504B45"/>
    <w:rsid w:val="005050AD"/>
    <w:rsid w:val="005054A8"/>
    <w:rsid w:val="00505793"/>
    <w:rsid w:val="00505839"/>
    <w:rsid w:val="0050583B"/>
    <w:rsid w:val="00505B97"/>
    <w:rsid w:val="00505CBF"/>
    <w:rsid w:val="00505EC2"/>
    <w:rsid w:val="00507658"/>
    <w:rsid w:val="005079B5"/>
    <w:rsid w:val="00507B45"/>
    <w:rsid w:val="00510544"/>
    <w:rsid w:val="00510677"/>
    <w:rsid w:val="005109E2"/>
    <w:rsid w:val="00510ABD"/>
    <w:rsid w:val="005111AC"/>
    <w:rsid w:val="0051122C"/>
    <w:rsid w:val="005116F4"/>
    <w:rsid w:val="0051192A"/>
    <w:rsid w:val="005121A3"/>
    <w:rsid w:val="0051226E"/>
    <w:rsid w:val="00512498"/>
    <w:rsid w:val="00512B6A"/>
    <w:rsid w:val="00512B7B"/>
    <w:rsid w:val="00512D4D"/>
    <w:rsid w:val="00513230"/>
    <w:rsid w:val="00513584"/>
    <w:rsid w:val="005139C9"/>
    <w:rsid w:val="00513F08"/>
    <w:rsid w:val="00514048"/>
    <w:rsid w:val="00514889"/>
    <w:rsid w:val="005149A2"/>
    <w:rsid w:val="00514FA0"/>
    <w:rsid w:val="005162FF"/>
    <w:rsid w:val="00516324"/>
    <w:rsid w:val="00516DBE"/>
    <w:rsid w:val="0051761F"/>
    <w:rsid w:val="00517AA3"/>
    <w:rsid w:val="0052051D"/>
    <w:rsid w:val="00520DA6"/>
    <w:rsid w:val="0052103A"/>
    <w:rsid w:val="00521334"/>
    <w:rsid w:val="005213F6"/>
    <w:rsid w:val="00521A63"/>
    <w:rsid w:val="00521BAA"/>
    <w:rsid w:val="00521BEF"/>
    <w:rsid w:val="00521C02"/>
    <w:rsid w:val="00522092"/>
    <w:rsid w:val="005224DA"/>
    <w:rsid w:val="00522725"/>
    <w:rsid w:val="00522A1A"/>
    <w:rsid w:val="00523261"/>
    <w:rsid w:val="005233D0"/>
    <w:rsid w:val="00523EF6"/>
    <w:rsid w:val="005244B2"/>
    <w:rsid w:val="005248C5"/>
    <w:rsid w:val="005254AA"/>
    <w:rsid w:val="00525AA9"/>
    <w:rsid w:val="00526494"/>
    <w:rsid w:val="0052685C"/>
    <w:rsid w:val="00526DBB"/>
    <w:rsid w:val="005274CC"/>
    <w:rsid w:val="00527D24"/>
    <w:rsid w:val="00530049"/>
    <w:rsid w:val="0053013E"/>
    <w:rsid w:val="005301E1"/>
    <w:rsid w:val="005307B3"/>
    <w:rsid w:val="00530A17"/>
    <w:rsid w:val="00530DF5"/>
    <w:rsid w:val="00530E03"/>
    <w:rsid w:val="0053111C"/>
    <w:rsid w:val="005316CC"/>
    <w:rsid w:val="00531AF4"/>
    <w:rsid w:val="00532409"/>
    <w:rsid w:val="00532540"/>
    <w:rsid w:val="00532591"/>
    <w:rsid w:val="00532592"/>
    <w:rsid w:val="005326EF"/>
    <w:rsid w:val="005328F7"/>
    <w:rsid w:val="00532B54"/>
    <w:rsid w:val="00532C2C"/>
    <w:rsid w:val="00532CE9"/>
    <w:rsid w:val="00533491"/>
    <w:rsid w:val="005334A6"/>
    <w:rsid w:val="0053350B"/>
    <w:rsid w:val="00533C27"/>
    <w:rsid w:val="005341E0"/>
    <w:rsid w:val="0053469A"/>
    <w:rsid w:val="00534A7D"/>
    <w:rsid w:val="00534C94"/>
    <w:rsid w:val="00534D0D"/>
    <w:rsid w:val="005352D1"/>
    <w:rsid w:val="00535706"/>
    <w:rsid w:val="005358C4"/>
    <w:rsid w:val="00536AB8"/>
    <w:rsid w:val="00537114"/>
    <w:rsid w:val="00537179"/>
    <w:rsid w:val="00537191"/>
    <w:rsid w:val="00537440"/>
    <w:rsid w:val="00537476"/>
    <w:rsid w:val="0053756F"/>
    <w:rsid w:val="005377DB"/>
    <w:rsid w:val="00537C15"/>
    <w:rsid w:val="005400B9"/>
    <w:rsid w:val="005402C2"/>
    <w:rsid w:val="0054094A"/>
    <w:rsid w:val="005414B2"/>
    <w:rsid w:val="005416A1"/>
    <w:rsid w:val="005418AA"/>
    <w:rsid w:val="005419C7"/>
    <w:rsid w:val="00542134"/>
    <w:rsid w:val="00542C55"/>
    <w:rsid w:val="00542E83"/>
    <w:rsid w:val="00543066"/>
    <w:rsid w:val="00543B4F"/>
    <w:rsid w:val="00544BAE"/>
    <w:rsid w:val="0054515B"/>
    <w:rsid w:val="00545268"/>
    <w:rsid w:val="005457EC"/>
    <w:rsid w:val="00545BBC"/>
    <w:rsid w:val="0054602B"/>
    <w:rsid w:val="005461DC"/>
    <w:rsid w:val="005465C7"/>
    <w:rsid w:val="005465D1"/>
    <w:rsid w:val="00546E3D"/>
    <w:rsid w:val="00547797"/>
    <w:rsid w:val="00547863"/>
    <w:rsid w:val="00547986"/>
    <w:rsid w:val="00547997"/>
    <w:rsid w:val="00547CEA"/>
    <w:rsid w:val="00550224"/>
    <w:rsid w:val="005505D9"/>
    <w:rsid w:val="00550616"/>
    <w:rsid w:val="00550FD1"/>
    <w:rsid w:val="00551205"/>
    <w:rsid w:val="005516A0"/>
    <w:rsid w:val="00551735"/>
    <w:rsid w:val="00551B50"/>
    <w:rsid w:val="00551E98"/>
    <w:rsid w:val="005529CF"/>
    <w:rsid w:val="00552E26"/>
    <w:rsid w:val="00553087"/>
    <w:rsid w:val="005534AC"/>
    <w:rsid w:val="00553580"/>
    <w:rsid w:val="00553696"/>
    <w:rsid w:val="00553757"/>
    <w:rsid w:val="00553AA9"/>
    <w:rsid w:val="00553C69"/>
    <w:rsid w:val="00553E6C"/>
    <w:rsid w:val="0055499A"/>
    <w:rsid w:val="00554C2A"/>
    <w:rsid w:val="005550F5"/>
    <w:rsid w:val="005551BB"/>
    <w:rsid w:val="0055585C"/>
    <w:rsid w:val="005558B1"/>
    <w:rsid w:val="00555FEE"/>
    <w:rsid w:val="00556610"/>
    <w:rsid w:val="00556C27"/>
    <w:rsid w:val="00556E1F"/>
    <w:rsid w:val="0055720E"/>
    <w:rsid w:val="00557810"/>
    <w:rsid w:val="0055792C"/>
    <w:rsid w:val="00557D51"/>
    <w:rsid w:val="00560CC2"/>
    <w:rsid w:val="005616CA"/>
    <w:rsid w:val="0056172B"/>
    <w:rsid w:val="00561F93"/>
    <w:rsid w:val="00562968"/>
    <w:rsid w:val="00563AAD"/>
    <w:rsid w:val="00563AF7"/>
    <w:rsid w:val="00563F4A"/>
    <w:rsid w:val="0056410A"/>
    <w:rsid w:val="0056482C"/>
    <w:rsid w:val="00565393"/>
    <w:rsid w:val="005653EF"/>
    <w:rsid w:val="005656EA"/>
    <w:rsid w:val="00565D7C"/>
    <w:rsid w:val="00565F71"/>
    <w:rsid w:val="00567181"/>
    <w:rsid w:val="005671F5"/>
    <w:rsid w:val="00567726"/>
    <w:rsid w:val="00567F23"/>
    <w:rsid w:val="005700F2"/>
    <w:rsid w:val="00570C5F"/>
    <w:rsid w:val="00571269"/>
    <w:rsid w:val="00571802"/>
    <w:rsid w:val="00572023"/>
    <w:rsid w:val="0057231B"/>
    <w:rsid w:val="00572740"/>
    <w:rsid w:val="00572832"/>
    <w:rsid w:val="005728E7"/>
    <w:rsid w:val="00572DD4"/>
    <w:rsid w:val="00572E25"/>
    <w:rsid w:val="00572E4B"/>
    <w:rsid w:val="00573C34"/>
    <w:rsid w:val="00573F80"/>
    <w:rsid w:val="0057416A"/>
    <w:rsid w:val="00574BD4"/>
    <w:rsid w:val="0057537A"/>
    <w:rsid w:val="005753F7"/>
    <w:rsid w:val="0057548A"/>
    <w:rsid w:val="00575943"/>
    <w:rsid w:val="0057636E"/>
    <w:rsid w:val="005764BC"/>
    <w:rsid w:val="00576569"/>
    <w:rsid w:val="00576991"/>
    <w:rsid w:val="005769D4"/>
    <w:rsid w:val="00576A2A"/>
    <w:rsid w:val="00576BED"/>
    <w:rsid w:val="00576D61"/>
    <w:rsid w:val="00576FA2"/>
    <w:rsid w:val="005776D5"/>
    <w:rsid w:val="005777EF"/>
    <w:rsid w:val="00577C9E"/>
    <w:rsid w:val="00577CA5"/>
    <w:rsid w:val="00577F7A"/>
    <w:rsid w:val="0058000D"/>
    <w:rsid w:val="005800AF"/>
    <w:rsid w:val="005800F3"/>
    <w:rsid w:val="005805C8"/>
    <w:rsid w:val="005805E2"/>
    <w:rsid w:val="0058080F"/>
    <w:rsid w:val="005809EF"/>
    <w:rsid w:val="00580F35"/>
    <w:rsid w:val="00581860"/>
    <w:rsid w:val="00582285"/>
    <w:rsid w:val="00582570"/>
    <w:rsid w:val="00582825"/>
    <w:rsid w:val="0058292A"/>
    <w:rsid w:val="00582C2B"/>
    <w:rsid w:val="00582EA7"/>
    <w:rsid w:val="0058372F"/>
    <w:rsid w:val="00583A40"/>
    <w:rsid w:val="00583F4F"/>
    <w:rsid w:val="00584846"/>
    <w:rsid w:val="00584B02"/>
    <w:rsid w:val="005854AE"/>
    <w:rsid w:val="005859AF"/>
    <w:rsid w:val="00586223"/>
    <w:rsid w:val="00586375"/>
    <w:rsid w:val="005866FB"/>
    <w:rsid w:val="0058672C"/>
    <w:rsid w:val="00586DBD"/>
    <w:rsid w:val="00586E00"/>
    <w:rsid w:val="005872BF"/>
    <w:rsid w:val="00587565"/>
    <w:rsid w:val="0058781D"/>
    <w:rsid w:val="00587B75"/>
    <w:rsid w:val="00587B98"/>
    <w:rsid w:val="00587CD3"/>
    <w:rsid w:val="00587DFD"/>
    <w:rsid w:val="00587E43"/>
    <w:rsid w:val="00590320"/>
    <w:rsid w:val="00590408"/>
    <w:rsid w:val="0059051D"/>
    <w:rsid w:val="005908A5"/>
    <w:rsid w:val="00590BBC"/>
    <w:rsid w:val="00590CCB"/>
    <w:rsid w:val="00590E87"/>
    <w:rsid w:val="0059106B"/>
    <w:rsid w:val="0059136B"/>
    <w:rsid w:val="00591985"/>
    <w:rsid w:val="00591B98"/>
    <w:rsid w:val="00591BE8"/>
    <w:rsid w:val="005924A1"/>
    <w:rsid w:val="005928CE"/>
    <w:rsid w:val="005929E4"/>
    <w:rsid w:val="005930C7"/>
    <w:rsid w:val="0059354F"/>
    <w:rsid w:val="00593725"/>
    <w:rsid w:val="00593E86"/>
    <w:rsid w:val="00594342"/>
    <w:rsid w:val="00594656"/>
    <w:rsid w:val="0059466D"/>
    <w:rsid w:val="00594AA2"/>
    <w:rsid w:val="00594D8B"/>
    <w:rsid w:val="00594F3C"/>
    <w:rsid w:val="00594F73"/>
    <w:rsid w:val="00594FAE"/>
    <w:rsid w:val="00595A58"/>
    <w:rsid w:val="00595E96"/>
    <w:rsid w:val="00596011"/>
    <w:rsid w:val="005965F6"/>
    <w:rsid w:val="005971E7"/>
    <w:rsid w:val="005972BB"/>
    <w:rsid w:val="005974EA"/>
    <w:rsid w:val="005A036C"/>
    <w:rsid w:val="005A078C"/>
    <w:rsid w:val="005A0852"/>
    <w:rsid w:val="005A09FA"/>
    <w:rsid w:val="005A0BC2"/>
    <w:rsid w:val="005A0F33"/>
    <w:rsid w:val="005A12F1"/>
    <w:rsid w:val="005A165D"/>
    <w:rsid w:val="005A256A"/>
    <w:rsid w:val="005A2CDD"/>
    <w:rsid w:val="005A2DFC"/>
    <w:rsid w:val="005A339B"/>
    <w:rsid w:val="005A3899"/>
    <w:rsid w:val="005A3A18"/>
    <w:rsid w:val="005A3E39"/>
    <w:rsid w:val="005A45FF"/>
    <w:rsid w:val="005A48CE"/>
    <w:rsid w:val="005A4FEA"/>
    <w:rsid w:val="005A6231"/>
    <w:rsid w:val="005A6379"/>
    <w:rsid w:val="005A6B44"/>
    <w:rsid w:val="005A6D89"/>
    <w:rsid w:val="005A6DB3"/>
    <w:rsid w:val="005A7566"/>
    <w:rsid w:val="005A7651"/>
    <w:rsid w:val="005A7881"/>
    <w:rsid w:val="005A78C2"/>
    <w:rsid w:val="005A7905"/>
    <w:rsid w:val="005A7C05"/>
    <w:rsid w:val="005A7C15"/>
    <w:rsid w:val="005A7E43"/>
    <w:rsid w:val="005A7E8C"/>
    <w:rsid w:val="005B0677"/>
    <w:rsid w:val="005B07DD"/>
    <w:rsid w:val="005B0DF1"/>
    <w:rsid w:val="005B0F5B"/>
    <w:rsid w:val="005B0F94"/>
    <w:rsid w:val="005B1438"/>
    <w:rsid w:val="005B16FB"/>
    <w:rsid w:val="005B1A5B"/>
    <w:rsid w:val="005B22F1"/>
    <w:rsid w:val="005B252C"/>
    <w:rsid w:val="005B2963"/>
    <w:rsid w:val="005B2C35"/>
    <w:rsid w:val="005B2DB3"/>
    <w:rsid w:val="005B2DD1"/>
    <w:rsid w:val="005B2EFC"/>
    <w:rsid w:val="005B31B2"/>
    <w:rsid w:val="005B3357"/>
    <w:rsid w:val="005B34F3"/>
    <w:rsid w:val="005B3BEF"/>
    <w:rsid w:val="005B3C73"/>
    <w:rsid w:val="005B4132"/>
    <w:rsid w:val="005B4242"/>
    <w:rsid w:val="005B4536"/>
    <w:rsid w:val="005B4632"/>
    <w:rsid w:val="005B5008"/>
    <w:rsid w:val="005B5BA9"/>
    <w:rsid w:val="005B64F0"/>
    <w:rsid w:val="005B6798"/>
    <w:rsid w:val="005B6C41"/>
    <w:rsid w:val="005B7533"/>
    <w:rsid w:val="005B765F"/>
    <w:rsid w:val="005C04FD"/>
    <w:rsid w:val="005C0B6A"/>
    <w:rsid w:val="005C0D1D"/>
    <w:rsid w:val="005C1284"/>
    <w:rsid w:val="005C14F6"/>
    <w:rsid w:val="005C1B73"/>
    <w:rsid w:val="005C27E2"/>
    <w:rsid w:val="005C316A"/>
    <w:rsid w:val="005C32B1"/>
    <w:rsid w:val="005C34EA"/>
    <w:rsid w:val="005C35DF"/>
    <w:rsid w:val="005C3C4C"/>
    <w:rsid w:val="005C4153"/>
    <w:rsid w:val="005C4245"/>
    <w:rsid w:val="005C43BF"/>
    <w:rsid w:val="005C44B1"/>
    <w:rsid w:val="005C4AFF"/>
    <w:rsid w:val="005C4BDD"/>
    <w:rsid w:val="005C50B2"/>
    <w:rsid w:val="005C5324"/>
    <w:rsid w:val="005C5468"/>
    <w:rsid w:val="005C5550"/>
    <w:rsid w:val="005C6226"/>
    <w:rsid w:val="005C675C"/>
    <w:rsid w:val="005C7290"/>
    <w:rsid w:val="005C7489"/>
    <w:rsid w:val="005C764E"/>
    <w:rsid w:val="005C7F35"/>
    <w:rsid w:val="005C7F4A"/>
    <w:rsid w:val="005D05AD"/>
    <w:rsid w:val="005D08D3"/>
    <w:rsid w:val="005D0E9A"/>
    <w:rsid w:val="005D0FFC"/>
    <w:rsid w:val="005D112B"/>
    <w:rsid w:val="005D197A"/>
    <w:rsid w:val="005D19A4"/>
    <w:rsid w:val="005D2484"/>
    <w:rsid w:val="005D2759"/>
    <w:rsid w:val="005D27FF"/>
    <w:rsid w:val="005D2970"/>
    <w:rsid w:val="005D3A19"/>
    <w:rsid w:val="005D3A56"/>
    <w:rsid w:val="005D3BFF"/>
    <w:rsid w:val="005D3C3C"/>
    <w:rsid w:val="005D3D5B"/>
    <w:rsid w:val="005D4201"/>
    <w:rsid w:val="005D479B"/>
    <w:rsid w:val="005D4CD0"/>
    <w:rsid w:val="005D502A"/>
    <w:rsid w:val="005D5626"/>
    <w:rsid w:val="005D5A0E"/>
    <w:rsid w:val="005D5A61"/>
    <w:rsid w:val="005D5B78"/>
    <w:rsid w:val="005D5B7A"/>
    <w:rsid w:val="005D665F"/>
    <w:rsid w:val="005D685C"/>
    <w:rsid w:val="005D68F0"/>
    <w:rsid w:val="005D6F34"/>
    <w:rsid w:val="005D738F"/>
    <w:rsid w:val="005D73C8"/>
    <w:rsid w:val="005E01A8"/>
    <w:rsid w:val="005E052F"/>
    <w:rsid w:val="005E105F"/>
    <w:rsid w:val="005E11CA"/>
    <w:rsid w:val="005E13E6"/>
    <w:rsid w:val="005E15E9"/>
    <w:rsid w:val="005E1896"/>
    <w:rsid w:val="005E1965"/>
    <w:rsid w:val="005E2168"/>
    <w:rsid w:val="005E2E01"/>
    <w:rsid w:val="005E2FD0"/>
    <w:rsid w:val="005E316E"/>
    <w:rsid w:val="005E3906"/>
    <w:rsid w:val="005E3BF5"/>
    <w:rsid w:val="005E3F05"/>
    <w:rsid w:val="005E411F"/>
    <w:rsid w:val="005E42F4"/>
    <w:rsid w:val="005E4B0A"/>
    <w:rsid w:val="005E520E"/>
    <w:rsid w:val="005E54D8"/>
    <w:rsid w:val="005E559D"/>
    <w:rsid w:val="005E5705"/>
    <w:rsid w:val="005E5A6D"/>
    <w:rsid w:val="005E5C5A"/>
    <w:rsid w:val="005E5D06"/>
    <w:rsid w:val="005E5D0F"/>
    <w:rsid w:val="005E5E8C"/>
    <w:rsid w:val="005E6078"/>
    <w:rsid w:val="005E60A7"/>
    <w:rsid w:val="005E6148"/>
    <w:rsid w:val="005E6235"/>
    <w:rsid w:val="005E649A"/>
    <w:rsid w:val="005E696C"/>
    <w:rsid w:val="005E6DE2"/>
    <w:rsid w:val="005E70DA"/>
    <w:rsid w:val="005E711C"/>
    <w:rsid w:val="005E7131"/>
    <w:rsid w:val="005E72E0"/>
    <w:rsid w:val="005E741D"/>
    <w:rsid w:val="005E7422"/>
    <w:rsid w:val="005E77EC"/>
    <w:rsid w:val="005E781A"/>
    <w:rsid w:val="005E7911"/>
    <w:rsid w:val="005E7B20"/>
    <w:rsid w:val="005E7C98"/>
    <w:rsid w:val="005E7CF3"/>
    <w:rsid w:val="005F01C3"/>
    <w:rsid w:val="005F0509"/>
    <w:rsid w:val="005F083F"/>
    <w:rsid w:val="005F0AF5"/>
    <w:rsid w:val="005F0C95"/>
    <w:rsid w:val="005F0EE2"/>
    <w:rsid w:val="005F14D2"/>
    <w:rsid w:val="005F164F"/>
    <w:rsid w:val="005F1D07"/>
    <w:rsid w:val="005F225D"/>
    <w:rsid w:val="005F2362"/>
    <w:rsid w:val="005F2621"/>
    <w:rsid w:val="005F2B9A"/>
    <w:rsid w:val="005F335E"/>
    <w:rsid w:val="005F34A3"/>
    <w:rsid w:val="005F3527"/>
    <w:rsid w:val="005F393F"/>
    <w:rsid w:val="005F3D92"/>
    <w:rsid w:val="005F3F7B"/>
    <w:rsid w:val="005F4050"/>
    <w:rsid w:val="005F4191"/>
    <w:rsid w:val="005F43CF"/>
    <w:rsid w:val="005F4B23"/>
    <w:rsid w:val="005F4F68"/>
    <w:rsid w:val="005F5387"/>
    <w:rsid w:val="005F58EB"/>
    <w:rsid w:val="005F59A7"/>
    <w:rsid w:val="005F5E23"/>
    <w:rsid w:val="005F6324"/>
    <w:rsid w:val="005F6407"/>
    <w:rsid w:val="005F64E1"/>
    <w:rsid w:val="005F6776"/>
    <w:rsid w:val="005F7057"/>
    <w:rsid w:val="005F746B"/>
    <w:rsid w:val="005F7C33"/>
    <w:rsid w:val="005F7CBD"/>
    <w:rsid w:val="0060009B"/>
    <w:rsid w:val="0060026E"/>
    <w:rsid w:val="00600351"/>
    <w:rsid w:val="00600698"/>
    <w:rsid w:val="00601396"/>
    <w:rsid w:val="00601A33"/>
    <w:rsid w:val="00602177"/>
    <w:rsid w:val="0060253F"/>
    <w:rsid w:val="0060334B"/>
    <w:rsid w:val="0060375B"/>
    <w:rsid w:val="00603A9D"/>
    <w:rsid w:val="00603EF0"/>
    <w:rsid w:val="0060407F"/>
    <w:rsid w:val="006046B5"/>
    <w:rsid w:val="006046C0"/>
    <w:rsid w:val="006048FC"/>
    <w:rsid w:val="006049E0"/>
    <w:rsid w:val="00604E93"/>
    <w:rsid w:val="0060543A"/>
    <w:rsid w:val="00605552"/>
    <w:rsid w:val="0060581F"/>
    <w:rsid w:val="00606058"/>
    <w:rsid w:val="00606922"/>
    <w:rsid w:val="00606A2A"/>
    <w:rsid w:val="00607965"/>
    <w:rsid w:val="00607A4E"/>
    <w:rsid w:val="00607B47"/>
    <w:rsid w:val="006103D8"/>
    <w:rsid w:val="00610480"/>
    <w:rsid w:val="006105EF"/>
    <w:rsid w:val="00610861"/>
    <w:rsid w:val="00610B14"/>
    <w:rsid w:val="00610E55"/>
    <w:rsid w:val="00611AA9"/>
    <w:rsid w:val="00612F40"/>
    <w:rsid w:val="00613D8E"/>
    <w:rsid w:val="00613EA3"/>
    <w:rsid w:val="00614E38"/>
    <w:rsid w:val="00614FD8"/>
    <w:rsid w:val="00615538"/>
    <w:rsid w:val="00615567"/>
    <w:rsid w:val="0061557E"/>
    <w:rsid w:val="006155C4"/>
    <w:rsid w:val="006156EF"/>
    <w:rsid w:val="0061590A"/>
    <w:rsid w:val="00615B5B"/>
    <w:rsid w:val="00616516"/>
    <w:rsid w:val="0061656B"/>
    <w:rsid w:val="006165D9"/>
    <w:rsid w:val="006166C6"/>
    <w:rsid w:val="00616E84"/>
    <w:rsid w:val="006172CB"/>
    <w:rsid w:val="00617670"/>
    <w:rsid w:val="00617922"/>
    <w:rsid w:val="00617BA9"/>
    <w:rsid w:val="006212EF"/>
    <w:rsid w:val="0062208F"/>
    <w:rsid w:val="00622BC4"/>
    <w:rsid w:val="0062375F"/>
    <w:rsid w:val="006239CE"/>
    <w:rsid w:val="00623D52"/>
    <w:rsid w:val="006248B2"/>
    <w:rsid w:val="00624945"/>
    <w:rsid w:val="00624C2C"/>
    <w:rsid w:val="00624D5A"/>
    <w:rsid w:val="006254F1"/>
    <w:rsid w:val="00625B65"/>
    <w:rsid w:val="00625D66"/>
    <w:rsid w:val="00626021"/>
    <w:rsid w:val="006260CB"/>
    <w:rsid w:val="006260D6"/>
    <w:rsid w:val="00626214"/>
    <w:rsid w:val="006264A9"/>
    <w:rsid w:val="00626511"/>
    <w:rsid w:val="006266F6"/>
    <w:rsid w:val="006273EF"/>
    <w:rsid w:val="00627776"/>
    <w:rsid w:val="00627872"/>
    <w:rsid w:val="00627955"/>
    <w:rsid w:val="00627A05"/>
    <w:rsid w:val="00627B84"/>
    <w:rsid w:val="00627EEB"/>
    <w:rsid w:val="006308A7"/>
    <w:rsid w:val="00630F7A"/>
    <w:rsid w:val="00631492"/>
    <w:rsid w:val="006314FB"/>
    <w:rsid w:val="00631888"/>
    <w:rsid w:val="00631EA4"/>
    <w:rsid w:val="00632035"/>
    <w:rsid w:val="00632286"/>
    <w:rsid w:val="00632FEA"/>
    <w:rsid w:val="00633930"/>
    <w:rsid w:val="00633972"/>
    <w:rsid w:val="00633EBB"/>
    <w:rsid w:val="006345DE"/>
    <w:rsid w:val="00634A54"/>
    <w:rsid w:val="00634C2D"/>
    <w:rsid w:val="00634C4E"/>
    <w:rsid w:val="00634CC2"/>
    <w:rsid w:val="00634FFA"/>
    <w:rsid w:val="00635287"/>
    <w:rsid w:val="00635BD0"/>
    <w:rsid w:val="00635EB4"/>
    <w:rsid w:val="0063635C"/>
    <w:rsid w:val="00636915"/>
    <w:rsid w:val="0063691A"/>
    <w:rsid w:val="00636ED6"/>
    <w:rsid w:val="00637061"/>
    <w:rsid w:val="006374EA"/>
    <w:rsid w:val="0063791D"/>
    <w:rsid w:val="0063793D"/>
    <w:rsid w:val="00637A96"/>
    <w:rsid w:val="0064003A"/>
    <w:rsid w:val="00640836"/>
    <w:rsid w:val="00640891"/>
    <w:rsid w:val="00640892"/>
    <w:rsid w:val="0064096B"/>
    <w:rsid w:val="0064142E"/>
    <w:rsid w:val="00641546"/>
    <w:rsid w:val="006415AD"/>
    <w:rsid w:val="0064172A"/>
    <w:rsid w:val="00641937"/>
    <w:rsid w:val="006423F7"/>
    <w:rsid w:val="006427C1"/>
    <w:rsid w:val="006428ED"/>
    <w:rsid w:val="00642942"/>
    <w:rsid w:val="00642F98"/>
    <w:rsid w:val="00643431"/>
    <w:rsid w:val="00643652"/>
    <w:rsid w:val="0064368E"/>
    <w:rsid w:val="00643E6A"/>
    <w:rsid w:val="006447A9"/>
    <w:rsid w:val="006449E4"/>
    <w:rsid w:val="00644E2E"/>
    <w:rsid w:val="006451A1"/>
    <w:rsid w:val="0064546E"/>
    <w:rsid w:val="00645993"/>
    <w:rsid w:val="00645B35"/>
    <w:rsid w:val="00645C15"/>
    <w:rsid w:val="00645FD0"/>
    <w:rsid w:val="00646448"/>
    <w:rsid w:val="0064659A"/>
    <w:rsid w:val="006465A8"/>
    <w:rsid w:val="0064684A"/>
    <w:rsid w:val="0064695C"/>
    <w:rsid w:val="00646D26"/>
    <w:rsid w:val="00646DFC"/>
    <w:rsid w:val="00647503"/>
    <w:rsid w:val="006476C7"/>
    <w:rsid w:val="0064798D"/>
    <w:rsid w:val="00650379"/>
    <w:rsid w:val="00650388"/>
    <w:rsid w:val="006506E1"/>
    <w:rsid w:val="00650FD7"/>
    <w:rsid w:val="0065115B"/>
    <w:rsid w:val="00651328"/>
    <w:rsid w:val="00651448"/>
    <w:rsid w:val="00651AF8"/>
    <w:rsid w:val="00651B5D"/>
    <w:rsid w:val="00651F42"/>
    <w:rsid w:val="00652652"/>
    <w:rsid w:val="006526A8"/>
    <w:rsid w:val="006528F8"/>
    <w:rsid w:val="00652EA7"/>
    <w:rsid w:val="00652F29"/>
    <w:rsid w:val="00653204"/>
    <w:rsid w:val="0065342E"/>
    <w:rsid w:val="006535B1"/>
    <w:rsid w:val="00653648"/>
    <w:rsid w:val="00653C01"/>
    <w:rsid w:val="00653D53"/>
    <w:rsid w:val="00654301"/>
    <w:rsid w:val="006544A2"/>
    <w:rsid w:val="00654627"/>
    <w:rsid w:val="00654799"/>
    <w:rsid w:val="00654825"/>
    <w:rsid w:val="00654E2F"/>
    <w:rsid w:val="006552E3"/>
    <w:rsid w:val="006555BA"/>
    <w:rsid w:val="00655697"/>
    <w:rsid w:val="00655D59"/>
    <w:rsid w:val="00655E09"/>
    <w:rsid w:val="00655E6E"/>
    <w:rsid w:val="006567D4"/>
    <w:rsid w:val="00657119"/>
    <w:rsid w:val="00657885"/>
    <w:rsid w:val="00657BEF"/>
    <w:rsid w:val="006609F2"/>
    <w:rsid w:val="00660D6A"/>
    <w:rsid w:val="00660DF2"/>
    <w:rsid w:val="006611CA"/>
    <w:rsid w:val="006613A0"/>
    <w:rsid w:val="006618A0"/>
    <w:rsid w:val="0066194F"/>
    <w:rsid w:val="00661DD0"/>
    <w:rsid w:val="00661F84"/>
    <w:rsid w:val="0066200C"/>
    <w:rsid w:val="00662096"/>
    <w:rsid w:val="006622B0"/>
    <w:rsid w:val="00662C50"/>
    <w:rsid w:val="00663004"/>
    <w:rsid w:val="006631F9"/>
    <w:rsid w:val="00663532"/>
    <w:rsid w:val="00663557"/>
    <w:rsid w:val="00663568"/>
    <w:rsid w:val="006637C3"/>
    <w:rsid w:val="00663939"/>
    <w:rsid w:val="00663971"/>
    <w:rsid w:val="00663BAF"/>
    <w:rsid w:val="00664196"/>
    <w:rsid w:val="0066447A"/>
    <w:rsid w:val="0066489E"/>
    <w:rsid w:val="00664A4B"/>
    <w:rsid w:val="00664BBA"/>
    <w:rsid w:val="0066508A"/>
    <w:rsid w:val="006653F9"/>
    <w:rsid w:val="00665563"/>
    <w:rsid w:val="0066566F"/>
    <w:rsid w:val="00666175"/>
    <w:rsid w:val="00666745"/>
    <w:rsid w:val="00666EBE"/>
    <w:rsid w:val="00666EEB"/>
    <w:rsid w:val="0066704A"/>
    <w:rsid w:val="00667760"/>
    <w:rsid w:val="0067006F"/>
    <w:rsid w:val="006700CA"/>
    <w:rsid w:val="006703CD"/>
    <w:rsid w:val="0067040A"/>
    <w:rsid w:val="00670D5A"/>
    <w:rsid w:val="00671028"/>
    <w:rsid w:val="00671164"/>
    <w:rsid w:val="00671364"/>
    <w:rsid w:val="00671DB9"/>
    <w:rsid w:val="006724B3"/>
    <w:rsid w:val="006727ED"/>
    <w:rsid w:val="00672FB1"/>
    <w:rsid w:val="00673BFA"/>
    <w:rsid w:val="00673C9B"/>
    <w:rsid w:val="006745D7"/>
    <w:rsid w:val="006746B9"/>
    <w:rsid w:val="00674A14"/>
    <w:rsid w:val="00674B38"/>
    <w:rsid w:val="00674ED3"/>
    <w:rsid w:val="00674F50"/>
    <w:rsid w:val="00675024"/>
    <w:rsid w:val="00675491"/>
    <w:rsid w:val="00675FD8"/>
    <w:rsid w:val="00676257"/>
    <w:rsid w:val="00676728"/>
    <w:rsid w:val="00677B94"/>
    <w:rsid w:val="0068003A"/>
    <w:rsid w:val="00680183"/>
    <w:rsid w:val="0068026C"/>
    <w:rsid w:val="00680AB7"/>
    <w:rsid w:val="00680DB3"/>
    <w:rsid w:val="00680FBF"/>
    <w:rsid w:val="0068262B"/>
    <w:rsid w:val="006829B8"/>
    <w:rsid w:val="00682A35"/>
    <w:rsid w:val="00682E83"/>
    <w:rsid w:val="00682FF6"/>
    <w:rsid w:val="0068320B"/>
    <w:rsid w:val="006838A1"/>
    <w:rsid w:val="006838CA"/>
    <w:rsid w:val="00683966"/>
    <w:rsid w:val="00683A48"/>
    <w:rsid w:val="00683CBB"/>
    <w:rsid w:val="00683D95"/>
    <w:rsid w:val="00683E44"/>
    <w:rsid w:val="00683F26"/>
    <w:rsid w:val="006841D8"/>
    <w:rsid w:val="00684431"/>
    <w:rsid w:val="00684A57"/>
    <w:rsid w:val="00684E4D"/>
    <w:rsid w:val="006851DC"/>
    <w:rsid w:val="006859AD"/>
    <w:rsid w:val="00685EED"/>
    <w:rsid w:val="00685EFE"/>
    <w:rsid w:val="00685F24"/>
    <w:rsid w:val="00686557"/>
    <w:rsid w:val="0068687D"/>
    <w:rsid w:val="0068786A"/>
    <w:rsid w:val="0069006C"/>
    <w:rsid w:val="00690FF8"/>
    <w:rsid w:val="006910A7"/>
    <w:rsid w:val="00691178"/>
    <w:rsid w:val="00691821"/>
    <w:rsid w:val="00691E87"/>
    <w:rsid w:val="00692877"/>
    <w:rsid w:val="006928AF"/>
    <w:rsid w:val="00692A7A"/>
    <w:rsid w:val="00692C19"/>
    <w:rsid w:val="006932BE"/>
    <w:rsid w:val="006936AA"/>
    <w:rsid w:val="00693DE2"/>
    <w:rsid w:val="0069410A"/>
    <w:rsid w:val="0069445A"/>
    <w:rsid w:val="006949BB"/>
    <w:rsid w:val="00694BC3"/>
    <w:rsid w:val="00694BC9"/>
    <w:rsid w:val="00694EB6"/>
    <w:rsid w:val="00695009"/>
    <w:rsid w:val="0069627A"/>
    <w:rsid w:val="00696B36"/>
    <w:rsid w:val="00696F85"/>
    <w:rsid w:val="006976EB"/>
    <w:rsid w:val="006978C8"/>
    <w:rsid w:val="00697C0F"/>
    <w:rsid w:val="00697C3A"/>
    <w:rsid w:val="006A06EB"/>
    <w:rsid w:val="006A0E39"/>
    <w:rsid w:val="006A104B"/>
    <w:rsid w:val="006A10A4"/>
    <w:rsid w:val="006A12AC"/>
    <w:rsid w:val="006A13C6"/>
    <w:rsid w:val="006A17A6"/>
    <w:rsid w:val="006A19D4"/>
    <w:rsid w:val="006A1B5A"/>
    <w:rsid w:val="006A1C9E"/>
    <w:rsid w:val="006A22E2"/>
    <w:rsid w:val="006A2AFA"/>
    <w:rsid w:val="006A2B97"/>
    <w:rsid w:val="006A2F43"/>
    <w:rsid w:val="006A36D4"/>
    <w:rsid w:val="006A3B0C"/>
    <w:rsid w:val="006A4874"/>
    <w:rsid w:val="006A4BD1"/>
    <w:rsid w:val="006A5AB9"/>
    <w:rsid w:val="006A5D72"/>
    <w:rsid w:val="006A610A"/>
    <w:rsid w:val="006A61D1"/>
    <w:rsid w:val="006A6B17"/>
    <w:rsid w:val="006A6B7C"/>
    <w:rsid w:val="006A7391"/>
    <w:rsid w:val="006A75E6"/>
    <w:rsid w:val="006B01D5"/>
    <w:rsid w:val="006B0C33"/>
    <w:rsid w:val="006B12B7"/>
    <w:rsid w:val="006B12CF"/>
    <w:rsid w:val="006B1604"/>
    <w:rsid w:val="006B1696"/>
    <w:rsid w:val="006B181B"/>
    <w:rsid w:val="006B1919"/>
    <w:rsid w:val="006B1F87"/>
    <w:rsid w:val="006B276D"/>
    <w:rsid w:val="006B297B"/>
    <w:rsid w:val="006B3855"/>
    <w:rsid w:val="006B3933"/>
    <w:rsid w:val="006B4BC6"/>
    <w:rsid w:val="006B4ECE"/>
    <w:rsid w:val="006B544C"/>
    <w:rsid w:val="006B5A54"/>
    <w:rsid w:val="006B5CEC"/>
    <w:rsid w:val="006B5DA0"/>
    <w:rsid w:val="006B609D"/>
    <w:rsid w:val="006B6793"/>
    <w:rsid w:val="006B6DB5"/>
    <w:rsid w:val="006B72EF"/>
    <w:rsid w:val="006B7B7A"/>
    <w:rsid w:val="006B7E64"/>
    <w:rsid w:val="006C004B"/>
    <w:rsid w:val="006C01C2"/>
    <w:rsid w:val="006C0306"/>
    <w:rsid w:val="006C0472"/>
    <w:rsid w:val="006C049D"/>
    <w:rsid w:val="006C05E3"/>
    <w:rsid w:val="006C07D1"/>
    <w:rsid w:val="006C08E1"/>
    <w:rsid w:val="006C0A35"/>
    <w:rsid w:val="006C0AF8"/>
    <w:rsid w:val="006C0F29"/>
    <w:rsid w:val="006C1226"/>
    <w:rsid w:val="006C132C"/>
    <w:rsid w:val="006C1945"/>
    <w:rsid w:val="006C1D31"/>
    <w:rsid w:val="006C1EF1"/>
    <w:rsid w:val="006C221E"/>
    <w:rsid w:val="006C2925"/>
    <w:rsid w:val="006C2BDF"/>
    <w:rsid w:val="006C2BEE"/>
    <w:rsid w:val="006C2D6A"/>
    <w:rsid w:val="006C3025"/>
    <w:rsid w:val="006C31C6"/>
    <w:rsid w:val="006C327A"/>
    <w:rsid w:val="006C3379"/>
    <w:rsid w:val="006C3804"/>
    <w:rsid w:val="006C3CA3"/>
    <w:rsid w:val="006C41AC"/>
    <w:rsid w:val="006C464D"/>
    <w:rsid w:val="006C4825"/>
    <w:rsid w:val="006C49BB"/>
    <w:rsid w:val="006C500A"/>
    <w:rsid w:val="006C524A"/>
    <w:rsid w:val="006C52E9"/>
    <w:rsid w:val="006C54AA"/>
    <w:rsid w:val="006C55FC"/>
    <w:rsid w:val="006C66C2"/>
    <w:rsid w:val="006C6C85"/>
    <w:rsid w:val="006C6DB7"/>
    <w:rsid w:val="006C6E1D"/>
    <w:rsid w:val="006C702C"/>
    <w:rsid w:val="006C7090"/>
    <w:rsid w:val="006D0867"/>
    <w:rsid w:val="006D0891"/>
    <w:rsid w:val="006D08EB"/>
    <w:rsid w:val="006D0B2B"/>
    <w:rsid w:val="006D0C46"/>
    <w:rsid w:val="006D0CDE"/>
    <w:rsid w:val="006D1046"/>
    <w:rsid w:val="006D16C8"/>
    <w:rsid w:val="006D1896"/>
    <w:rsid w:val="006D1B09"/>
    <w:rsid w:val="006D2300"/>
    <w:rsid w:val="006D255D"/>
    <w:rsid w:val="006D3430"/>
    <w:rsid w:val="006D3881"/>
    <w:rsid w:val="006D3982"/>
    <w:rsid w:val="006D3DE0"/>
    <w:rsid w:val="006D3E5F"/>
    <w:rsid w:val="006D42D2"/>
    <w:rsid w:val="006D4771"/>
    <w:rsid w:val="006D4941"/>
    <w:rsid w:val="006D4D5E"/>
    <w:rsid w:val="006D5443"/>
    <w:rsid w:val="006D5487"/>
    <w:rsid w:val="006D59E6"/>
    <w:rsid w:val="006D5A71"/>
    <w:rsid w:val="006D5C39"/>
    <w:rsid w:val="006D5F27"/>
    <w:rsid w:val="006D5F38"/>
    <w:rsid w:val="006D69ED"/>
    <w:rsid w:val="006D6A64"/>
    <w:rsid w:val="006D6A8A"/>
    <w:rsid w:val="006D6CCE"/>
    <w:rsid w:val="006D6F5E"/>
    <w:rsid w:val="006D7328"/>
    <w:rsid w:val="006D7625"/>
    <w:rsid w:val="006D7954"/>
    <w:rsid w:val="006D7A4B"/>
    <w:rsid w:val="006D7A60"/>
    <w:rsid w:val="006D7C77"/>
    <w:rsid w:val="006D7DE9"/>
    <w:rsid w:val="006D7FB1"/>
    <w:rsid w:val="006E026D"/>
    <w:rsid w:val="006E0679"/>
    <w:rsid w:val="006E073C"/>
    <w:rsid w:val="006E0971"/>
    <w:rsid w:val="006E0B33"/>
    <w:rsid w:val="006E0DC3"/>
    <w:rsid w:val="006E1113"/>
    <w:rsid w:val="006E12A6"/>
    <w:rsid w:val="006E14D5"/>
    <w:rsid w:val="006E14E7"/>
    <w:rsid w:val="006E1EE1"/>
    <w:rsid w:val="006E31AC"/>
    <w:rsid w:val="006E31E9"/>
    <w:rsid w:val="006E3333"/>
    <w:rsid w:val="006E3951"/>
    <w:rsid w:val="006E3DAB"/>
    <w:rsid w:val="006E54E5"/>
    <w:rsid w:val="006E58E0"/>
    <w:rsid w:val="006E5A57"/>
    <w:rsid w:val="006E5AE8"/>
    <w:rsid w:val="006E5DFF"/>
    <w:rsid w:val="006E68E3"/>
    <w:rsid w:val="006E6A43"/>
    <w:rsid w:val="006E6CC3"/>
    <w:rsid w:val="006E7134"/>
    <w:rsid w:val="006F00F1"/>
    <w:rsid w:val="006F01E0"/>
    <w:rsid w:val="006F061D"/>
    <w:rsid w:val="006F0667"/>
    <w:rsid w:val="006F0760"/>
    <w:rsid w:val="006F0DA1"/>
    <w:rsid w:val="006F0DC7"/>
    <w:rsid w:val="006F1166"/>
    <w:rsid w:val="006F1624"/>
    <w:rsid w:val="006F17BC"/>
    <w:rsid w:val="006F18E9"/>
    <w:rsid w:val="006F190F"/>
    <w:rsid w:val="006F1C7B"/>
    <w:rsid w:val="006F2641"/>
    <w:rsid w:val="006F273B"/>
    <w:rsid w:val="006F296C"/>
    <w:rsid w:val="006F29AB"/>
    <w:rsid w:val="006F3313"/>
    <w:rsid w:val="006F33B8"/>
    <w:rsid w:val="006F3CBA"/>
    <w:rsid w:val="006F41DC"/>
    <w:rsid w:val="006F4676"/>
    <w:rsid w:val="006F4681"/>
    <w:rsid w:val="006F4B79"/>
    <w:rsid w:val="006F4C95"/>
    <w:rsid w:val="006F4D06"/>
    <w:rsid w:val="006F573E"/>
    <w:rsid w:val="006F57D8"/>
    <w:rsid w:val="006F60E0"/>
    <w:rsid w:val="006F682D"/>
    <w:rsid w:val="006F685C"/>
    <w:rsid w:val="006F6BA0"/>
    <w:rsid w:val="006F6F0E"/>
    <w:rsid w:val="006F72E7"/>
    <w:rsid w:val="006F7945"/>
    <w:rsid w:val="006F79A4"/>
    <w:rsid w:val="006F7B64"/>
    <w:rsid w:val="006F7BA9"/>
    <w:rsid w:val="006F7F3A"/>
    <w:rsid w:val="00700533"/>
    <w:rsid w:val="0070073F"/>
    <w:rsid w:val="007007C2"/>
    <w:rsid w:val="007008B1"/>
    <w:rsid w:val="00700D74"/>
    <w:rsid w:val="00701DB3"/>
    <w:rsid w:val="00701E72"/>
    <w:rsid w:val="007023CB"/>
    <w:rsid w:val="00702457"/>
    <w:rsid w:val="00702B20"/>
    <w:rsid w:val="00702E01"/>
    <w:rsid w:val="00702F48"/>
    <w:rsid w:val="0070309E"/>
    <w:rsid w:val="007031A8"/>
    <w:rsid w:val="007031D5"/>
    <w:rsid w:val="00703300"/>
    <w:rsid w:val="007034C6"/>
    <w:rsid w:val="007038A8"/>
    <w:rsid w:val="00703AA8"/>
    <w:rsid w:val="00703B53"/>
    <w:rsid w:val="00703BAD"/>
    <w:rsid w:val="00704404"/>
    <w:rsid w:val="00704621"/>
    <w:rsid w:val="0070489D"/>
    <w:rsid w:val="0070495A"/>
    <w:rsid w:val="00704F2F"/>
    <w:rsid w:val="0070520E"/>
    <w:rsid w:val="00705438"/>
    <w:rsid w:val="00705516"/>
    <w:rsid w:val="00706633"/>
    <w:rsid w:val="0070682B"/>
    <w:rsid w:val="00706B1B"/>
    <w:rsid w:val="00706E4D"/>
    <w:rsid w:val="00706F24"/>
    <w:rsid w:val="007074AF"/>
    <w:rsid w:val="007077FB"/>
    <w:rsid w:val="0070792E"/>
    <w:rsid w:val="00707B80"/>
    <w:rsid w:val="00707B82"/>
    <w:rsid w:val="007108F1"/>
    <w:rsid w:val="00710A09"/>
    <w:rsid w:val="007113E7"/>
    <w:rsid w:val="007115AD"/>
    <w:rsid w:val="007116E4"/>
    <w:rsid w:val="00711A28"/>
    <w:rsid w:val="00711FDF"/>
    <w:rsid w:val="00712016"/>
    <w:rsid w:val="007121ED"/>
    <w:rsid w:val="00712B4B"/>
    <w:rsid w:val="00712EA7"/>
    <w:rsid w:val="00712EAD"/>
    <w:rsid w:val="00713BF0"/>
    <w:rsid w:val="007141C4"/>
    <w:rsid w:val="0071470F"/>
    <w:rsid w:val="00714924"/>
    <w:rsid w:val="00714C67"/>
    <w:rsid w:val="00714CE7"/>
    <w:rsid w:val="00714DAE"/>
    <w:rsid w:val="00714F6F"/>
    <w:rsid w:val="007158D1"/>
    <w:rsid w:val="00715B97"/>
    <w:rsid w:val="0071657F"/>
    <w:rsid w:val="00716809"/>
    <w:rsid w:val="007168C7"/>
    <w:rsid w:val="00716940"/>
    <w:rsid w:val="00716F58"/>
    <w:rsid w:val="0071787F"/>
    <w:rsid w:val="00717998"/>
    <w:rsid w:val="00717F4D"/>
    <w:rsid w:val="00720586"/>
    <w:rsid w:val="00720644"/>
    <w:rsid w:val="007206B6"/>
    <w:rsid w:val="0072073E"/>
    <w:rsid w:val="007209C5"/>
    <w:rsid w:val="00720A42"/>
    <w:rsid w:val="00720FA3"/>
    <w:rsid w:val="007216C6"/>
    <w:rsid w:val="0072223D"/>
    <w:rsid w:val="00722383"/>
    <w:rsid w:val="007224E1"/>
    <w:rsid w:val="00722723"/>
    <w:rsid w:val="00722808"/>
    <w:rsid w:val="00722BEA"/>
    <w:rsid w:val="00724A90"/>
    <w:rsid w:val="00724F32"/>
    <w:rsid w:val="00725003"/>
    <w:rsid w:val="00725062"/>
    <w:rsid w:val="0072512D"/>
    <w:rsid w:val="0072526C"/>
    <w:rsid w:val="0072526D"/>
    <w:rsid w:val="0072527C"/>
    <w:rsid w:val="007256FA"/>
    <w:rsid w:val="00725AF2"/>
    <w:rsid w:val="00725C40"/>
    <w:rsid w:val="00726073"/>
    <w:rsid w:val="00726667"/>
    <w:rsid w:val="00726E65"/>
    <w:rsid w:val="00726FBB"/>
    <w:rsid w:val="00727012"/>
    <w:rsid w:val="007271D4"/>
    <w:rsid w:val="00727853"/>
    <w:rsid w:val="007279B9"/>
    <w:rsid w:val="00727CBA"/>
    <w:rsid w:val="007305A5"/>
    <w:rsid w:val="007308E8"/>
    <w:rsid w:val="00731093"/>
    <w:rsid w:val="007312F6"/>
    <w:rsid w:val="007319E7"/>
    <w:rsid w:val="00732289"/>
    <w:rsid w:val="00732951"/>
    <w:rsid w:val="00733453"/>
    <w:rsid w:val="00733AFF"/>
    <w:rsid w:val="00734354"/>
    <w:rsid w:val="007347CA"/>
    <w:rsid w:val="0073544B"/>
    <w:rsid w:val="0073551F"/>
    <w:rsid w:val="00735892"/>
    <w:rsid w:val="00735DF9"/>
    <w:rsid w:val="0073608E"/>
    <w:rsid w:val="007362C1"/>
    <w:rsid w:val="007364C5"/>
    <w:rsid w:val="007366F0"/>
    <w:rsid w:val="00736A9F"/>
    <w:rsid w:val="00736C31"/>
    <w:rsid w:val="00737CE5"/>
    <w:rsid w:val="0074058E"/>
    <w:rsid w:val="0074079F"/>
    <w:rsid w:val="00740D71"/>
    <w:rsid w:val="00741A7A"/>
    <w:rsid w:val="00741B43"/>
    <w:rsid w:val="00741DC0"/>
    <w:rsid w:val="00741EF7"/>
    <w:rsid w:val="00742AC9"/>
    <w:rsid w:val="00742B9D"/>
    <w:rsid w:val="00742CA6"/>
    <w:rsid w:val="00742EC9"/>
    <w:rsid w:val="0074338A"/>
    <w:rsid w:val="00743B21"/>
    <w:rsid w:val="00743D5F"/>
    <w:rsid w:val="00744184"/>
    <w:rsid w:val="0074449F"/>
    <w:rsid w:val="00744E11"/>
    <w:rsid w:val="0074500C"/>
    <w:rsid w:val="00745439"/>
    <w:rsid w:val="00745508"/>
    <w:rsid w:val="007458A6"/>
    <w:rsid w:val="0074684A"/>
    <w:rsid w:val="00746907"/>
    <w:rsid w:val="00746AC1"/>
    <w:rsid w:val="0074755B"/>
    <w:rsid w:val="007477CD"/>
    <w:rsid w:val="00747911"/>
    <w:rsid w:val="00747AF4"/>
    <w:rsid w:val="00750021"/>
    <w:rsid w:val="007500F7"/>
    <w:rsid w:val="00750398"/>
    <w:rsid w:val="00750583"/>
    <w:rsid w:val="00750589"/>
    <w:rsid w:val="00750904"/>
    <w:rsid w:val="007513FB"/>
    <w:rsid w:val="0075160B"/>
    <w:rsid w:val="0075173E"/>
    <w:rsid w:val="00751B37"/>
    <w:rsid w:val="00751C6D"/>
    <w:rsid w:val="00751E78"/>
    <w:rsid w:val="00752154"/>
    <w:rsid w:val="00753105"/>
    <w:rsid w:val="007538D3"/>
    <w:rsid w:val="00753A3B"/>
    <w:rsid w:val="00753BD8"/>
    <w:rsid w:val="007544F1"/>
    <w:rsid w:val="00754884"/>
    <w:rsid w:val="00755325"/>
    <w:rsid w:val="00755687"/>
    <w:rsid w:val="0075572E"/>
    <w:rsid w:val="00755919"/>
    <w:rsid w:val="00755AA8"/>
    <w:rsid w:val="00755CD9"/>
    <w:rsid w:val="00756E82"/>
    <w:rsid w:val="007573CC"/>
    <w:rsid w:val="00757BE5"/>
    <w:rsid w:val="00757BE9"/>
    <w:rsid w:val="00757C09"/>
    <w:rsid w:val="00757D65"/>
    <w:rsid w:val="00760197"/>
    <w:rsid w:val="007601A0"/>
    <w:rsid w:val="00760245"/>
    <w:rsid w:val="007605F2"/>
    <w:rsid w:val="0076074E"/>
    <w:rsid w:val="007608BA"/>
    <w:rsid w:val="00760F70"/>
    <w:rsid w:val="007613EF"/>
    <w:rsid w:val="007614CD"/>
    <w:rsid w:val="007618F1"/>
    <w:rsid w:val="0076197C"/>
    <w:rsid w:val="00761BD2"/>
    <w:rsid w:val="00762061"/>
    <w:rsid w:val="00762117"/>
    <w:rsid w:val="00763F6B"/>
    <w:rsid w:val="007641B2"/>
    <w:rsid w:val="00764624"/>
    <w:rsid w:val="00764702"/>
    <w:rsid w:val="00764CE7"/>
    <w:rsid w:val="00764D59"/>
    <w:rsid w:val="00765134"/>
    <w:rsid w:val="0076522B"/>
    <w:rsid w:val="00765249"/>
    <w:rsid w:val="0076563A"/>
    <w:rsid w:val="00765733"/>
    <w:rsid w:val="00765759"/>
    <w:rsid w:val="00766340"/>
    <w:rsid w:val="00766C55"/>
    <w:rsid w:val="007676CE"/>
    <w:rsid w:val="00767A7C"/>
    <w:rsid w:val="00767D1C"/>
    <w:rsid w:val="0077026E"/>
    <w:rsid w:val="007703E1"/>
    <w:rsid w:val="00770E18"/>
    <w:rsid w:val="00770FAC"/>
    <w:rsid w:val="00771227"/>
    <w:rsid w:val="0077154B"/>
    <w:rsid w:val="007715C1"/>
    <w:rsid w:val="00771B26"/>
    <w:rsid w:val="007722A8"/>
    <w:rsid w:val="00772738"/>
    <w:rsid w:val="00772799"/>
    <w:rsid w:val="00772C0A"/>
    <w:rsid w:val="00772C5B"/>
    <w:rsid w:val="0077314A"/>
    <w:rsid w:val="007732E7"/>
    <w:rsid w:val="00773965"/>
    <w:rsid w:val="00773B39"/>
    <w:rsid w:val="0077409E"/>
    <w:rsid w:val="007741C5"/>
    <w:rsid w:val="0077432C"/>
    <w:rsid w:val="007743DE"/>
    <w:rsid w:val="007744B3"/>
    <w:rsid w:val="00774963"/>
    <w:rsid w:val="00774C15"/>
    <w:rsid w:val="00774EF3"/>
    <w:rsid w:val="00774FAD"/>
    <w:rsid w:val="007758FB"/>
    <w:rsid w:val="007759DB"/>
    <w:rsid w:val="00775A1B"/>
    <w:rsid w:val="00775B1C"/>
    <w:rsid w:val="00776058"/>
    <w:rsid w:val="00776E57"/>
    <w:rsid w:val="00776F39"/>
    <w:rsid w:val="00777C71"/>
    <w:rsid w:val="00780329"/>
    <w:rsid w:val="0078035D"/>
    <w:rsid w:val="00780E6E"/>
    <w:rsid w:val="00780F06"/>
    <w:rsid w:val="00780F3C"/>
    <w:rsid w:val="00781731"/>
    <w:rsid w:val="00781AFF"/>
    <w:rsid w:val="00781BC2"/>
    <w:rsid w:val="00781D8F"/>
    <w:rsid w:val="007824A2"/>
    <w:rsid w:val="00782BC6"/>
    <w:rsid w:val="00782BD8"/>
    <w:rsid w:val="0078300B"/>
    <w:rsid w:val="007835EF"/>
    <w:rsid w:val="00783744"/>
    <w:rsid w:val="00783A04"/>
    <w:rsid w:val="0078420F"/>
    <w:rsid w:val="0078428A"/>
    <w:rsid w:val="00784368"/>
    <w:rsid w:val="007843C7"/>
    <w:rsid w:val="0078478D"/>
    <w:rsid w:val="00784877"/>
    <w:rsid w:val="00784C04"/>
    <w:rsid w:val="00785302"/>
    <w:rsid w:val="007854AD"/>
    <w:rsid w:val="007857B3"/>
    <w:rsid w:val="00785C45"/>
    <w:rsid w:val="00785D61"/>
    <w:rsid w:val="00785EC0"/>
    <w:rsid w:val="0078661E"/>
    <w:rsid w:val="0078667C"/>
    <w:rsid w:val="00786925"/>
    <w:rsid w:val="00786CCE"/>
    <w:rsid w:val="00787310"/>
    <w:rsid w:val="00787628"/>
    <w:rsid w:val="00787994"/>
    <w:rsid w:val="00787DBD"/>
    <w:rsid w:val="00790413"/>
    <w:rsid w:val="00790763"/>
    <w:rsid w:val="00790889"/>
    <w:rsid w:val="00790A1F"/>
    <w:rsid w:val="00790FDD"/>
    <w:rsid w:val="007913DA"/>
    <w:rsid w:val="00791525"/>
    <w:rsid w:val="00791B9E"/>
    <w:rsid w:val="00792957"/>
    <w:rsid w:val="007935E1"/>
    <w:rsid w:val="007939DF"/>
    <w:rsid w:val="00793CA9"/>
    <w:rsid w:val="00794567"/>
    <w:rsid w:val="00794D36"/>
    <w:rsid w:val="007953AE"/>
    <w:rsid w:val="007954BD"/>
    <w:rsid w:val="00795507"/>
    <w:rsid w:val="007957C4"/>
    <w:rsid w:val="00795BB0"/>
    <w:rsid w:val="00796142"/>
    <w:rsid w:val="0079691A"/>
    <w:rsid w:val="007971D9"/>
    <w:rsid w:val="007977D0"/>
    <w:rsid w:val="00797A20"/>
    <w:rsid w:val="007A0031"/>
    <w:rsid w:val="007A00EA"/>
    <w:rsid w:val="007A01B0"/>
    <w:rsid w:val="007A06AD"/>
    <w:rsid w:val="007A0A25"/>
    <w:rsid w:val="007A0A38"/>
    <w:rsid w:val="007A0B7E"/>
    <w:rsid w:val="007A0BC6"/>
    <w:rsid w:val="007A0DAB"/>
    <w:rsid w:val="007A0EE1"/>
    <w:rsid w:val="007A1139"/>
    <w:rsid w:val="007A144F"/>
    <w:rsid w:val="007A18EF"/>
    <w:rsid w:val="007A1912"/>
    <w:rsid w:val="007A1CB5"/>
    <w:rsid w:val="007A1FEE"/>
    <w:rsid w:val="007A238F"/>
    <w:rsid w:val="007A2B8D"/>
    <w:rsid w:val="007A3221"/>
    <w:rsid w:val="007A373A"/>
    <w:rsid w:val="007A444A"/>
    <w:rsid w:val="007A455B"/>
    <w:rsid w:val="007A4959"/>
    <w:rsid w:val="007A4AD5"/>
    <w:rsid w:val="007A4B6C"/>
    <w:rsid w:val="007A4C23"/>
    <w:rsid w:val="007A5ED6"/>
    <w:rsid w:val="007A5F9A"/>
    <w:rsid w:val="007A60C7"/>
    <w:rsid w:val="007A6F56"/>
    <w:rsid w:val="007A7168"/>
    <w:rsid w:val="007A788A"/>
    <w:rsid w:val="007A78A3"/>
    <w:rsid w:val="007A78AF"/>
    <w:rsid w:val="007A7CE3"/>
    <w:rsid w:val="007B021D"/>
    <w:rsid w:val="007B03D2"/>
    <w:rsid w:val="007B05AA"/>
    <w:rsid w:val="007B066C"/>
    <w:rsid w:val="007B068A"/>
    <w:rsid w:val="007B0899"/>
    <w:rsid w:val="007B096F"/>
    <w:rsid w:val="007B0C11"/>
    <w:rsid w:val="007B0C45"/>
    <w:rsid w:val="007B164C"/>
    <w:rsid w:val="007B188C"/>
    <w:rsid w:val="007B1989"/>
    <w:rsid w:val="007B19DC"/>
    <w:rsid w:val="007B1AA7"/>
    <w:rsid w:val="007B1AD1"/>
    <w:rsid w:val="007B1D42"/>
    <w:rsid w:val="007B1E24"/>
    <w:rsid w:val="007B1E2D"/>
    <w:rsid w:val="007B2030"/>
    <w:rsid w:val="007B21F8"/>
    <w:rsid w:val="007B2A43"/>
    <w:rsid w:val="007B32AC"/>
    <w:rsid w:val="007B335A"/>
    <w:rsid w:val="007B33C7"/>
    <w:rsid w:val="007B354C"/>
    <w:rsid w:val="007B3D3B"/>
    <w:rsid w:val="007B4449"/>
    <w:rsid w:val="007B4783"/>
    <w:rsid w:val="007B4B24"/>
    <w:rsid w:val="007B4CCC"/>
    <w:rsid w:val="007B5208"/>
    <w:rsid w:val="007B5941"/>
    <w:rsid w:val="007B59A6"/>
    <w:rsid w:val="007B5C73"/>
    <w:rsid w:val="007B60D5"/>
    <w:rsid w:val="007B6405"/>
    <w:rsid w:val="007B661D"/>
    <w:rsid w:val="007B66F9"/>
    <w:rsid w:val="007B6920"/>
    <w:rsid w:val="007B6955"/>
    <w:rsid w:val="007B6BB3"/>
    <w:rsid w:val="007B6F50"/>
    <w:rsid w:val="007B7584"/>
    <w:rsid w:val="007B7AB2"/>
    <w:rsid w:val="007B7B02"/>
    <w:rsid w:val="007C16B2"/>
    <w:rsid w:val="007C1A91"/>
    <w:rsid w:val="007C1E7A"/>
    <w:rsid w:val="007C2B83"/>
    <w:rsid w:val="007C38BA"/>
    <w:rsid w:val="007C3CA0"/>
    <w:rsid w:val="007C3D59"/>
    <w:rsid w:val="007C4C75"/>
    <w:rsid w:val="007C547C"/>
    <w:rsid w:val="007C54D1"/>
    <w:rsid w:val="007C5532"/>
    <w:rsid w:val="007C6208"/>
    <w:rsid w:val="007C66B6"/>
    <w:rsid w:val="007C701F"/>
    <w:rsid w:val="007C764A"/>
    <w:rsid w:val="007C7869"/>
    <w:rsid w:val="007C78E0"/>
    <w:rsid w:val="007C7AAA"/>
    <w:rsid w:val="007C7C1B"/>
    <w:rsid w:val="007C7FF3"/>
    <w:rsid w:val="007D0426"/>
    <w:rsid w:val="007D0A20"/>
    <w:rsid w:val="007D0A6B"/>
    <w:rsid w:val="007D0C86"/>
    <w:rsid w:val="007D1020"/>
    <w:rsid w:val="007D1168"/>
    <w:rsid w:val="007D1182"/>
    <w:rsid w:val="007D1C58"/>
    <w:rsid w:val="007D1EDF"/>
    <w:rsid w:val="007D27FE"/>
    <w:rsid w:val="007D2A9C"/>
    <w:rsid w:val="007D30A9"/>
    <w:rsid w:val="007D30FC"/>
    <w:rsid w:val="007D36C5"/>
    <w:rsid w:val="007D3D5E"/>
    <w:rsid w:val="007D405B"/>
    <w:rsid w:val="007D418D"/>
    <w:rsid w:val="007D41EA"/>
    <w:rsid w:val="007D4213"/>
    <w:rsid w:val="007D435A"/>
    <w:rsid w:val="007D43D8"/>
    <w:rsid w:val="007D459D"/>
    <w:rsid w:val="007D4BE7"/>
    <w:rsid w:val="007D50E3"/>
    <w:rsid w:val="007D52B8"/>
    <w:rsid w:val="007D52D1"/>
    <w:rsid w:val="007D5599"/>
    <w:rsid w:val="007D6646"/>
    <w:rsid w:val="007D6B9F"/>
    <w:rsid w:val="007D7570"/>
    <w:rsid w:val="007D78EB"/>
    <w:rsid w:val="007D7D59"/>
    <w:rsid w:val="007D7DAF"/>
    <w:rsid w:val="007D7E52"/>
    <w:rsid w:val="007E02D9"/>
    <w:rsid w:val="007E04B8"/>
    <w:rsid w:val="007E0AB9"/>
    <w:rsid w:val="007E0E76"/>
    <w:rsid w:val="007E0F02"/>
    <w:rsid w:val="007E112F"/>
    <w:rsid w:val="007E1600"/>
    <w:rsid w:val="007E16C9"/>
    <w:rsid w:val="007E1F91"/>
    <w:rsid w:val="007E2696"/>
    <w:rsid w:val="007E28FC"/>
    <w:rsid w:val="007E29C6"/>
    <w:rsid w:val="007E2CB2"/>
    <w:rsid w:val="007E36A7"/>
    <w:rsid w:val="007E3EBB"/>
    <w:rsid w:val="007E3EDF"/>
    <w:rsid w:val="007E4126"/>
    <w:rsid w:val="007E43C5"/>
    <w:rsid w:val="007E50AD"/>
    <w:rsid w:val="007E511F"/>
    <w:rsid w:val="007E56CE"/>
    <w:rsid w:val="007E5743"/>
    <w:rsid w:val="007E5F0A"/>
    <w:rsid w:val="007E5FEC"/>
    <w:rsid w:val="007E6173"/>
    <w:rsid w:val="007E6404"/>
    <w:rsid w:val="007E6F16"/>
    <w:rsid w:val="007E77B2"/>
    <w:rsid w:val="007E7A58"/>
    <w:rsid w:val="007E7B0A"/>
    <w:rsid w:val="007E7CE4"/>
    <w:rsid w:val="007F0797"/>
    <w:rsid w:val="007F0990"/>
    <w:rsid w:val="007F1416"/>
    <w:rsid w:val="007F178D"/>
    <w:rsid w:val="007F19FA"/>
    <w:rsid w:val="007F1BD8"/>
    <w:rsid w:val="007F2258"/>
    <w:rsid w:val="007F22F2"/>
    <w:rsid w:val="007F26D4"/>
    <w:rsid w:val="007F29DF"/>
    <w:rsid w:val="007F2C07"/>
    <w:rsid w:val="007F2FB2"/>
    <w:rsid w:val="007F339D"/>
    <w:rsid w:val="007F33E4"/>
    <w:rsid w:val="007F3934"/>
    <w:rsid w:val="007F39EF"/>
    <w:rsid w:val="007F3F50"/>
    <w:rsid w:val="007F4AF5"/>
    <w:rsid w:val="007F4DB3"/>
    <w:rsid w:val="007F5100"/>
    <w:rsid w:val="007F5136"/>
    <w:rsid w:val="007F5CBD"/>
    <w:rsid w:val="007F5DAF"/>
    <w:rsid w:val="007F607D"/>
    <w:rsid w:val="007F677E"/>
    <w:rsid w:val="007F68D6"/>
    <w:rsid w:val="007F7387"/>
    <w:rsid w:val="007F7645"/>
    <w:rsid w:val="007F7754"/>
    <w:rsid w:val="007F7A1B"/>
    <w:rsid w:val="007F7D1F"/>
    <w:rsid w:val="008002B4"/>
    <w:rsid w:val="008006D2"/>
    <w:rsid w:val="008006F4"/>
    <w:rsid w:val="00800A1D"/>
    <w:rsid w:val="00800A9D"/>
    <w:rsid w:val="00801626"/>
    <w:rsid w:val="00801721"/>
    <w:rsid w:val="008018ED"/>
    <w:rsid w:val="00801DE1"/>
    <w:rsid w:val="00802784"/>
    <w:rsid w:val="00802B5E"/>
    <w:rsid w:val="00802D71"/>
    <w:rsid w:val="00802F5D"/>
    <w:rsid w:val="00802FDC"/>
    <w:rsid w:val="008034FF"/>
    <w:rsid w:val="008037A2"/>
    <w:rsid w:val="00804C84"/>
    <w:rsid w:val="00804DA6"/>
    <w:rsid w:val="00804DBC"/>
    <w:rsid w:val="008052E5"/>
    <w:rsid w:val="00805446"/>
    <w:rsid w:val="008059BC"/>
    <w:rsid w:val="00805AE8"/>
    <w:rsid w:val="00805EFB"/>
    <w:rsid w:val="00805EFF"/>
    <w:rsid w:val="008063A0"/>
    <w:rsid w:val="008068F4"/>
    <w:rsid w:val="008069BE"/>
    <w:rsid w:val="00806BE7"/>
    <w:rsid w:val="00806CC6"/>
    <w:rsid w:val="00806E7F"/>
    <w:rsid w:val="00807270"/>
    <w:rsid w:val="0080776B"/>
    <w:rsid w:val="00807A44"/>
    <w:rsid w:val="00807C73"/>
    <w:rsid w:val="00807E89"/>
    <w:rsid w:val="0081038E"/>
    <w:rsid w:val="008108A4"/>
    <w:rsid w:val="00810AF1"/>
    <w:rsid w:val="00810CFD"/>
    <w:rsid w:val="00810DAD"/>
    <w:rsid w:val="00810E32"/>
    <w:rsid w:val="008114EA"/>
    <w:rsid w:val="00811DFB"/>
    <w:rsid w:val="00811F79"/>
    <w:rsid w:val="00812378"/>
    <w:rsid w:val="008124A0"/>
    <w:rsid w:val="008124AC"/>
    <w:rsid w:val="00812BB7"/>
    <w:rsid w:val="00812F9E"/>
    <w:rsid w:val="0081330A"/>
    <w:rsid w:val="00813F00"/>
    <w:rsid w:val="008140C1"/>
    <w:rsid w:val="00814435"/>
    <w:rsid w:val="00814906"/>
    <w:rsid w:val="00814E60"/>
    <w:rsid w:val="008153D1"/>
    <w:rsid w:val="00815B1C"/>
    <w:rsid w:val="008163A4"/>
    <w:rsid w:val="00816448"/>
    <w:rsid w:val="008166C8"/>
    <w:rsid w:val="008169CB"/>
    <w:rsid w:val="00816D80"/>
    <w:rsid w:val="00817358"/>
    <w:rsid w:val="0081735F"/>
    <w:rsid w:val="00817CA5"/>
    <w:rsid w:val="00817DE8"/>
    <w:rsid w:val="00817E88"/>
    <w:rsid w:val="00817EB0"/>
    <w:rsid w:val="00820200"/>
    <w:rsid w:val="008203BF"/>
    <w:rsid w:val="00820A53"/>
    <w:rsid w:val="0082111E"/>
    <w:rsid w:val="00821359"/>
    <w:rsid w:val="008213AC"/>
    <w:rsid w:val="00821429"/>
    <w:rsid w:val="0082169E"/>
    <w:rsid w:val="00821D05"/>
    <w:rsid w:val="0082212F"/>
    <w:rsid w:val="00822834"/>
    <w:rsid w:val="00822D48"/>
    <w:rsid w:val="00823200"/>
    <w:rsid w:val="008232C1"/>
    <w:rsid w:val="008236D4"/>
    <w:rsid w:val="00823C80"/>
    <w:rsid w:val="008246E4"/>
    <w:rsid w:val="0082537B"/>
    <w:rsid w:val="008255F7"/>
    <w:rsid w:val="00826048"/>
    <w:rsid w:val="008260BF"/>
    <w:rsid w:val="008263D2"/>
    <w:rsid w:val="00826626"/>
    <w:rsid w:val="00826961"/>
    <w:rsid w:val="008269D9"/>
    <w:rsid w:val="008301B2"/>
    <w:rsid w:val="0083063F"/>
    <w:rsid w:val="00830AAC"/>
    <w:rsid w:val="00830F30"/>
    <w:rsid w:val="00831079"/>
    <w:rsid w:val="008317EF"/>
    <w:rsid w:val="008319AD"/>
    <w:rsid w:val="00831C67"/>
    <w:rsid w:val="00832060"/>
    <w:rsid w:val="00832181"/>
    <w:rsid w:val="00832423"/>
    <w:rsid w:val="008324C4"/>
    <w:rsid w:val="0083254B"/>
    <w:rsid w:val="00832930"/>
    <w:rsid w:val="00832E76"/>
    <w:rsid w:val="00833237"/>
    <w:rsid w:val="00833BB1"/>
    <w:rsid w:val="00833CC6"/>
    <w:rsid w:val="00833D2E"/>
    <w:rsid w:val="00834513"/>
    <w:rsid w:val="00834829"/>
    <w:rsid w:val="00834F40"/>
    <w:rsid w:val="008364A9"/>
    <w:rsid w:val="00836911"/>
    <w:rsid w:val="00836BAA"/>
    <w:rsid w:val="00836C82"/>
    <w:rsid w:val="00836F2B"/>
    <w:rsid w:val="00837060"/>
    <w:rsid w:val="008376C9"/>
    <w:rsid w:val="00837ABB"/>
    <w:rsid w:val="00837E35"/>
    <w:rsid w:val="00840012"/>
    <w:rsid w:val="008404C9"/>
    <w:rsid w:val="00840D9F"/>
    <w:rsid w:val="0084175F"/>
    <w:rsid w:val="00841BA4"/>
    <w:rsid w:val="00841BC5"/>
    <w:rsid w:val="00841CFD"/>
    <w:rsid w:val="00841F4E"/>
    <w:rsid w:val="008423A4"/>
    <w:rsid w:val="00842416"/>
    <w:rsid w:val="008427EE"/>
    <w:rsid w:val="00842DC5"/>
    <w:rsid w:val="00843425"/>
    <w:rsid w:val="00843501"/>
    <w:rsid w:val="00843589"/>
    <w:rsid w:val="00843825"/>
    <w:rsid w:val="00843E30"/>
    <w:rsid w:val="00843FAF"/>
    <w:rsid w:val="0084443F"/>
    <w:rsid w:val="008444C4"/>
    <w:rsid w:val="00844865"/>
    <w:rsid w:val="008448F7"/>
    <w:rsid w:val="00844906"/>
    <w:rsid w:val="00844C0B"/>
    <w:rsid w:val="00844EE9"/>
    <w:rsid w:val="00845E44"/>
    <w:rsid w:val="00846659"/>
    <w:rsid w:val="008469F3"/>
    <w:rsid w:val="00846C27"/>
    <w:rsid w:val="0084761E"/>
    <w:rsid w:val="008478BE"/>
    <w:rsid w:val="00847A98"/>
    <w:rsid w:val="00847D53"/>
    <w:rsid w:val="00847E89"/>
    <w:rsid w:val="0085113B"/>
    <w:rsid w:val="008511AC"/>
    <w:rsid w:val="0085142B"/>
    <w:rsid w:val="00851523"/>
    <w:rsid w:val="00851AB2"/>
    <w:rsid w:val="00851C7B"/>
    <w:rsid w:val="00851EE6"/>
    <w:rsid w:val="00852196"/>
    <w:rsid w:val="00852380"/>
    <w:rsid w:val="00852E58"/>
    <w:rsid w:val="00852FDE"/>
    <w:rsid w:val="00853690"/>
    <w:rsid w:val="008536C7"/>
    <w:rsid w:val="00853F0E"/>
    <w:rsid w:val="00853F2E"/>
    <w:rsid w:val="00854B98"/>
    <w:rsid w:val="008550DA"/>
    <w:rsid w:val="00855250"/>
    <w:rsid w:val="008554DD"/>
    <w:rsid w:val="00855511"/>
    <w:rsid w:val="00856242"/>
    <w:rsid w:val="00856A09"/>
    <w:rsid w:val="00856A19"/>
    <w:rsid w:val="00856C78"/>
    <w:rsid w:val="00856CB7"/>
    <w:rsid w:val="00856D8E"/>
    <w:rsid w:val="00857124"/>
    <w:rsid w:val="008571ED"/>
    <w:rsid w:val="0085734E"/>
    <w:rsid w:val="008576D1"/>
    <w:rsid w:val="008576DC"/>
    <w:rsid w:val="00857847"/>
    <w:rsid w:val="00857B0C"/>
    <w:rsid w:val="00860064"/>
    <w:rsid w:val="00860459"/>
    <w:rsid w:val="00861098"/>
    <w:rsid w:val="00861B48"/>
    <w:rsid w:val="00861EAC"/>
    <w:rsid w:val="00862049"/>
    <w:rsid w:val="00862468"/>
    <w:rsid w:val="00862D62"/>
    <w:rsid w:val="00862D8E"/>
    <w:rsid w:val="00863332"/>
    <w:rsid w:val="00863665"/>
    <w:rsid w:val="00863C10"/>
    <w:rsid w:val="00864BFC"/>
    <w:rsid w:val="00864C28"/>
    <w:rsid w:val="00864DA3"/>
    <w:rsid w:val="0086505E"/>
    <w:rsid w:val="00865DB5"/>
    <w:rsid w:val="00865F18"/>
    <w:rsid w:val="00866164"/>
    <w:rsid w:val="0086698C"/>
    <w:rsid w:val="00866D76"/>
    <w:rsid w:val="008670EC"/>
    <w:rsid w:val="00867E76"/>
    <w:rsid w:val="00867EA4"/>
    <w:rsid w:val="00870145"/>
    <w:rsid w:val="00870497"/>
    <w:rsid w:val="008708AC"/>
    <w:rsid w:val="00870AEC"/>
    <w:rsid w:val="00870BD2"/>
    <w:rsid w:val="00870FE8"/>
    <w:rsid w:val="00871226"/>
    <w:rsid w:val="00871643"/>
    <w:rsid w:val="00871723"/>
    <w:rsid w:val="008718F6"/>
    <w:rsid w:val="00871B31"/>
    <w:rsid w:val="00872735"/>
    <w:rsid w:val="008728A7"/>
    <w:rsid w:val="0087296B"/>
    <w:rsid w:val="00872B1C"/>
    <w:rsid w:val="008730A6"/>
    <w:rsid w:val="0087329E"/>
    <w:rsid w:val="0087376E"/>
    <w:rsid w:val="00873921"/>
    <w:rsid w:val="008739D5"/>
    <w:rsid w:val="00873B34"/>
    <w:rsid w:val="0087428A"/>
    <w:rsid w:val="00874814"/>
    <w:rsid w:val="00874F64"/>
    <w:rsid w:val="008753CD"/>
    <w:rsid w:val="008758FE"/>
    <w:rsid w:val="00875E14"/>
    <w:rsid w:val="00875E93"/>
    <w:rsid w:val="00875FF5"/>
    <w:rsid w:val="0087642E"/>
    <w:rsid w:val="00876749"/>
    <w:rsid w:val="00876790"/>
    <w:rsid w:val="00876CCE"/>
    <w:rsid w:val="00876E62"/>
    <w:rsid w:val="00880AE0"/>
    <w:rsid w:val="00880CCA"/>
    <w:rsid w:val="00880CDB"/>
    <w:rsid w:val="00880EC7"/>
    <w:rsid w:val="008819B2"/>
    <w:rsid w:val="00881F73"/>
    <w:rsid w:val="00882649"/>
    <w:rsid w:val="00882740"/>
    <w:rsid w:val="00882846"/>
    <w:rsid w:val="00882FB6"/>
    <w:rsid w:val="008833DF"/>
    <w:rsid w:val="0088359C"/>
    <w:rsid w:val="0088368B"/>
    <w:rsid w:val="00884232"/>
    <w:rsid w:val="008846C8"/>
    <w:rsid w:val="00885083"/>
    <w:rsid w:val="00885423"/>
    <w:rsid w:val="00885B66"/>
    <w:rsid w:val="00885CAA"/>
    <w:rsid w:val="0088641D"/>
    <w:rsid w:val="00886E39"/>
    <w:rsid w:val="0088732C"/>
    <w:rsid w:val="008874A9"/>
    <w:rsid w:val="00887A5F"/>
    <w:rsid w:val="00887BCB"/>
    <w:rsid w:val="00887F49"/>
    <w:rsid w:val="00890CD0"/>
    <w:rsid w:val="00891998"/>
    <w:rsid w:val="008920D7"/>
    <w:rsid w:val="008925EF"/>
    <w:rsid w:val="00892AB0"/>
    <w:rsid w:val="00892CF2"/>
    <w:rsid w:val="00892FC7"/>
    <w:rsid w:val="00893078"/>
    <w:rsid w:val="00894A6B"/>
    <w:rsid w:val="00894A9A"/>
    <w:rsid w:val="00894AE9"/>
    <w:rsid w:val="00894BCD"/>
    <w:rsid w:val="00894DDF"/>
    <w:rsid w:val="008956CE"/>
    <w:rsid w:val="00895884"/>
    <w:rsid w:val="00895F94"/>
    <w:rsid w:val="008963C9"/>
    <w:rsid w:val="00896A8A"/>
    <w:rsid w:val="00896B44"/>
    <w:rsid w:val="00897CB8"/>
    <w:rsid w:val="00897EE4"/>
    <w:rsid w:val="008A010B"/>
    <w:rsid w:val="008A055F"/>
    <w:rsid w:val="008A063D"/>
    <w:rsid w:val="008A06C5"/>
    <w:rsid w:val="008A0799"/>
    <w:rsid w:val="008A098C"/>
    <w:rsid w:val="008A0BD5"/>
    <w:rsid w:val="008A11E4"/>
    <w:rsid w:val="008A12E4"/>
    <w:rsid w:val="008A16AC"/>
    <w:rsid w:val="008A17F2"/>
    <w:rsid w:val="008A1BA6"/>
    <w:rsid w:val="008A1E36"/>
    <w:rsid w:val="008A28B4"/>
    <w:rsid w:val="008A2A05"/>
    <w:rsid w:val="008A2C64"/>
    <w:rsid w:val="008A30AE"/>
    <w:rsid w:val="008A3643"/>
    <w:rsid w:val="008A3678"/>
    <w:rsid w:val="008A36A2"/>
    <w:rsid w:val="008A372C"/>
    <w:rsid w:val="008A3831"/>
    <w:rsid w:val="008A3B1C"/>
    <w:rsid w:val="008A3CEB"/>
    <w:rsid w:val="008A4010"/>
    <w:rsid w:val="008A4311"/>
    <w:rsid w:val="008A496F"/>
    <w:rsid w:val="008A4A90"/>
    <w:rsid w:val="008A4CBC"/>
    <w:rsid w:val="008A5417"/>
    <w:rsid w:val="008A6193"/>
    <w:rsid w:val="008A660C"/>
    <w:rsid w:val="008A663E"/>
    <w:rsid w:val="008A6BD8"/>
    <w:rsid w:val="008A6E0D"/>
    <w:rsid w:val="008A7E90"/>
    <w:rsid w:val="008B05E6"/>
    <w:rsid w:val="008B0685"/>
    <w:rsid w:val="008B0867"/>
    <w:rsid w:val="008B1334"/>
    <w:rsid w:val="008B159D"/>
    <w:rsid w:val="008B15F7"/>
    <w:rsid w:val="008B1BCB"/>
    <w:rsid w:val="008B1EBF"/>
    <w:rsid w:val="008B23A7"/>
    <w:rsid w:val="008B2BA3"/>
    <w:rsid w:val="008B2D04"/>
    <w:rsid w:val="008B2DB4"/>
    <w:rsid w:val="008B2E5D"/>
    <w:rsid w:val="008B2F06"/>
    <w:rsid w:val="008B3482"/>
    <w:rsid w:val="008B3899"/>
    <w:rsid w:val="008B3B46"/>
    <w:rsid w:val="008B4107"/>
    <w:rsid w:val="008B41A6"/>
    <w:rsid w:val="008B44BB"/>
    <w:rsid w:val="008B4596"/>
    <w:rsid w:val="008B4C7A"/>
    <w:rsid w:val="008B4E2C"/>
    <w:rsid w:val="008B52F6"/>
    <w:rsid w:val="008B54C5"/>
    <w:rsid w:val="008B5523"/>
    <w:rsid w:val="008B5BA2"/>
    <w:rsid w:val="008B5DC6"/>
    <w:rsid w:val="008B60C3"/>
    <w:rsid w:val="008B61C9"/>
    <w:rsid w:val="008B629B"/>
    <w:rsid w:val="008B6789"/>
    <w:rsid w:val="008B6A37"/>
    <w:rsid w:val="008B7524"/>
    <w:rsid w:val="008C013B"/>
    <w:rsid w:val="008C0694"/>
    <w:rsid w:val="008C079F"/>
    <w:rsid w:val="008C0C93"/>
    <w:rsid w:val="008C115C"/>
    <w:rsid w:val="008C11EC"/>
    <w:rsid w:val="008C12B9"/>
    <w:rsid w:val="008C1478"/>
    <w:rsid w:val="008C1816"/>
    <w:rsid w:val="008C1A34"/>
    <w:rsid w:val="008C1B5B"/>
    <w:rsid w:val="008C2318"/>
    <w:rsid w:val="008C23CE"/>
    <w:rsid w:val="008C2690"/>
    <w:rsid w:val="008C35A5"/>
    <w:rsid w:val="008C3677"/>
    <w:rsid w:val="008C3B36"/>
    <w:rsid w:val="008C3CFC"/>
    <w:rsid w:val="008C4D8C"/>
    <w:rsid w:val="008C4DC6"/>
    <w:rsid w:val="008C5399"/>
    <w:rsid w:val="008C53FC"/>
    <w:rsid w:val="008C578B"/>
    <w:rsid w:val="008C5CDD"/>
    <w:rsid w:val="008C6032"/>
    <w:rsid w:val="008C606E"/>
    <w:rsid w:val="008C60AE"/>
    <w:rsid w:val="008C6FF1"/>
    <w:rsid w:val="008C7068"/>
    <w:rsid w:val="008C72E6"/>
    <w:rsid w:val="008C7349"/>
    <w:rsid w:val="008C7D57"/>
    <w:rsid w:val="008C7E27"/>
    <w:rsid w:val="008D08A1"/>
    <w:rsid w:val="008D1138"/>
    <w:rsid w:val="008D147A"/>
    <w:rsid w:val="008D1C93"/>
    <w:rsid w:val="008D1C9A"/>
    <w:rsid w:val="008D1E50"/>
    <w:rsid w:val="008D2219"/>
    <w:rsid w:val="008D2705"/>
    <w:rsid w:val="008D3545"/>
    <w:rsid w:val="008D366E"/>
    <w:rsid w:val="008D3C9B"/>
    <w:rsid w:val="008D3DAC"/>
    <w:rsid w:val="008D4001"/>
    <w:rsid w:val="008D434B"/>
    <w:rsid w:val="008D44BB"/>
    <w:rsid w:val="008D477D"/>
    <w:rsid w:val="008D4BA7"/>
    <w:rsid w:val="008D55BA"/>
    <w:rsid w:val="008D56DC"/>
    <w:rsid w:val="008D5765"/>
    <w:rsid w:val="008D5ACE"/>
    <w:rsid w:val="008D6015"/>
    <w:rsid w:val="008D61EA"/>
    <w:rsid w:val="008D61EF"/>
    <w:rsid w:val="008D65B7"/>
    <w:rsid w:val="008D68BA"/>
    <w:rsid w:val="008D6ABC"/>
    <w:rsid w:val="008D6B2E"/>
    <w:rsid w:val="008D76E8"/>
    <w:rsid w:val="008D790D"/>
    <w:rsid w:val="008D7CC6"/>
    <w:rsid w:val="008D7FA2"/>
    <w:rsid w:val="008E0120"/>
    <w:rsid w:val="008E01EA"/>
    <w:rsid w:val="008E0312"/>
    <w:rsid w:val="008E0AED"/>
    <w:rsid w:val="008E1274"/>
    <w:rsid w:val="008E133E"/>
    <w:rsid w:val="008E1491"/>
    <w:rsid w:val="008E1D4E"/>
    <w:rsid w:val="008E1D52"/>
    <w:rsid w:val="008E2C45"/>
    <w:rsid w:val="008E2CC3"/>
    <w:rsid w:val="008E337E"/>
    <w:rsid w:val="008E35BB"/>
    <w:rsid w:val="008E372F"/>
    <w:rsid w:val="008E3D6F"/>
    <w:rsid w:val="008E4663"/>
    <w:rsid w:val="008E4920"/>
    <w:rsid w:val="008E4A2D"/>
    <w:rsid w:val="008E4CFA"/>
    <w:rsid w:val="008E4D6E"/>
    <w:rsid w:val="008E4F19"/>
    <w:rsid w:val="008E5090"/>
    <w:rsid w:val="008E5810"/>
    <w:rsid w:val="008E5B91"/>
    <w:rsid w:val="008E5E32"/>
    <w:rsid w:val="008E5F04"/>
    <w:rsid w:val="008E61CD"/>
    <w:rsid w:val="008E6740"/>
    <w:rsid w:val="008E6AAA"/>
    <w:rsid w:val="008E6DC5"/>
    <w:rsid w:val="008E6E3A"/>
    <w:rsid w:val="008E7357"/>
    <w:rsid w:val="008E76DD"/>
    <w:rsid w:val="008E7B48"/>
    <w:rsid w:val="008F00AF"/>
    <w:rsid w:val="008F0A11"/>
    <w:rsid w:val="008F0B9C"/>
    <w:rsid w:val="008F115B"/>
    <w:rsid w:val="008F1260"/>
    <w:rsid w:val="008F1F26"/>
    <w:rsid w:val="008F228F"/>
    <w:rsid w:val="008F2372"/>
    <w:rsid w:val="008F2542"/>
    <w:rsid w:val="008F257F"/>
    <w:rsid w:val="008F2EE6"/>
    <w:rsid w:val="008F39D5"/>
    <w:rsid w:val="008F39F7"/>
    <w:rsid w:val="008F3E3D"/>
    <w:rsid w:val="008F496C"/>
    <w:rsid w:val="008F4B66"/>
    <w:rsid w:val="008F4C48"/>
    <w:rsid w:val="008F4EF4"/>
    <w:rsid w:val="008F5067"/>
    <w:rsid w:val="008F5366"/>
    <w:rsid w:val="008F570C"/>
    <w:rsid w:val="008F5DE6"/>
    <w:rsid w:val="008F5E91"/>
    <w:rsid w:val="008F6152"/>
    <w:rsid w:val="008F68B1"/>
    <w:rsid w:val="008F7078"/>
    <w:rsid w:val="008F77C1"/>
    <w:rsid w:val="008F78C8"/>
    <w:rsid w:val="008F7AA6"/>
    <w:rsid w:val="008F7D55"/>
    <w:rsid w:val="009010A5"/>
    <w:rsid w:val="00901703"/>
    <w:rsid w:val="00901C89"/>
    <w:rsid w:val="00901D09"/>
    <w:rsid w:val="0090206F"/>
    <w:rsid w:val="00902283"/>
    <w:rsid w:val="00902384"/>
    <w:rsid w:val="009025F0"/>
    <w:rsid w:val="00902753"/>
    <w:rsid w:val="00902FE1"/>
    <w:rsid w:val="0090303C"/>
    <w:rsid w:val="009035DF"/>
    <w:rsid w:val="00903883"/>
    <w:rsid w:val="00903C84"/>
    <w:rsid w:val="0090451F"/>
    <w:rsid w:val="00905029"/>
    <w:rsid w:val="009052B0"/>
    <w:rsid w:val="0090555C"/>
    <w:rsid w:val="00905E43"/>
    <w:rsid w:val="00906063"/>
    <w:rsid w:val="0090606C"/>
    <w:rsid w:val="009069C6"/>
    <w:rsid w:val="009069D2"/>
    <w:rsid w:val="00906B37"/>
    <w:rsid w:val="00906B3E"/>
    <w:rsid w:val="00906BA9"/>
    <w:rsid w:val="00906C05"/>
    <w:rsid w:val="009075AF"/>
    <w:rsid w:val="0090763B"/>
    <w:rsid w:val="00907C44"/>
    <w:rsid w:val="00911917"/>
    <w:rsid w:val="009119E9"/>
    <w:rsid w:val="00911CBF"/>
    <w:rsid w:val="00911F18"/>
    <w:rsid w:val="00912543"/>
    <w:rsid w:val="00912617"/>
    <w:rsid w:val="009129BA"/>
    <w:rsid w:val="00912D62"/>
    <w:rsid w:val="00912DAF"/>
    <w:rsid w:val="00912FCD"/>
    <w:rsid w:val="00913122"/>
    <w:rsid w:val="00913193"/>
    <w:rsid w:val="009134C0"/>
    <w:rsid w:val="00913600"/>
    <w:rsid w:val="0091377B"/>
    <w:rsid w:val="00913E95"/>
    <w:rsid w:val="009152B7"/>
    <w:rsid w:val="00915515"/>
    <w:rsid w:val="00915BC3"/>
    <w:rsid w:val="00915C03"/>
    <w:rsid w:val="00915EFD"/>
    <w:rsid w:val="009162E6"/>
    <w:rsid w:val="009162FC"/>
    <w:rsid w:val="00916DD9"/>
    <w:rsid w:val="00916DDA"/>
    <w:rsid w:val="009170D7"/>
    <w:rsid w:val="009178AD"/>
    <w:rsid w:val="00917DA2"/>
    <w:rsid w:val="009202E3"/>
    <w:rsid w:val="00920469"/>
    <w:rsid w:val="00920501"/>
    <w:rsid w:val="00920B0C"/>
    <w:rsid w:val="00921147"/>
    <w:rsid w:val="009211D9"/>
    <w:rsid w:val="009211DB"/>
    <w:rsid w:val="009212B6"/>
    <w:rsid w:val="00921509"/>
    <w:rsid w:val="009219BD"/>
    <w:rsid w:val="0092217D"/>
    <w:rsid w:val="00923A6A"/>
    <w:rsid w:val="00923BAE"/>
    <w:rsid w:val="00923E8F"/>
    <w:rsid w:val="0092445A"/>
    <w:rsid w:val="00924490"/>
    <w:rsid w:val="009244D9"/>
    <w:rsid w:val="009245DF"/>
    <w:rsid w:val="00924745"/>
    <w:rsid w:val="00924B67"/>
    <w:rsid w:val="00925149"/>
    <w:rsid w:val="009252A1"/>
    <w:rsid w:val="0092564E"/>
    <w:rsid w:val="00925D94"/>
    <w:rsid w:val="00925DEF"/>
    <w:rsid w:val="00926B10"/>
    <w:rsid w:val="0092702A"/>
    <w:rsid w:val="00927ABC"/>
    <w:rsid w:val="00930957"/>
    <w:rsid w:val="00930A34"/>
    <w:rsid w:val="00931006"/>
    <w:rsid w:val="009313D8"/>
    <w:rsid w:val="009314E3"/>
    <w:rsid w:val="00931C5C"/>
    <w:rsid w:val="009323B3"/>
    <w:rsid w:val="00932640"/>
    <w:rsid w:val="009326E9"/>
    <w:rsid w:val="00932C40"/>
    <w:rsid w:val="00932E02"/>
    <w:rsid w:val="00932F71"/>
    <w:rsid w:val="0093367D"/>
    <w:rsid w:val="009336C5"/>
    <w:rsid w:val="00933AB1"/>
    <w:rsid w:val="009351D8"/>
    <w:rsid w:val="0093539D"/>
    <w:rsid w:val="0093544E"/>
    <w:rsid w:val="00935858"/>
    <w:rsid w:val="009359B0"/>
    <w:rsid w:val="00935DF9"/>
    <w:rsid w:val="009362C6"/>
    <w:rsid w:val="00936546"/>
    <w:rsid w:val="0093668E"/>
    <w:rsid w:val="00936F37"/>
    <w:rsid w:val="009372BC"/>
    <w:rsid w:val="00937AB1"/>
    <w:rsid w:val="00937BB4"/>
    <w:rsid w:val="00937BD3"/>
    <w:rsid w:val="00937DA5"/>
    <w:rsid w:val="00940B56"/>
    <w:rsid w:val="00940E5E"/>
    <w:rsid w:val="00940F1D"/>
    <w:rsid w:val="00940FA8"/>
    <w:rsid w:val="00942579"/>
    <w:rsid w:val="0094308F"/>
    <w:rsid w:val="0094316D"/>
    <w:rsid w:val="009433B4"/>
    <w:rsid w:val="009436F0"/>
    <w:rsid w:val="009437A6"/>
    <w:rsid w:val="00943C1D"/>
    <w:rsid w:val="00943E67"/>
    <w:rsid w:val="00943F71"/>
    <w:rsid w:val="009440EE"/>
    <w:rsid w:val="009445F7"/>
    <w:rsid w:val="009446F7"/>
    <w:rsid w:val="00944889"/>
    <w:rsid w:val="00944DF0"/>
    <w:rsid w:val="00945113"/>
    <w:rsid w:val="00945193"/>
    <w:rsid w:val="009453DA"/>
    <w:rsid w:val="009453F4"/>
    <w:rsid w:val="00945D30"/>
    <w:rsid w:val="00945FB3"/>
    <w:rsid w:val="00946B1B"/>
    <w:rsid w:val="009475A2"/>
    <w:rsid w:val="00947E38"/>
    <w:rsid w:val="00950373"/>
    <w:rsid w:val="00950B8A"/>
    <w:rsid w:val="00950B90"/>
    <w:rsid w:val="00950CD7"/>
    <w:rsid w:val="00950D1E"/>
    <w:rsid w:val="00951456"/>
    <w:rsid w:val="009514D9"/>
    <w:rsid w:val="0095208A"/>
    <w:rsid w:val="00952626"/>
    <w:rsid w:val="009526D0"/>
    <w:rsid w:val="00952701"/>
    <w:rsid w:val="0095290D"/>
    <w:rsid w:val="00952A1B"/>
    <w:rsid w:val="0095310E"/>
    <w:rsid w:val="009532B8"/>
    <w:rsid w:val="00953412"/>
    <w:rsid w:val="00953620"/>
    <w:rsid w:val="009542DF"/>
    <w:rsid w:val="009543C3"/>
    <w:rsid w:val="0095499A"/>
    <w:rsid w:val="00955240"/>
    <w:rsid w:val="00955391"/>
    <w:rsid w:val="00955E17"/>
    <w:rsid w:val="00956588"/>
    <w:rsid w:val="009565D5"/>
    <w:rsid w:val="00956F28"/>
    <w:rsid w:val="00957269"/>
    <w:rsid w:val="009575F0"/>
    <w:rsid w:val="00957B03"/>
    <w:rsid w:val="00957E5C"/>
    <w:rsid w:val="00960028"/>
    <w:rsid w:val="00960200"/>
    <w:rsid w:val="009602AB"/>
    <w:rsid w:val="0096043A"/>
    <w:rsid w:val="009604AA"/>
    <w:rsid w:val="00960534"/>
    <w:rsid w:val="0096059A"/>
    <w:rsid w:val="00960AAF"/>
    <w:rsid w:val="00960B97"/>
    <w:rsid w:val="00960BCE"/>
    <w:rsid w:val="009610F4"/>
    <w:rsid w:val="0096113F"/>
    <w:rsid w:val="00961698"/>
    <w:rsid w:val="0096196F"/>
    <w:rsid w:val="00962A51"/>
    <w:rsid w:val="00963008"/>
    <w:rsid w:val="00963084"/>
    <w:rsid w:val="00963774"/>
    <w:rsid w:val="00963E27"/>
    <w:rsid w:val="009642DC"/>
    <w:rsid w:val="00964605"/>
    <w:rsid w:val="00964861"/>
    <w:rsid w:val="00964E98"/>
    <w:rsid w:val="0096562B"/>
    <w:rsid w:val="009656D4"/>
    <w:rsid w:val="009657E7"/>
    <w:rsid w:val="00965C3A"/>
    <w:rsid w:val="00965CE9"/>
    <w:rsid w:val="0096619B"/>
    <w:rsid w:val="0096647A"/>
    <w:rsid w:val="00966490"/>
    <w:rsid w:val="00966568"/>
    <w:rsid w:val="0096662F"/>
    <w:rsid w:val="00966996"/>
    <w:rsid w:val="00966C50"/>
    <w:rsid w:val="00966E9D"/>
    <w:rsid w:val="0096763B"/>
    <w:rsid w:val="00967C5C"/>
    <w:rsid w:val="00970036"/>
    <w:rsid w:val="0097028A"/>
    <w:rsid w:val="0097034A"/>
    <w:rsid w:val="0097157E"/>
    <w:rsid w:val="00971D32"/>
    <w:rsid w:val="009723F8"/>
    <w:rsid w:val="00972489"/>
    <w:rsid w:val="0097282F"/>
    <w:rsid w:val="00973087"/>
    <w:rsid w:val="00973131"/>
    <w:rsid w:val="00973270"/>
    <w:rsid w:val="00973297"/>
    <w:rsid w:val="00973BE7"/>
    <w:rsid w:val="00973FD8"/>
    <w:rsid w:val="00974601"/>
    <w:rsid w:val="009747FA"/>
    <w:rsid w:val="00974FA0"/>
    <w:rsid w:val="00975643"/>
    <w:rsid w:val="009757C1"/>
    <w:rsid w:val="009759D7"/>
    <w:rsid w:val="00976287"/>
    <w:rsid w:val="00976333"/>
    <w:rsid w:val="009766E2"/>
    <w:rsid w:val="009767B7"/>
    <w:rsid w:val="009767D8"/>
    <w:rsid w:val="00976EA2"/>
    <w:rsid w:val="00977030"/>
    <w:rsid w:val="009770B3"/>
    <w:rsid w:val="0097725D"/>
    <w:rsid w:val="00977795"/>
    <w:rsid w:val="009777A7"/>
    <w:rsid w:val="00977A1B"/>
    <w:rsid w:val="00977FAC"/>
    <w:rsid w:val="00980013"/>
    <w:rsid w:val="0098036F"/>
    <w:rsid w:val="00981319"/>
    <w:rsid w:val="0098181B"/>
    <w:rsid w:val="009818C2"/>
    <w:rsid w:val="00981A04"/>
    <w:rsid w:val="00981ECD"/>
    <w:rsid w:val="00982536"/>
    <w:rsid w:val="00982C97"/>
    <w:rsid w:val="0098303A"/>
    <w:rsid w:val="00983145"/>
    <w:rsid w:val="0098359B"/>
    <w:rsid w:val="00983731"/>
    <w:rsid w:val="00983B32"/>
    <w:rsid w:val="00983EAD"/>
    <w:rsid w:val="009841CB"/>
    <w:rsid w:val="009844B6"/>
    <w:rsid w:val="00984BA1"/>
    <w:rsid w:val="009850DF"/>
    <w:rsid w:val="00985A54"/>
    <w:rsid w:val="00986526"/>
    <w:rsid w:val="009865E3"/>
    <w:rsid w:val="0098664B"/>
    <w:rsid w:val="00986AB0"/>
    <w:rsid w:val="00986AF8"/>
    <w:rsid w:val="00986C91"/>
    <w:rsid w:val="00986F20"/>
    <w:rsid w:val="0098703B"/>
    <w:rsid w:val="009872B7"/>
    <w:rsid w:val="00987762"/>
    <w:rsid w:val="00987B32"/>
    <w:rsid w:val="00987E60"/>
    <w:rsid w:val="009900C9"/>
    <w:rsid w:val="00990315"/>
    <w:rsid w:val="00990439"/>
    <w:rsid w:val="009905C4"/>
    <w:rsid w:val="009907B7"/>
    <w:rsid w:val="00990838"/>
    <w:rsid w:val="00990897"/>
    <w:rsid w:val="00990D05"/>
    <w:rsid w:val="00991816"/>
    <w:rsid w:val="00991A34"/>
    <w:rsid w:val="00991F44"/>
    <w:rsid w:val="00991F7E"/>
    <w:rsid w:val="009920D3"/>
    <w:rsid w:val="00992341"/>
    <w:rsid w:val="00992B54"/>
    <w:rsid w:val="0099316A"/>
    <w:rsid w:val="009937DB"/>
    <w:rsid w:val="00993965"/>
    <w:rsid w:val="00993BB6"/>
    <w:rsid w:val="009942AC"/>
    <w:rsid w:val="00994606"/>
    <w:rsid w:val="009946B7"/>
    <w:rsid w:val="00994B35"/>
    <w:rsid w:val="009953DF"/>
    <w:rsid w:val="009958F2"/>
    <w:rsid w:val="009959D1"/>
    <w:rsid w:val="00995C61"/>
    <w:rsid w:val="00995CA3"/>
    <w:rsid w:val="009960AD"/>
    <w:rsid w:val="00996681"/>
    <w:rsid w:val="00997306"/>
    <w:rsid w:val="00997313"/>
    <w:rsid w:val="009976CE"/>
    <w:rsid w:val="009976FA"/>
    <w:rsid w:val="0099792B"/>
    <w:rsid w:val="00997A55"/>
    <w:rsid w:val="00997DFF"/>
    <w:rsid w:val="00997E8D"/>
    <w:rsid w:val="009A004E"/>
    <w:rsid w:val="009A050B"/>
    <w:rsid w:val="009A06AC"/>
    <w:rsid w:val="009A0A55"/>
    <w:rsid w:val="009A0A8C"/>
    <w:rsid w:val="009A0B2C"/>
    <w:rsid w:val="009A11A7"/>
    <w:rsid w:val="009A1332"/>
    <w:rsid w:val="009A16FD"/>
    <w:rsid w:val="009A1A9D"/>
    <w:rsid w:val="009A21C7"/>
    <w:rsid w:val="009A2631"/>
    <w:rsid w:val="009A2C28"/>
    <w:rsid w:val="009A340A"/>
    <w:rsid w:val="009A355B"/>
    <w:rsid w:val="009A3C5F"/>
    <w:rsid w:val="009A3CA7"/>
    <w:rsid w:val="009A3CE7"/>
    <w:rsid w:val="009A3D1A"/>
    <w:rsid w:val="009A42B4"/>
    <w:rsid w:val="009A4BC2"/>
    <w:rsid w:val="009A5077"/>
    <w:rsid w:val="009A527F"/>
    <w:rsid w:val="009A5E16"/>
    <w:rsid w:val="009A60F1"/>
    <w:rsid w:val="009A6254"/>
    <w:rsid w:val="009A6437"/>
    <w:rsid w:val="009A6F0D"/>
    <w:rsid w:val="009A7253"/>
    <w:rsid w:val="009A7834"/>
    <w:rsid w:val="009A7C29"/>
    <w:rsid w:val="009B03B3"/>
    <w:rsid w:val="009B070C"/>
    <w:rsid w:val="009B0921"/>
    <w:rsid w:val="009B0A89"/>
    <w:rsid w:val="009B1090"/>
    <w:rsid w:val="009B10C2"/>
    <w:rsid w:val="009B115E"/>
    <w:rsid w:val="009B16E4"/>
    <w:rsid w:val="009B16ED"/>
    <w:rsid w:val="009B212F"/>
    <w:rsid w:val="009B23BA"/>
    <w:rsid w:val="009B284D"/>
    <w:rsid w:val="009B2A8A"/>
    <w:rsid w:val="009B2C9A"/>
    <w:rsid w:val="009B308C"/>
    <w:rsid w:val="009B341D"/>
    <w:rsid w:val="009B34D5"/>
    <w:rsid w:val="009B3A17"/>
    <w:rsid w:val="009B51C0"/>
    <w:rsid w:val="009B5A94"/>
    <w:rsid w:val="009B5B25"/>
    <w:rsid w:val="009B5B4D"/>
    <w:rsid w:val="009B5D7E"/>
    <w:rsid w:val="009B5DB6"/>
    <w:rsid w:val="009B65AB"/>
    <w:rsid w:val="009B68C1"/>
    <w:rsid w:val="009B6A58"/>
    <w:rsid w:val="009B794B"/>
    <w:rsid w:val="009B7E8C"/>
    <w:rsid w:val="009C01D3"/>
    <w:rsid w:val="009C0426"/>
    <w:rsid w:val="009C057F"/>
    <w:rsid w:val="009C09DE"/>
    <w:rsid w:val="009C0AB3"/>
    <w:rsid w:val="009C1027"/>
    <w:rsid w:val="009C17AC"/>
    <w:rsid w:val="009C1BD9"/>
    <w:rsid w:val="009C1FDC"/>
    <w:rsid w:val="009C2468"/>
    <w:rsid w:val="009C25EC"/>
    <w:rsid w:val="009C2EB2"/>
    <w:rsid w:val="009C2EE1"/>
    <w:rsid w:val="009C3921"/>
    <w:rsid w:val="009C48F1"/>
    <w:rsid w:val="009C4DF2"/>
    <w:rsid w:val="009C5046"/>
    <w:rsid w:val="009C571E"/>
    <w:rsid w:val="009C5908"/>
    <w:rsid w:val="009C6211"/>
    <w:rsid w:val="009C6A3F"/>
    <w:rsid w:val="009C6A74"/>
    <w:rsid w:val="009C7016"/>
    <w:rsid w:val="009C759B"/>
    <w:rsid w:val="009C7759"/>
    <w:rsid w:val="009C7788"/>
    <w:rsid w:val="009C7C0A"/>
    <w:rsid w:val="009C7DC5"/>
    <w:rsid w:val="009D0122"/>
    <w:rsid w:val="009D016A"/>
    <w:rsid w:val="009D089B"/>
    <w:rsid w:val="009D120F"/>
    <w:rsid w:val="009D1BDC"/>
    <w:rsid w:val="009D1F6F"/>
    <w:rsid w:val="009D204F"/>
    <w:rsid w:val="009D232E"/>
    <w:rsid w:val="009D2B72"/>
    <w:rsid w:val="009D2B8E"/>
    <w:rsid w:val="009D2F0E"/>
    <w:rsid w:val="009D3754"/>
    <w:rsid w:val="009D3B6B"/>
    <w:rsid w:val="009D3B88"/>
    <w:rsid w:val="009D40C1"/>
    <w:rsid w:val="009D41EA"/>
    <w:rsid w:val="009D4D9A"/>
    <w:rsid w:val="009D532C"/>
    <w:rsid w:val="009D575A"/>
    <w:rsid w:val="009D5D42"/>
    <w:rsid w:val="009D6523"/>
    <w:rsid w:val="009D686A"/>
    <w:rsid w:val="009D74CB"/>
    <w:rsid w:val="009D7800"/>
    <w:rsid w:val="009D79B5"/>
    <w:rsid w:val="009D7DBD"/>
    <w:rsid w:val="009E02ED"/>
    <w:rsid w:val="009E0363"/>
    <w:rsid w:val="009E059C"/>
    <w:rsid w:val="009E068B"/>
    <w:rsid w:val="009E0F04"/>
    <w:rsid w:val="009E1724"/>
    <w:rsid w:val="009E1D0A"/>
    <w:rsid w:val="009E1E46"/>
    <w:rsid w:val="009E2152"/>
    <w:rsid w:val="009E231E"/>
    <w:rsid w:val="009E2BD6"/>
    <w:rsid w:val="009E2DA5"/>
    <w:rsid w:val="009E313B"/>
    <w:rsid w:val="009E3617"/>
    <w:rsid w:val="009E37A1"/>
    <w:rsid w:val="009E38C1"/>
    <w:rsid w:val="009E4066"/>
    <w:rsid w:val="009E423A"/>
    <w:rsid w:val="009E4495"/>
    <w:rsid w:val="009E474A"/>
    <w:rsid w:val="009E48D5"/>
    <w:rsid w:val="009E4FAB"/>
    <w:rsid w:val="009E5920"/>
    <w:rsid w:val="009E59A5"/>
    <w:rsid w:val="009E5F88"/>
    <w:rsid w:val="009E6241"/>
    <w:rsid w:val="009E64D6"/>
    <w:rsid w:val="009E66ED"/>
    <w:rsid w:val="009E6710"/>
    <w:rsid w:val="009E6B2A"/>
    <w:rsid w:val="009E6F42"/>
    <w:rsid w:val="009E7066"/>
    <w:rsid w:val="009E7473"/>
    <w:rsid w:val="009F04B8"/>
    <w:rsid w:val="009F092F"/>
    <w:rsid w:val="009F1033"/>
    <w:rsid w:val="009F1E89"/>
    <w:rsid w:val="009F330C"/>
    <w:rsid w:val="009F35F7"/>
    <w:rsid w:val="009F38B0"/>
    <w:rsid w:val="009F3E5C"/>
    <w:rsid w:val="009F427D"/>
    <w:rsid w:val="009F4353"/>
    <w:rsid w:val="009F4DAA"/>
    <w:rsid w:val="009F4FC6"/>
    <w:rsid w:val="009F4FEB"/>
    <w:rsid w:val="009F5C02"/>
    <w:rsid w:val="009F6008"/>
    <w:rsid w:val="009F63C0"/>
    <w:rsid w:val="009F69FD"/>
    <w:rsid w:val="009F6A68"/>
    <w:rsid w:val="009F6CE1"/>
    <w:rsid w:val="009F6D83"/>
    <w:rsid w:val="009F72AB"/>
    <w:rsid w:val="009F72FC"/>
    <w:rsid w:val="009F7AEB"/>
    <w:rsid w:val="009F7D4E"/>
    <w:rsid w:val="009F7DF5"/>
    <w:rsid w:val="00A00114"/>
    <w:rsid w:val="00A00280"/>
    <w:rsid w:val="00A006BE"/>
    <w:rsid w:val="00A00825"/>
    <w:rsid w:val="00A0097A"/>
    <w:rsid w:val="00A00A88"/>
    <w:rsid w:val="00A00BB4"/>
    <w:rsid w:val="00A00C40"/>
    <w:rsid w:val="00A0150A"/>
    <w:rsid w:val="00A017C4"/>
    <w:rsid w:val="00A0197B"/>
    <w:rsid w:val="00A01B90"/>
    <w:rsid w:val="00A01F44"/>
    <w:rsid w:val="00A02597"/>
    <w:rsid w:val="00A02AD1"/>
    <w:rsid w:val="00A02B36"/>
    <w:rsid w:val="00A03084"/>
    <w:rsid w:val="00A0315C"/>
    <w:rsid w:val="00A0330C"/>
    <w:rsid w:val="00A03635"/>
    <w:rsid w:val="00A03B40"/>
    <w:rsid w:val="00A0446A"/>
    <w:rsid w:val="00A04646"/>
    <w:rsid w:val="00A0466F"/>
    <w:rsid w:val="00A04885"/>
    <w:rsid w:val="00A0493D"/>
    <w:rsid w:val="00A04A46"/>
    <w:rsid w:val="00A04BFC"/>
    <w:rsid w:val="00A0587B"/>
    <w:rsid w:val="00A05ABC"/>
    <w:rsid w:val="00A05B90"/>
    <w:rsid w:val="00A05E6C"/>
    <w:rsid w:val="00A0652F"/>
    <w:rsid w:val="00A06852"/>
    <w:rsid w:val="00A069E8"/>
    <w:rsid w:val="00A06DFB"/>
    <w:rsid w:val="00A070B9"/>
    <w:rsid w:val="00A07136"/>
    <w:rsid w:val="00A071F6"/>
    <w:rsid w:val="00A07479"/>
    <w:rsid w:val="00A0749F"/>
    <w:rsid w:val="00A0778A"/>
    <w:rsid w:val="00A077C9"/>
    <w:rsid w:val="00A078AD"/>
    <w:rsid w:val="00A07D0F"/>
    <w:rsid w:val="00A07F2A"/>
    <w:rsid w:val="00A10377"/>
    <w:rsid w:val="00A10C41"/>
    <w:rsid w:val="00A11D81"/>
    <w:rsid w:val="00A11DDC"/>
    <w:rsid w:val="00A120C1"/>
    <w:rsid w:val="00A12540"/>
    <w:rsid w:val="00A126F1"/>
    <w:rsid w:val="00A1299C"/>
    <w:rsid w:val="00A12A62"/>
    <w:rsid w:val="00A12E79"/>
    <w:rsid w:val="00A133DA"/>
    <w:rsid w:val="00A13615"/>
    <w:rsid w:val="00A1380A"/>
    <w:rsid w:val="00A13966"/>
    <w:rsid w:val="00A140C9"/>
    <w:rsid w:val="00A14378"/>
    <w:rsid w:val="00A143CA"/>
    <w:rsid w:val="00A148F5"/>
    <w:rsid w:val="00A14D0A"/>
    <w:rsid w:val="00A15801"/>
    <w:rsid w:val="00A15BF1"/>
    <w:rsid w:val="00A169D3"/>
    <w:rsid w:val="00A1752D"/>
    <w:rsid w:val="00A176D4"/>
    <w:rsid w:val="00A17783"/>
    <w:rsid w:val="00A17A6A"/>
    <w:rsid w:val="00A17ADB"/>
    <w:rsid w:val="00A17E90"/>
    <w:rsid w:val="00A207C5"/>
    <w:rsid w:val="00A20A04"/>
    <w:rsid w:val="00A211A1"/>
    <w:rsid w:val="00A21978"/>
    <w:rsid w:val="00A21B27"/>
    <w:rsid w:val="00A21FCE"/>
    <w:rsid w:val="00A221EB"/>
    <w:rsid w:val="00A22A42"/>
    <w:rsid w:val="00A22C92"/>
    <w:rsid w:val="00A233C4"/>
    <w:rsid w:val="00A2378A"/>
    <w:rsid w:val="00A24624"/>
    <w:rsid w:val="00A255B6"/>
    <w:rsid w:val="00A25FA8"/>
    <w:rsid w:val="00A26034"/>
    <w:rsid w:val="00A26374"/>
    <w:rsid w:val="00A2668C"/>
    <w:rsid w:val="00A26DFF"/>
    <w:rsid w:val="00A2702C"/>
    <w:rsid w:val="00A2741D"/>
    <w:rsid w:val="00A279EA"/>
    <w:rsid w:val="00A27D20"/>
    <w:rsid w:val="00A302FE"/>
    <w:rsid w:val="00A3080F"/>
    <w:rsid w:val="00A30F08"/>
    <w:rsid w:val="00A3106A"/>
    <w:rsid w:val="00A31231"/>
    <w:rsid w:val="00A313BD"/>
    <w:rsid w:val="00A315FB"/>
    <w:rsid w:val="00A3199A"/>
    <w:rsid w:val="00A31C8C"/>
    <w:rsid w:val="00A31EE0"/>
    <w:rsid w:val="00A320C4"/>
    <w:rsid w:val="00A32733"/>
    <w:rsid w:val="00A32982"/>
    <w:rsid w:val="00A32C7C"/>
    <w:rsid w:val="00A331BC"/>
    <w:rsid w:val="00A3351E"/>
    <w:rsid w:val="00A336AA"/>
    <w:rsid w:val="00A33A08"/>
    <w:rsid w:val="00A33E30"/>
    <w:rsid w:val="00A345B8"/>
    <w:rsid w:val="00A3462D"/>
    <w:rsid w:val="00A34E18"/>
    <w:rsid w:val="00A34F9A"/>
    <w:rsid w:val="00A35AC4"/>
    <w:rsid w:val="00A35FA0"/>
    <w:rsid w:val="00A36D65"/>
    <w:rsid w:val="00A36FE6"/>
    <w:rsid w:val="00A377DC"/>
    <w:rsid w:val="00A37900"/>
    <w:rsid w:val="00A37979"/>
    <w:rsid w:val="00A37E21"/>
    <w:rsid w:val="00A40530"/>
    <w:rsid w:val="00A40A67"/>
    <w:rsid w:val="00A414CC"/>
    <w:rsid w:val="00A414FE"/>
    <w:rsid w:val="00A415B7"/>
    <w:rsid w:val="00A41FB0"/>
    <w:rsid w:val="00A42028"/>
    <w:rsid w:val="00A4290B"/>
    <w:rsid w:val="00A42EFE"/>
    <w:rsid w:val="00A42FD5"/>
    <w:rsid w:val="00A4319D"/>
    <w:rsid w:val="00A4363A"/>
    <w:rsid w:val="00A4386C"/>
    <w:rsid w:val="00A43A8E"/>
    <w:rsid w:val="00A43C17"/>
    <w:rsid w:val="00A44005"/>
    <w:rsid w:val="00A443DA"/>
    <w:rsid w:val="00A4456C"/>
    <w:rsid w:val="00A44BC7"/>
    <w:rsid w:val="00A44CC0"/>
    <w:rsid w:val="00A4523F"/>
    <w:rsid w:val="00A454AE"/>
    <w:rsid w:val="00A45B14"/>
    <w:rsid w:val="00A45E2E"/>
    <w:rsid w:val="00A45EFC"/>
    <w:rsid w:val="00A46300"/>
    <w:rsid w:val="00A46524"/>
    <w:rsid w:val="00A4696E"/>
    <w:rsid w:val="00A46CF4"/>
    <w:rsid w:val="00A47271"/>
    <w:rsid w:val="00A47676"/>
    <w:rsid w:val="00A47C5A"/>
    <w:rsid w:val="00A502BE"/>
    <w:rsid w:val="00A50433"/>
    <w:rsid w:val="00A50C1C"/>
    <w:rsid w:val="00A50D95"/>
    <w:rsid w:val="00A50D9C"/>
    <w:rsid w:val="00A51867"/>
    <w:rsid w:val="00A5192C"/>
    <w:rsid w:val="00A51D8A"/>
    <w:rsid w:val="00A52433"/>
    <w:rsid w:val="00A526C4"/>
    <w:rsid w:val="00A52BAE"/>
    <w:rsid w:val="00A531EB"/>
    <w:rsid w:val="00A532C3"/>
    <w:rsid w:val="00A53A7B"/>
    <w:rsid w:val="00A53A93"/>
    <w:rsid w:val="00A5409F"/>
    <w:rsid w:val="00A549D8"/>
    <w:rsid w:val="00A54BA1"/>
    <w:rsid w:val="00A55DC6"/>
    <w:rsid w:val="00A55FEE"/>
    <w:rsid w:val="00A56615"/>
    <w:rsid w:val="00A56652"/>
    <w:rsid w:val="00A56A1E"/>
    <w:rsid w:val="00A57D63"/>
    <w:rsid w:val="00A600E0"/>
    <w:rsid w:val="00A60168"/>
    <w:rsid w:val="00A60230"/>
    <w:rsid w:val="00A60339"/>
    <w:rsid w:val="00A612C0"/>
    <w:rsid w:val="00A61397"/>
    <w:rsid w:val="00A61443"/>
    <w:rsid w:val="00A6154A"/>
    <w:rsid w:val="00A61879"/>
    <w:rsid w:val="00A61908"/>
    <w:rsid w:val="00A61BA3"/>
    <w:rsid w:val="00A628D5"/>
    <w:rsid w:val="00A62DFF"/>
    <w:rsid w:val="00A630CD"/>
    <w:rsid w:val="00A6384A"/>
    <w:rsid w:val="00A63969"/>
    <w:rsid w:val="00A63D3E"/>
    <w:rsid w:val="00A64163"/>
    <w:rsid w:val="00A6425D"/>
    <w:rsid w:val="00A6428E"/>
    <w:rsid w:val="00A644D7"/>
    <w:rsid w:val="00A64763"/>
    <w:rsid w:val="00A648B8"/>
    <w:rsid w:val="00A64CDE"/>
    <w:rsid w:val="00A652D5"/>
    <w:rsid w:val="00A655C1"/>
    <w:rsid w:val="00A65645"/>
    <w:rsid w:val="00A65944"/>
    <w:rsid w:val="00A65989"/>
    <w:rsid w:val="00A65E6F"/>
    <w:rsid w:val="00A6649F"/>
    <w:rsid w:val="00A67BA8"/>
    <w:rsid w:val="00A67EE4"/>
    <w:rsid w:val="00A70C37"/>
    <w:rsid w:val="00A7193F"/>
    <w:rsid w:val="00A728EE"/>
    <w:rsid w:val="00A72D97"/>
    <w:rsid w:val="00A732E1"/>
    <w:rsid w:val="00A73D8E"/>
    <w:rsid w:val="00A74934"/>
    <w:rsid w:val="00A7496A"/>
    <w:rsid w:val="00A74A5F"/>
    <w:rsid w:val="00A75012"/>
    <w:rsid w:val="00A750F2"/>
    <w:rsid w:val="00A75149"/>
    <w:rsid w:val="00A75221"/>
    <w:rsid w:val="00A7644B"/>
    <w:rsid w:val="00A772F3"/>
    <w:rsid w:val="00A7738A"/>
    <w:rsid w:val="00A77623"/>
    <w:rsid w:val="00A77649"/>
    <w:rsid w:val="00A77E49"/>
    <w:rsid w:val="00A77F3C"/>
    <w:rsid w:val="00A77F9B"/>
    <w:rsid w:val="00A8001F"/>
    <w:rsid w:val="00A80332"/>
    <w:rsid w:val="00A8050E"/>
    <w:rsid w:val="00A80F3E"/>
    <w:rsid w:val="00A81960"/>
    <w:rsid w:val="00A81A4A"/>
    <w:rsid w:val="00A820A5"/>
    <w:rsid w:val="00A826F8"/>
    <w:rsid w:val="00A82C46"/>
    <w:rsid w:val="00A84140"/>
    <w:rsid w:val="00A841AF"/>
    <w:rsid w:val="00A84261"/>
    <w:rsid w:val="00A84331"/>
    <w:rsid w:val="00A849D0"/>
    <w:rsid w:val="00A85AA3"/>
    <w:rsid w:val="00A85B76"/>
    <w:rsid w:val="00A85B9A"/>
    <w:rsid w:val="00A85C23"/>
    <w:rsid w:val="00A86D1E"/>
    <w:rsid w:val="00A87140"/>
    <w:rsid w:val="00A871DB"/>
    <w:rsid w:val="00A874CD"/>
    <w:rsid w:val="00A8750D"/>
    <w:rsid w:val="00A87726"/>
    <w:rsid w:val="00A879C6"/>
    <w:rsid w:val="00A90661"/>
    <w:rsid w:val="00A909FF"/>
    <w:rsid w:val="00A90B9B"/>
    <w:rsid w:val="00A90D22"/>
    <w:rsid w:val="00A9232A"/>
    <w:rsid w:val="00A92AA9"/>
    <w:rsid w:val="00A92BA9"/>
    <w:rsid w:val="00A93CE0"/>
    <w:rsid w:val="00A93EE2"/>
    <w:rsid w:val="00A940B4"/>
    <w:rsid w:val="00A9468F"/>
    <w:rsid w:val="00A94808"/>
    <w:rsid w:val="00A949FF"/>
    <w:rsid w:val="00A94ADC"/>
    <w:rsid w:val="00A95041"/>
    <w:rsid w:val="00A95A0B"/>
    <w:rsid w:val="00A95D62"/>
    <w:rsid w:val="00A95FC2"/>
    <w:rsid w:val="00A96580"/>
    <w:rsid w:val="00A96E26"/>
    <w:rsid w:val="00A9707C"/>
    <w:rsid w:val="00A9710D"/>
    <w:rsid w:val="00A97352"/>
    <w:rsid w:val="00A97997"/>
    <w:rsid w:val="00A97B3D"/>
    <w:rsid w:val="00A97D33"/>
    <w:rsid w:val="00AA0858"/>
    <w:rsid w:val="00AA0896"/>
    <w:rsid w:val="00AA10BC"/>
    <w:rsid w:val="00AA154B"/>
    <w:rsid w:val="00AA19F6"/>
    <w:rsid w:val="00AA1D30"/>
    <w:rsid w:val="00AA1F64"/>
    <w:rsid w:val="00AA2172"/>
    <w:rsid w:val="00AA2434"/>
    <w:rsid w:val="00AA2803"/>
    <w:rsid w:val="00AA2DBE"/>
    <w:rsid w:val="00AA2E8D"/>
    <w:rsid w:val="00AA307C"/>
    <w:rsid w:val="00AA339E"/>
    <w:rsid w:val="00AA361E"/>
    <w:rsid w:val="00AA373F"/>
    <w:rsid w:val="00AA38C7"/>
    <w:rsid w:val="00AA39CB"/>
    <w:rsid w:val="00AA3D10"/>
    <w:rsid w:val="00AA3D52"/>
    <w:rsid w:val="00AA41A5"/>
    <w:rsid w:val="00AA41C7"/>
    <w:rsid w:val="00AA42AE"/>
    <w:rsid w:val="00AA45C9"/>
    <w:rsid w:val="00AA45F3"/>
    <w:rsid w:val="00AA46AD"/>
    <w:rsid w:val="00AA5012"/>
    <w:rsid w:val="00AA52C3"/>
    <w:rsid w:val="00AA6519"/>
    <w:rsid w:val="00AA6530"/>
    <w:rsid w:val="00AA6607"/>
    <w:rsid w:val="00AA7480"/>
    <w:rsid w:val="00AA74E8"/>
    <w:rsid w:val="00AA7787"/>
    <w:rsid w:val="00AB010B"/>
    <w:rsid w:val="00AB0366"/>
    <w:rsid w:val="00AB08CA"/>
    <w:rsid w:val="00AB0984"/>
    <w:rsid w:val="00AB0B68"/>
    <w:rsid w:val="00AB0C22"/>
    <w:rsid w:val="00AB0C70"/>
    <w:rsid w:val="00AB0CC9"/>
    <w:rsid w:val="00AB17F5"/>
    <w:rsid w:val="00AB1979"/>
    <w:rsid w:val="00AB1AE1"/>
    <w:rsid w:val="00AB20FB"/>
    <w:rsid w:val="00AB2601"/>
    <w:rsid w:val="00AB2642"/>
    <w:rsid w:val="00AB284A"/>
    <w:rsid w:val="00AB2A1C"/>
    <w:rsid w:val="00AB2BDE"/>
    <w:rsid w:val="00AB2D68"/>
    <w:rsid w:val="00AB327E"/>
    <w:rsid w:val="00AB3729"/>
    <w:rsid w:val="00AB3B08"/>
    <w:rsid w:val="00AB3BDC"/>
    <w:rsid w:val="00AB4070"/>
    <w:rsid w:val="00AB4658"/>
    <w:rsid w:val="00AB4BED"/>
    <w:rsid w:val="00AB4EBC"/>
    <w:rsid w:val="00AB54DE"/>
    <w:rsid w:val="00AB5578"/>
    <w:rsid w:val="00AB5F84"/>
    <w:rsid w:val="00AB62DC"/>
    <w:rsid w:val="00AB6548"/>
    <w:rsid w:val="00AB6B7E"/>
    <w:rsid w:val="00AB6C2D"/>
    <w:rsid w:val="00AB6FE4"/>
    <w:rsid w:val="00AB72DD"/>
    <w:rsid w:val="00AB741D"/>
    <w:rsid w:val="00AB7768"/>
    <w:rsid w:val="00AB7C78"/>
    <w:rsid w:val="00AC08FC"/>
    <w:rsid w:val="00AC13CE"/>
    <w:rsid w:val="00AC149C"/>
    <w:rsid w:val="00AC17B4"/>
    <w:rsid w:val="00AC1BD8"/>
    <w:rsid w:val="00AC234C"/>
    <w:rsid w:val="00AC23CF"/>
    <w:rsid w:val="00AC2845"/>
    <w:rsid w:val="00AC286F"/>
    <w:rsid w:val="00AC3729"/>
    <w:rsid w:val="00AC3844"/>
    <w:rsid w:val="00AC3A89"/>
    <w:rsid w:val="00AC3CEC"/>
    <w:rsid w:val="00AC41E8"/>
    <w:rsid w:val="00AC4575"/>
    <w:rsid w:val="00AC4CCF"/>
    <w:rsid w:val="00AC4E87"/>
    <w:rsid w:val="00AC55B2"/>
    <w:rsid w:val="00AC55D1"/>
    <w:rsid w:val="00AC5A06"/>
    <w:rsid w:val="00AC5BD4"/>
    <w:rsid w:val="00AC6062"/>
    <w:rsid w:val="00AC6775"/>
    <w:rsid w:val="00AC68AB"/>
    <w:rsid w:val="00AC6FD8"/>
    <w:rsid w:val="00AC6FE3"/>
    <w:rsid w:val="00AC71FB"/>
    <w:rsid w:val="00AC7645"/>
    <w:rsid w:val="00AC7701"/>
    <w:rsid w:val="00AC7768"/>
    <w:rsid w:val="00AC79C6"/>
    <w:rsid w:val="00AC7D43"/>
    <w:rsid w:val="00AD05CB"/>
    <w:rsid w:val="00AD0FB6"/>
    <w:rsid w:val="00AD106C"/>
    <w:rsid w:val="00AD12D5"/>
    <w:rsid w:val="00AD1480"/>
    <w:rsid w:val="00AD160F"/>
    <w:rsid w:val="00AD16D0"/>
    <w:rsid w:val="00AD1FE2"/>
    <w:rsid w:val="00AD246B"/>
    <w:rsid w:val="00AD30D9"/>
    <w:rsid w:val="00AD31B3"/>
    <w:rsid w:val="00AD322B"/>
    <w:rsid w:val="00AD3656"/>
    <w:rsid w:val="00AD387A"/>
    <w:rsid w:val="00AD39EB"/>
    <w:rsid w:val="00AD4291"/>
    <w:rsid w:val="00AD4534"/>
    <w:rsid w:val="00AD4C79"/>
    <w:rsid w:val="00AD4ED8"/>
    <w:rsid w:val="00AD5800"/>
    <w:rsid w:val="00AD59AD"/>
    <w:rsid w:val="00AD5D3F"/>
    <w:rsid w:val="00AD6006"/>
    <w:rsid w:val="00AD6549"/>
    <w:rsid w:val="00AD68D4"/>
    <w:rsid w:val="00AD6BD4"/>
    <w:rsid w:val="00AD6E07"/>
    <w:rsid w:val="00AD7120"/>
    <w:rsid w:val="00AD7294"/>
    <w:rsid w:val="00AD75A0"/>
    <w:rsid w:val="00AD76A2"/>
    <w:rsid w:val="00AD7DE8"/>
    <w:rsid w:val="00AE030C"/>
    <w:rsid w:val="00AE0361"/>
    <w:rsid w:val="00AE0B5A"/>
    <w:rsid w:val="00AE0C53"/>
    <w:rsid w:val="00AE0DDE"/>
    <w:rsid w:val="00AE0EF1"/>
    <w:rsid w:val="00AE123D"/>
    <w:rsid w:val="00AE1CCA"/>
    <w:rsid w:val="00AE1D9E"/>
    <w:rsid w:val="00AE1F65"/>
    <w:rsid w:val="00AE246C"/>
    <w:rsid w:val="00AE24D7"/>
    <w:rsid w:val="00AE2BC3"/>
    <w:rsid w:val="00AE32B7"/>
    <w:rsid w:val="00AE3743"/>
    <w:rsid w:val="00AE3A2E"/>
    <w:rsid w:val="00AE3AC5"/>
    <w:rsid w:val="00AE3CD0"/>
    <w:rsid w:val="00AE3FFA"/>
    <w:rsid w:val="00AE41C1"/>
    <w:rsid w:val="00AE41D1"/>
    <w:rsid w:val="00AE428F"/>
    <w:rsid w:val="00AE445E"/>
    <w:rsid w:val="00AE4494"/>
    <w:rsid w:val="00AE44BF"/>
    <w:rsid w:val="00AE4995"/>
    <w:rsid w:val="00AE4E40"/>
    <w:rsid w:val="00AE5078"/>
    <w:rsid w:val="00AE5275"/>
    <w:rsid w:val="00AE5640"/>
    <w:rsid w:val="00AE5C7F"/>
    <w:rsid w:val="00AE6271"/>
    <w:rsid w:val="00AE6A7E"/>
    <w:rsid w:val="00AE6BDD"/>
    <w:rsid w:val="00AE6DBC"/>
    <w:rsid w:val="00AF01CF"/>
    <w:rsid w:val="00AF0265"/>
    <w:rsid w:val="00AF1063"/>
    <w:rsid w:val="00AF1F2A"/>
    <w:rsid w:val="00AF2007"/>
    <w:rsid w:val="00AF2100"/>
    <w:rsid w:val="00AF23F7"/>
    <w:rsid w:val="00AF2B84"/>
    <w:rsid w:val="00AF2CE7"/>
    <w:rsid w:val="00AF3681"/>
    <w:rsid w:val="00AF3771"/>
    <w:rsid w:val="00AF384F"/>
    <w:rsid w:val="00AF3979"/>
    <w:rsid w:val="00AF3C9B"/>
    <w:rsid w:val="00AF3E8A"/>
    <w:rsid w:val="00AF3EBA"/>
    <w:rsid w:val="00AF4679"/>
    <w:rsid w:val="00AF4C51"/>
    <w:rsid w:val="00AF50B7"/>
    <w:rsid w:val="00AF50EC"/>
    <w:rsid w:val="00AF535C"/>
    <w:rsid w:val="00AF5505"/>
    <w:rsid w:val="00AF5706"/>
    <w:rsid w:val="00AF5750"/>
    <w:rsid w:val="00AF60DE"/>
    <w:rsid w:val="00AF60E0"/>
    <w:rsid w:val="00AF63D4"/>
    <w:rsid w:val="00AF63D8"/>
    <w:rsid w:val="00AF64E6"/>
    <w:rsid w:val="00AF69C1"/>
    <w:rsid w:val="00AF6A37"/>
    <w:rsid w:val="00AF6C03"/>
    <w:rsid w:val="00AF7218"/>
    <w:rsid w:val="00AF7341"/>
    <w:rsid w:val="00AF7FDA"/>
    <w:rsid w:val="00B00100"/>
    <w:rsid w:val="00B004A4"/>
    <w:rsid w:val="00B0067A"/>
    <w:rsid w:val="00B00D8A"/>
    <w:rsid w:val="00B00DB6"/>
    <w:rsid w:val="00B01158"/>
    <w:rsid w:val="00B01606"/>
    <w:rsid w:val="00B01CAA"/>
    <w:rsid w:val="00B01CF3"/>
    <w:rsid w:val="00B02381"/>
    <w:rsid w:val="00B02B9E"/>
    <w:rsid w:val="00B03275"/>
    <w:rsid w:val="00B0347D"/>
    <w:rsid w:val="00B03517"/>
    <w:rsid w:val="00B03575"/>
    <w:rsid w:val="00B0375F"/>
    <w:rsid w:val="00B03B6C"/>
    <w:rsid w:val="00B03D29"/>
    <w:rsid w:val="00B04013"/>
    <w:rsid w:val="00B04662"/>
    <w:rsid w:val="00B046D6"/>
    <w:rsid w:val="00B04864"/>
    <w:rsid w:val="00B05061"/>
    <w:rsid w:val="00B0528D"/>
    <w:rsid w:val="00B05886"/>
    <w:rsid w:val="00B06195"/>
    <w:rsid w:val="00B06254"/>
    <w:rsid w:val="00B0628B"/>
    <w:rsid w:val="00B06588"/>
    <w:rsid w:val="00B06779"/>
    <w:rsid w:val="00B06C60"/>
    <w:rsid w:val="00B06D95"/>
    <w:rsid w:val="00B06DFF"/>
    <w:rsid w:val="00B070A0"/>
    <w:rsid w:val="00B079FF"/>
    <w:rsid w:val="00B07EF2"/>
    <w:rsid w:val="00B104CA"/>
    <w:rsid w:val="00B10A70"/>
    <w:rsid w:val="00B11819"/>
    <w:rsid w:val="00B11C40"/>
    <w:rsid w:val="00B1247F"/>
    <w:rsid w:val="00B12761"/>
    <w:rsid w:val="00B12886"/>
    <w:rsid w:val="00B131CA"/>
    <w:rsid w:val="00B13464"/>
    <w:rsid w:val="00B1371A"/>
    <w:rsid w:val="00B13CD4"/>
    <w:rsid w:val="00B142B2"/>
    <w:rsid w:val="00B147F2"/>
    <w:rsid w:val="00B1491C"/>
    <w:rsid w:val="00B14E46"/>
    <w:rsid w:val="00B14E7B"/>
    <w:rsid w:val="00B14F55"/>
    <w:rsid w:val="00B1500D"/>
    <w:rsid w:val="00B151BB"/>
    <w:rsid w:val="00B15809"/>
    <w:rsid w:val="00B161F1"/>
    <w:rsid w:val="00B16DFA"/>
    <w:rsid w:val="00B172AC"/>
    <w:rsid w:val="00B17758"/>
    <w:rsid w:val="00B17AB1"/>
    <w:rsid w:val="00B17C65"/>
    <w:rsid w:val="00B205FF"/>
    <w:rsid w:val="00B2121F"/>
    <w:rsid w:val="00B21826"/>
    <w:rsid w:val="00B21C7B"/>
    <w:rsid w:val="00B22243"/>
    <w:rsid w:val="00B229E4"/>
    <w:rsid w:val="00B22BC0"/>
    <w:rsid w:val="00B22EB8"/>
    <w:rsid w:val="00B23840"/>
    <w:rsid w:val="00B23D5A"/>
    <w:rsid w:val="00B24058"/>
    <w:rsid w:val="00B241E9"/>
    <w:rsid w:val="00B246FA"/>
    <w:rsid w:val="00B25674"/>
    <w:rsid w:val="00B25C83"/>
    <w:rsid w:val="00B264BF"/>
    <w:rsid w:val="00B26B58"/>
    <w:rsid w:val="00B26C78"/>
    <w:rsid w:val="00B26D8E"/>
    <w:rsid w:val="00B27390"/>
    <w:rsid w:val="00B27728"/>
    <w:rsid w:val="00B277CC"/>
    <w:rsid w:val="00B27860"/>
    <w:rsid w:val="00B27F9B"/>
    <w:rsid w:val="00B31122"/>
    <w:rsid w:val="00B311D6"/>
    <w:rsid w:val="00B31468"/>
    <w:rsid w:val="00B31825"/>
    <w:rsid w:val="00B331E8"/>
    <w:rsid w:val="00B333B5"/>
    <w:rsid w:val="00B33902"/>
    <w:rsid w:val="00B339CF"/>
    <w:rsid w:val="00B33D14"/>
    <w:rsid w:val="00B349C3"/>
    <w:rsid w:val="00B34B10"/>
    <w:rsid w:val="00B353D8"/>
    <w:rsid w:val="00B356F3"/>
    <w:rsid w:val="00B35A73"/>
    <w:rsid w:val="00B35B29"/>
    <w:rsid w:val="00B35B37"/>
    <w:rsid w:val="00B361E7"/>
    <w:rsid w:val="00B36295"/>
    <w:rsid w:val="00B36510"/>
    <w:rsid w:val="00B36673"/>
    <w:rsid w:val="00B36B6B"/>
    <w:rsid w:val="00B36C3C"/>
    <w:rsid w:val="00B36DD2"/>
    <w:rsid w:val="00B36F3B"/>
    <w:rsid w:val="00B36FBC"/>
    <w:rsid w:val="00B37ABD"/>
    <w:rsid w:val="00B37AC1"/>
    <w:rsid w:val="00B40089"/>
    <w:rsid w:val="00B40179"/>
    <w:rsid w:val="00B401DD"/>
    <w:rsid w:val="00B407A5"/>
    <w:rsid w:val="00B40AC5"/>
    <w:rsid w:val="00B412D1"/>
    <w:rsid w:val="00B41643"/>
    <w:rsid w:val="00B418B1"/>
    <w:rsid w:val="00B4223B"/>
    <w:rsid w:val="00B43070"/>
    <w:rsid w:val="00B431E9"/>
    <w:rsid w:val="00B43442"/>
    <w:rsid w:val="00B436FF"/>
    <w:rsid w:val="00B43C2D"/>
    <w:rsid w:val="00B44261"/>
    <w:rsid w:val="00B450CA"/>
    <w:rsid w:val="00B459EB"/>
    <w:rsid w:val="00B45A4A"/>
    <w:rsid w:val="00B4625D"/>
    <w:rsid w:val="00B466CC"/>
    <w:rsid w:val="00B46DE2"/>
    <w:rsid w:val="00B46FF3"/>
    <w:rsid w:val="00B4742A"/>
    <w:rsid w:val="00B475D1"/>
    <w:rsid w:val="00B5017B"/>
    <w:rsid w:val="00B5028F"/>
    <w:rsid w:val="00B50869"/>
    <w:rsid w:val="00B50AB7"/>
    <w:rsid w:val="00B50B11"/>
    <w:rsid w:val="00B51082"/>
    <w:rsid w:val="00B512C9"/>
    <w:rsid w:val="00B51414"/>
    <w:rsid w:val="00B516E8"/>
    <w:rsid w:val="00B5175B"/>
    <w:rsid w:val="00B5188B"/>
    <w:rsid w:val="00B51DA8"/>
    <w:rsid w:val="00B525F1"/>
    <w:rsid w:val="00B52F94"/>
    <w:rsid w:val="00B5368E"/>
    <w:rsid w:val="00B539D4"/>
    <w:rsid w:val="00B53CF4"/>
    <w:rsid w:val="00B53EF1"/>
    <w:rsid w:val="00B5403A"/>
    <w:rsid w:val="00B540E6"/>
    <w:rsid w:val="00B5435C"/>
    <w:rsid w:val="00B545CF"/>
    <w:rsid w:val="00B54782"/>
    <w:rsid w:val="00B54A1E"/>
    <w:rsid w:val="00B54B84"/>
    <w:rsid w:val="00B551DE"/>
    <w:rsid w:val="00B55A3C"/>
    <w:rsid w:val="00B55E06"/>
    <w:rsid w:val="00B564CC"/>
    <w:rsid w:val="00B566D1"/>
    <w:rsid w:val="00B5680A"/>
    <w:rsid w:val="00B56FB2"/>
    <w:rsid w:val="00B571A2"/>
    <w:rsid w:val="00B574A4"/>
    <w:rsid w:val="00B57C43"/>
    <w:rsid w:val="00B57E86"/>
    <w:rsid w:val="00B60081"/>
    <w:rsid w:val="00B6037B"/>
    <w:rsid w:val="00B6041F"/>
    <w:rsid w:val="00B60640"/>
    <w:rsid w:val="00B60E00"/>
    <w:rsid w:val="00B60EF8"/>
    <w:rsid w:val="00B61535"/>
    <w:rsid w:val="00B61CF9"/>
    <w:rsid w:val="00B61FAA"/>
    <w:rsid w:val="00B62372"/>
    <w:rsid w:val="00B627CC"/>
    <w:rsid w:val="00B627EE"/>
    <w:rsid w:val="00B62D69"/>
    <w:rsid w:val="00B62E40"/>
    <w:rsid w:val="00B62F5C"/>
    <w:rsid w:val="00B63C53"/>
    <w:rsid w:val="00B6458D"/>
    <w:rsid w:val="00B645EB"/>
    <w:rsid w:val="00B64863"/>
    <w:rsid w:val="00B64A69"/>
    <w:rsid w:val="00B64AD6"/>
    <w:rsid w:val="00B64D2E"/>
    <w:rsid w:val="00B65172"/>
    <w:rsid w:val="00B6520E"/>
    <w:rsid w:val="00B655E1"/>
    <w:rsid w:val="00B6579C"/>
    <w:rsid w:val="00B65BCE"/>
    <w:rsid w:val="00B66108"/>
    <w:rsid w:val="00B66487"/>
    <w:rsid w:val="00B669DE"/>
    <w:rsid w:val="00B67F37"/>
    <w:rsid w:val="00B706C8"/>
    <w:rsid w:val="00B70B1E"/>
    <w:rsid w:val="00B710F6"/>
    <w:rsid w:val="00B7211C"/>
    <w:rsid w:val="00B721B9"/>
    <w:rsid w:val="00B72313"/>
    <w:rsid w:val="00B724FA"/>
    <w:rsid w:val="00B726DB"/>
    <w:rsid w:val="00B728E3"/>
    <w:rsid w:val="00B72CF9"/>
    <w:rsid w:val="00B730B2"/>
    <w:rsid w:val="00B73774"/>
    <w:rsid w:val="00B73965"/>
    <w:rsid w:val="00B7429A"/>
    <w:rsid w:val="00B744BA"/>
    <w:rsid w:val="00B74597"/>
    <w:rsid w:val="00B74598"/>
    <w:rsid w:val="00B746DE"/>
    <w:rsid w:val="00B74C0B"/>
    <w:rsid w:val="00B74D71"/>
    <w:rsid w:val="00B75061"/>
    <w:rsid w:val="00B75375"/>
    <w:rsid w:val="00B75640"/>
    <w:rsid w:val="00B75950"/>
    <w:rsid w:val="00B75B15"/>
    <w:rsid w:val="00B75B3C"/>
    <w:rsid w:val="00B75C85"/>
    <w:rsid w:val="00B75E0C"/>
    <w:rsid w:val="00B76268"/>
    <w:rsid w:val="00B7726B"/>
    <w:rsid w:val="00B775BD"/>
    <w:rsid w:val="00B77D39"/>
    <w:rsid w:val="00B8050A"/>
    <w:rsid w:val="00B80E16"/>
    <w:rsid w:val="00B81152"/>
    <w:rsid w:val="00B81262"/>
    <w:rsid w:val="00B81D65"/>
    <w:rsid w:val="00B81DE9"/>
    <w:rsid w:val="00B81EE1"/>
    <w:rsid w:val="00B8213B"/>
    <w:rsid w:val="00B82F31"/>
    <w:rsid w:val="00B831A5"/>
    <w:rsid w:val="00B832AA"/>
    <w:rsid w:val="00B8385C"/>
    <w:rsid w:val="00B83874"/>
    <w:rsid w:val="00B84066"/>
    <w:rsid w:val="00B844A9"/>
    <w:rsid w:val="00B84532"/>
    <w:rsid w:val="00B84646"/>
    <w:rsid w:val="00B85460"/>
    <w:rsid w:val="00B85758"/>
    <w:rsid w:val="00B857C1"/>
    <w:rsid w:val="00B85CB0"/>
    <w:rsid w:val="00B85F10"/>
    <w:rsid w:val="00B86053"/>
    <w:rsid w:val="00B86DA0"/>
    <w:rsid w:val="00B87026"/>
    <w:rsid w:val="00B876B5"/>
    <w:rsid w:val="00B87986"/>
    <w:rsid w:val="00B87AB5"/>
    <w:rsid w:val="00B87CDF"/>
    <w:rsid w:val="00B87E53"/>
    <w:rsid w:val="00B90028"/>
    <w:rsid w:val="00B90625"/>
    <w:rsid w:val="00B909D3"/>
    <w:rsid w:val="00B91F35"/>
    <w:rsid w:val="00B920FC"/>
    <w:rsid w:val="00B93186"/>
    <w:rsid w:val="00B9368A"/>
    <w:rsid w:val="00B93CF2"/>
    <w:rsid w:val="00B940DD"/>
    <w:rsid w:val="00B94CAA"/>
    <w:rsid w:val="00B94CFB"/>
    <w:rsid w:val="00B94D23"/>
    <w:rsid w:val="00B952E8"/>
    <w:rsid w:val="00B95A49"/>
    <w:rsid w:val="00B962A0"/>
    <w:rsid w:val="00B96F5F"/>
    <w:rsid w:val="00B97796"/>
    <w:rsid w:val="00B97F11"/>
    <w:rsid w:val="00BA0413"/>
    <w:rsid w:val="00BA09B9"/>
    <w:rsid w:val="00BA09CB"/>
    <w:rsid w:val="00BA1C54"/>
    <w:rsid w:val="00BA1CB0"/>
    <w:rsid w:val="00BA1CD7"/>
    <w:rsid w:val="00BA253C"/>
    <w:rsid w:val="00BA25D4"/>
    <w:rsid w:val="00BA31FB"/>
    <w:rsid w:val="00BA3D66"/>
    <w:rsid w:val="00BA3FEB"/>
    <w:rsid w:val="00BA41BC"/>
    <w:rsid w:val="00BA4A85"/>
    <w:rsid w:val="00BA4F62"/>
    <w:rsid w:val="00BA4F94"/>
    <w:rsid w:val="00BA56B1"/>
    <w:rsid w:val="00BA58F2"/>
    <w:rsid w:val="00BA5BCB"/>
    <w:rsid w:val="00BA617F"/>
    <w:rsid w:val="00BA6545"/>
    <w:rsid w:val="00BA6BD5"/>
    <w:rsid w:val="00BA6EB6"/>
    <w:rsid w:val="00BA6F08"/>
    <w:rsid w:val="00BA6FA0"/>
    <w:rsid w:val="00BA7749"/>
    <w:rsid w:val="00BA7ADD"/>
    <w:rsid w:val="00BA7B41"/>
    <w:rsid w:val="00BA7E9F"/>
    <w:rsid w:val="00BB0076"/>
    <w:rsid w:val="00BB0603"/>
    <w:rsid w:val="00BB0C28"/>
    <w:rsid w:val="00BB10A5"/>
    <w:rsid w:val="00BB15FB"/>
    <w:rsid w:val="00BB1842"/>
    <w:rsid w:val="00BB18BE"/>
    <w:rsid w:val="00BB18F8"/>
    <w:rsid w:val="00BB207E"/>
    <w:rsid w:val="00BB22F6"/>
    <w:rsid w:val="00BB24A9"/>
    <w:rsid w:val="00BB298C"/>
    <w:rsid w:val="00BB30C5"/>
    <w:rsid w:val="00BB3267"/>
    <w:rsid w:val="00BB382B"/>
    <w:rsid w:val="00BB3A45"/>
    <w:rsid w:val="00BB43B8"/>
    <w:rsid w:val="00BB4E6F"/>
    <w:rsid w:val="00BB50A0"/>
    <w:rsid w:val="00BB58E3"/>
    <w:rsid w:val="00BB5966"/>
    <w:rsid w:val="00BB6FC8"/>
    <w:rsid w:val="00BB78BB"/>
    <w:rsid w:val="00BB7FAE"/>
    <w:rsid w:val="00BB7FB8"/>
    <w:rsid w:val="00BC071B"/>
    <w:rsid w:val="00BC0811"/>
    <w:rsid w:val="00BC0958"/>
    <w:rsid w:val="00BC0FA6"/>
    <w:rsid w:val="00BC15FC"/>
    <w:rsid w:val="00BC171D"/>
    <w:rsid w:val="00BC1812"/>
    <w:rsid w:val="00BC1B18"/>
    <w:rsid w:val="00BC28FA"/>
    <w:rsid w:val="00BC3AE0"/>
    <w:rsid w:val="00BC3C25"/>
    <w:rsid w:val="00BC3C79"/>
    <w:rsid w:val="00BC3D2C"/>
    <w:rsid w:val="00BC4BDA"/>
    <w:rsid w:val="00BC4D69"/>
    <w:rsid w:val="00BC4EA0"/>
    <w:rsid w:val="00BC54C8"/>
    <w:rsid w:val="00BC5518"/>
    <w:rsid w:val="00BC57F4"/>
    <w:rsid w:val="00BC59AB"/>
    <w:rsid w:val="00BC6069"/>
    <w:rsid w:val="00BC60B7"/>
    <w:rsid w:val="00BC61D5"/>
    <w:rsid w:val="00BC6296"/>
    <w:rsid w:val="00BC69B7"/>
    <w:rsid w:val="00BC6A6E"/>
    <w:rsid w:val="00BC7124"/>
    <w:rsid w:val="00BC721C"/>
    <w:rsid w:val="00BC7300"/>
    <w:rsid w:val="00BD0C04"/>
    <w:rsid w:val="00BD0F35"/>
    <w:rsid w:val="00BD165F"/>
    <w:rsid w:val="00BD1665"/>
    <w:rsid w:val="00BD1A34"/>
    <w:rsid w:val="00BD1D89"/>
    <w:rsid w:val="00BD1E39"/>
    <w:rsid w:val="00BD2A29"/>
    <w:rsid w:val="00BD2F0B"/>
    <w:rsid w:val="00BD2FAC"/>
    <w:rsid w:val="00BD325F"/>
    <w:rsid w:val="00BD3CD3"/>
    <w:rsid w:val="00BD3E2F"/>
    <w:rsid w:val="00BD4288"/>
    <w:rsid w:val="00BD4548"/>
    <w:rsid w:val="00BD469D"/>
    <w:rsid w:val="00BD4D5C"/>
    <w:rsid w:val="00BD4E3C"/>
    <w:rsid w:val="00BD4F32"/>
    <w:rsid w:val="00BD5315"/>
    <w:rsid w:val="00BD58AC"/>
    <w:rsid w:val="00BD5961"/>
    <w:rsid w:val="00BD5A2A"/>
    <w:rsid w:val="00BD76DF"/>
    <w:rsid w:val="00BD77AF"/>
    <w:rsid w:val="00BD785C"/>
    <w:rsid w:val="00BD7B70"/>
    <w:rsid w:val="00BD7C7F"/>
    <w:rsid w:val="00BE13BD"/>
    <w:rsid w:val="00BE167E"/>
    <w:rsid w:val="00BE17E2"/>
    <w:rsid w:val="00BE19E9"/>
    <w:rsid w:val="00BE20E8"/>
    <w:rsid w:val="00BE2169"/>
    <w:rsid w:val="00BE22AA"/>
    <w:rsid w:val="00BE23E6"/>
    <w:rsid w:val="00BE2770"/>
    <w:rsid w:val="00BE28A2"/>
    <w:rsid w:val="00BE30EF"/>
    <w:rsid w:val="00BE36A1"/>
    <w:rsid w:val="00BE3817"/>
    <w:rsid w:val="00BE38A7"/>
    <w:rsid w:val="00BE3A64"/>
    <w:rsid w:val="00BE3EB3"/>
    <w:rsid w:val="00BE4109"/>
    <w:rsid w:val="00BE4A16"/>
    <w:rsid w:val="00BE4BB5"/>
    <w:rsid w:val="00BE4D68"/>
    <w:rsid w:val="00BE4ED1"/>
    <w:rsid w:val="00BE5094"/>
    <w:rsid w:val="00BE57C4"/>
    <w:rsid w:val="00BE5950"/>
    <w:rsid w:val="00BE5987"/>
    <w:rsid w:val="00BE5ED5"/>
    <w:rsid w:val="00BE6180"/>
    <w:rsid w:val="00BE639B"/>
    <w:rsid w:val="00BE657D"/>
    <w:rsid w:val="00BE6D10"/>
    <w:rsid w:val="00BE6DB9"/>
    <w:rsid w:val="00BE6EBD"/>
    <w:rsid w:val="00BE6FBA"/>
    <w:rsid w:val="00BE73EA"/>
    <w:rsid w:val="00BE76F9"/>
    <w:rsid w:val="00BE7B16"/>
    <w:rsid w:val="00BE7BC6"/>
    <w:rsid w:val="00BF0050"/>
    <w:rsid w:val="00BF03D4"/>
    <w:rsid w:val="00BF08F8"/>
    <w:rsid w:val="00BF0B0E"/>
    <w:rsid w:val="00BF1851"/>
    <w:rsid w:val="00BF1E86"/>
    <w:rsid w:val="00BF2678"/>
    <w:rsid w:val="00BF28EE"/>
    <w:rsid w:val="00BF2BA5"/>
    <w:rsid w:val="00BF2BEA"/>
    <w:rsid w:val="00BF2E1E"/>
    <w:rsid w:val="00BF31C1"/>
    <w:rsid w:val="00BF3212"/>
    <w:rsid w:val="00BF36B1"/>
    <w:rsid w:val="00BF377E"/>
    <w:rsid w:val="00BF3E3F"/>
    <w:rsid w:val="00BF41F7"/>
    <w:rsid w:val="00BF48B1"/>
    <w:rsid w:val="00BF4BD3"/>
    <w:rsid w:val="00BF4C37"/>
    <w:rsid w:val="00BF51ED"/>
    <w:rsid w:val="00BF553B"/>
    <w:rsid w:val="00BF558F"/>
    <w:rsid w:val="00BF5702"/>
    <w:rsid w:val="00BF587B"/>
    <w:rsid w:val="00BF6C9C"/>
    <w:rsid w:val="00BF6CEA"/>
    <w:rsid w:val="00BF6E0D"/>
    <w:rsid w:val="00BF714C"/>
    <w:rsid w:val="00BF72CB"/>
    <w:rsid w:val="00BF777F"/>
    <w:rsid w:val="00BF7AAB"/>
    <w:rsid w:val="00C001EC"/>
    <w:rsid w:val="00C00205"/>
    <w:rsid w:val="00C00505"/>
    <w:rsid w:val="00C00551"/>
    <w:rsid w:val="00C018DC"/>
    <w:rsid w:val="00C01D4B"/>
    <w:rsid w:val="00C028FC"/>
    <w:rsid w:val="00C03726"/>
    <w:rsid w:val="00C03C67"/>
    <w:rsid w:val="00C03FDE"/>
    <w:rsid w:val="00C043B5"/>
    <w:rsid w:val="00C049B4"/>
    <w:rsid w:val="00C04BC8"/>
    <w:rsid w:val="00C04CCA"/>
    <w:rsid w:val="00C04FDD"/>
    <w:rsid w:val="00C06D2A"/>
    <w:rsid w:val="00C070CA"/>
    <w:rsid w:val="00C07244"/>
    <w:rsid w:val="00C075EB"/>
    <w:rsid w:val="00C07979"/>
    <w:rsid w:val="00C07D49"/>
    <w:rsid w:val="00C07D53"/>
    <w:rsid w:val="00C10334"/>
    <w:rsid w:val="00C106BA"/>
    <w:rsid w:val="00C10716"/>
    <w:rsid w:val="00C1099B"/>
    <w:rsid w:val="00C109B4"/>
    <w:rsid w:val="00C10DA3"/>
    <w:rsid w:val="00C111CB"/>
    <w:rsid w:val="00C11301"/>
    <w:rsid w:val="00C11343"/>
    <w:rsid w:val="00C11577"/>
    <w:rsid w:val="00C11704"/>
    <w:rsid w:val="00C11CEB"/>
    <w:rsid w:val="00C11F11"/>
    <w:rsid w:val="00C127A9"/>
    <w:rsid w:val="00C127EE"/>
    <w:rsid w:val="00C12A38"/>
    <w:rsid w:val="00C12C77"/>
    <w:rsid w:val="00C12EEB"/>
    <w:rsid w:val="00C1342E"/>
    <w:rsid w:val="00C1377D"/>
    <w:rsid w:val="00C137DC"/>
    <w:rsid w:val="00C14067"/>
    <w:rsid w:val="00C14152"/>
    <w:rsid w:val="00C14DA4"/>
    <w:rsid w:val="00C156F4"/>
    <w:rsid w:val="00C1590F"/>
    <w:rsid w:val="00C15D49"/>
    <w:rsid w:val="00C15E6D"/>
    <w:rsid w:val="00C1667C"/>
    <w:rsid w:val="00C166A5"/>
    <w:rsid w:val="00C172D4"/>
    <w:rsid w:val="00C17472"/>
    <w:rsid w:val="00C17BAD"/>
    <w:rsid w:val="00C17CAD"/>
    <w:rsid w:val="00C17FA2"/>
    <w:rsid w:val="00C202F7"/>
    <w:rsid w:val="00C20780"/>
    <w:rsid w:val="00C20940"/>
    <w:rsid w:val="00C20AFE"/>
    <w:rsid w:val="00C20C30"/>
    <w:rsid w:val="00C20E8F"/>
    <w:rsid w:val="00C21119"/>
    <w:rsid w:val="00C217E9"/>
    <w:rsid w:val="00C2187F"/>
    <w:rsid w:val="00C21B24"/>
    <w:rsid w:val="00C21C9D"/>
    <w:rsid w:val="00C2208C"/>
    <w:rsid w:val="00C220A3"/>
    <w:rsid w:val="00C22D7B"/>
    <w:rsid w:val="00C22DE3"/>
    <w:rsid w:val="00C22E86"/>
    <w:rsid w:val="00C23601"/>
    <w:rsid w:val="00C23FD6"/>
    <w:rsid w:val="00C2403C"/>
    <w:rsid w:val="00C241E1"/>
    <w:rsid w:val="00C242C0"/>
    <w:rsid w:val="00C2445D"/>
    <w:rsid w:val="00C2445E"/>
    <w:rsid w:val="00C25134"/>
    <w:rsid w:val="00C25725"/>
    <w:rsid w:val="00C2574F"/>
    <w:rsid w:val="00C25900"/>
    <w:rsid w:val="00C25987"/>
    <w:rsid w:val="00C25C59"/>
    <w:rsid w:val="00C26187"/>
    <w:rsid w:val="00C26F6B"/>
    <w:rsid w:val="00C2743A"/>
    <w:rsid w:val="00C27751"/>
    <w:rsid w:val="00C277EF"/>
    <w:rsid w:val="00C27C94"/>
    <w:rsid w:val="00C30021"/>
    <w:rsid w:val="00C307F7"/>
    <w:rsid w:val="00C30C6E"/>
    <w:rsid w:val="00C30D1C"/>
    <w:rsid w:val="00C30DBD"/>
    <w:rsid w:val="00C30DF9"/>
    <w:rsid w:val="00C31024"/>
    <w:rsid w:val="00C310C3"/>
    <w:rsid w:val="00C313F2"/>
    <w:rsid w:val="00C3151F"/>
    <w:rsid w:val="00C31747"/>
    <w:rsid w:val="00C318BF"/>
    <w:rsid w:val="00C31F9A"/>
    <w:rsid w:val="00C32D6A"/>
    <w:rsid w:val="00C33325"/>
    <w:rsid w:val="00C334E8"/>
    <w:rsid w:val="00C34336"/>
    <w:rsid w:val="00C34990"/>
    <w:rsid w:val="00C34F8A"/>
    <w:rsid w:val="00C35371"/>
    <w:rsid w:val="00C3613C"/>
    <w:rsid w:val="00C36BCC"/>
    <w:rsid w:val="00C36EEE"/>
    <w:rsid w:val="00C37206"/>
    <w:rsid w:val="00C3741E"/>
    <w:rsid w:val="00C37A6C"/>
    <w:rsid w:val="00C37DEE"/>
    <w:rsid w:val="00C40117"/>
    <w:rsid w:val="00C402D4"/>
    <w:rsid w:val="00C40361"/>
    <w:rsid w:val="00C40867"/>
    <w:rsid w:val="00C408F8"/>
    <w:rsid w:val="00C40B3F"/>
    <w:rsid w:val="00C40CE6"/>
    <w:rsid w:val="00C40EFD"/>
    <w:rsid w:val="00C41A89"/>
    <w:rsid w:val="00C41C0D"/>
    <w:rsid w:val="00C41EAB"/>
    <w:rsid w:val="00C42A3F"/>
    <w:rsid w:val="00C43351"/>
    <w:rsid w:val="00C43879"/>
    <w:rsid w:val="00C43C23"/>
    <w:rsid w:val="00C43C7F"/>
    <w:rsid w:val="00C43E06"/>
    <w:rsid w:val="00C43E7E"/>
    <w:rsid w:val="00C43FBE"/>
    <w:rsid w:val="00C44182"/>
    <w:rsid w:val="00C44CA7"/>
    <w:rsid w:val="00C45285"/>
    <w:rsid w:val="00C45E5B"/>
    <w:rsid w:val="00C45EEA"/>
    <w:rsid w:val="00C45FED"/>
    <w:rsid w:val="00C4623C"/>
    <w:rsid w:val="00C4667B"/>
    <w:rsid w:val="00C466BA"/>
    <w:rsid w:val="00C46B7D"/>
    <w:rsid w:val="00C46FF6"/>
    <w:rsid w:val="00C470D2"/>
    <w:rsid w:val="00C474D6"/>
    <w:rsid w:val="00C477A4"/>
    <w:rsid w:val="00C50A50"/>
    <w:rsid w:val="00C50BC4"/>
    <w:rsid w:val="00C5103D"/>
    <w:rsid w:val="00C5141E"/>
    <w:rsid w:val="00C5150F"/>
    <w:rsid w:val="00C515FC"/>
    <w:rsid w:val="00C51BAE"/>
    <w:rsid w:val="00C51C29"/>
    <w:rsid w:val="00C51DDC"/>
    <w:rsid w:val="00C51F8D"/>
    <w:rsid w:val="00C52545"/>
    <w:rsid w:val="00C52B1A"/>
    <w:rsid w:val="00C5335A"/>
    <w:rsid w:val="00C533F3"/>
    <w:rsid w:val="00C535B4"/>
    <w:rsid w:val="00C535C2"/>
    <w:rsid w:val="00C53BBA"/>
    <w:rsid w:val="00C53D1E"/>
    <w:rsid w:val="00C540D2"/>
    <w:rsid w:val="00C54943"/>
    <w:rsid w:val="00C54960"/>
    <w:rsid w:val="00C54AD0"/>
    <w:rsid w:val="00C54B10"/>
    <w:rsid w:val="00C54B61"/>
    <w:rsid w:val="00C54C60"/>
    <w:rsid w:val="00C54D91"/>
    <w:rsid w:val="00C554A4"/>
    <w:rsid w:val="00C554F4"/>
    <w:rsid w:val="00C555E4"/>
    <w:rsid w:val="00C557DB"/>
    <w:rsid w:val="00C55AB4"/>
    <w:rsid w:val="00C55DDD"/>
    <w:rsid w:val="00C56317"/>
    <w:rsid w:val="00C56B72"/>
    <w:rsid w:val="00C56BC5"/>
    <w:rsid w:val="00C56D23"/>
    <w:rsid w:val="00C5700D"/>
    <w:rsid w:val="00C576C5"/>
    <w:rsid w:val="00C57A5F"/>
    <w:rsid w:val="00C57FA6"/>
    <w:rsid w:val="00C60BC1"/>
    <w:rsid w:val="00C611D8"/>
    <w:rsid w:val="00C61354"/>
    <w:rsid w:val="00C6182D"/>
    <w:rsid w:val="00C622A7"/>
    <w:rsid w:val="00C625A5"/>
    <w:rsid w:val="00C62957"/>
    <w:rsid w:val="00C62982"/>
    <w:rsid w:val="00C633D9"/>
    <w:rsid w:val="00C635F6"/>
    <w:rsid w:val="00C65557"/>
    <w:rsid w:val="00C65A22"/>
    <w:rsid w:val="00C66116"/>
    <w:rsid w:val="00C66417"/>
    <w:rsid w:val="00C70341"/>
    <w:rsid w:val="00C7057E"/>
    <w:rsid w:val="00C70CFD"/>
    <w:rsid w:val="00C70D61"/>
    <w:rsid w:val="00C71159"/>
    <w:rsid w:val="00C71403"/>
    <w:rsid w:val="00C71587"/>
    <w:rsid w:val="00C71AD9"/>
    <w:rsid w:val="00C71CE9"/>
    <w:rsid w:val="00C71D71"/>
    <w:rsid w:val="00C7209F"/>
    <w:rsid w:val="00C7321A"/>
    <w:rsid w:val="00C73222"/>
    <w:rsid w:val="00C739F7"/>
    <w:rsid w:val="00C7411B"/>
    <w:rsid w:val="00C74158"/>
    <w:rsid w:val="00C741F9"/>
    <w:rsid w:val="00C7494B"/>
    <w:rsid w:val="00C74AAE"/>
    <w:rsid w:val="00C74CB3"/>
    <w:rsid w:val="00C74F76"/>
    <w:rsid w:val="00C76166"/>
    <w:rsid w:val="00C76C16"/>
    <w:rsid w:val="00C77584"/>
    <w:rsid w:val="00C77E94"/>
    <w:rsid w:val="00C804F1"/>
    <w:rsid w:val="00C808C7"/>
    <w:rsid w:val="00C80982"/>
    <w:rsid w:val="00C80B51"/>
    <w:rsid w:val="00C80D24"/>
    <w:rsid w:val="00C81E5A"/>
    <w:rsid w:val="00C82290"/>
    <w:rsid w:val="00C823B9"/>
    <w:rsid w:val="00C82401"/>
    <w:rsid w:val="00C82540"/>
    <w:rsid w:val="00C82829"/>
    <w:rsid w:val="00C8282F"/>
    <w:rsid w:val="00C82BA0"/>
    <w:rsid w:val="00C82F23"/>
    <w:rsid w:val="00C8333F"/>
    <w:rsid w:val="00C8380C"/>
    <w:rsid w:val="00C83870"/>
    <w:rsid w:val="00C8396A"/>
    <w:rsid w:val="00C83C92"/>
    <w:rsid w:val="00C83D32"/>
    <w:rsid w:val="00C84103"/>
    <w:rsid w:val="00C846D2"/>
    <w:rsid w:val="00C84DC3"/>
    <w:rsid w:val="00C8501A"/>
    <w:rsid w:val="00C852A5"/>
    <w:rsid w:val="00C855DC"/>
    <w:rsid w:val="00C85DC5"/>
    <w:rsid w:val="00C8600A"/>
    <w:rsid w:val="00C860AB"/>
    <w:rsid w:val="00C86277"/>
    <w:rsid w:val="00C86789"/>
    <w:rsid w:val="00C86F46"/>
    <w:rsid w:val="00C86FCE"/>
    <w:rsid w:val="00C8760E"/>
    <w:rsid w:val="00C878AD"/>
    <w:rsid w:val="00C87E46"/>
    <w:rsid w:val="00C90375"/>
    <w:rsid w:val="00C90CCB"/>
    <w:rsid w:val="00C90D5F"/>
    <w:rsid w:val="00C90DFE"/>
    <w:rsid w:val="00C90F60"/>
    <w:rsid w:val="00C91B49"/>
    <w:rsid w:val="00C91DF2"/>
    <w:rsid w:val="00C93196"/>
    <w:rsid w:val="00C931E1"/>
    <w:rsid w:val="00C934CA"/>
    <w:rsid w:val="00C93ABF"/>
    <w:rsid w:val="00C93E94"/>
    <w:rsid w:val="00C94B86"/>
    <w:rsid w:val="00C952EB"/>
    <w:rsid w:val="00C9579B"/>
    <w:rsid w:val="00C95DE2"/>
    <w:rsid w:val="00C9653F"/>
    <w:rsid w:val="00C96960"/>
    <w:rsid w:val="00C96ACF"/>
    <w:rsid w:val="00C97080"/>
    <w:rsid w:val="00C97720"/>
    <w:rsid w:val="00C97796"/>
    <w:rsid w:val="00C977EB"/>
    <w:rsid w:val="00C97EB0"/>
    <w:rsid w:val="00CA0964"/>
    <w:rsid w:val="00CA0D23"/>
    <w:rsid w:val="00CA11C9"/>
    <w:rsid w:val="00CA11EA"/>
    <w:rsid w:val="00CA1476"/>
    <w:rsid w:val="00CA1883"/>
    <w:rsid w:val="00CA2049"/>
    <w:rsid w:val="00CA330D"/>
    <w:rsid w:val="00CA3BE9"/>
    <w:rsid w:val="00CA3CC6"/>
    <w:rsid w:val="00CA3CF4"/>
    <w:rsid w:val="00CA3F79"/>
    <w:rsid w:val="00CA479F"/>
    <w:rsid w:val="00CA49A5"/>
    <w:rsid w:val="00CA4DD4"/>
    <w:rsid w:val="00CA5043"/>
    <w:rsid w:val="00CA54CF"/>
    <w:rsid w:val="00CA5A59"/>
    <w:rsid w:val="00CA5ABB"/>
    <w:rsid w:val="00CA5B85"/>
    <w:rsid w:val="00CA604D"/>
    <w:rsid w:val="00CA6E3A"/>
    <w:rsid w:val="00CA6E8B"/>
    <w:rsid w:val="00CA6F75"/>
    <w:rsid w:val="00CA723A"/>
    <w:rsid w:val="00CA75DD"/>
    <w:rsid w:val="00CA7706"/>
    <w:rsid w:val="00CA7AB8"/>
    <w:rsid w:val="00CB0040"/>
    <w:rsid w:val="00CB0837"/>
    <w:rsid w:val="00CB087A"/>
    <w:rsid w:val="00CB117D"/>
    <w:rsid w:val="00CB17B3"/>
    <w:rsid w:val="00CB197B"/>
    <w:rsid w:val="00CB1AD5"/>
    <w:rsid w:val="00CB2369"/>
    <w:rsid w:val="00CB28BE"/>
    <w:rsid w:val="00CB2AD3"/>
    <w:rsid w:val="00CB3CBF"/>
    <w:rsid w:val="00CB408D"/>
    <w:rsid w:val="00CB4F73"/>
    <w:rsid w:val="00CB5091"/>
    <w:rsid w:val="00CB5CCC"/>
    <w:rsid w:val="00CB600F"/>
    <w:rsid w:val="00CB63D2"/>
    <w:rsid w:val="00CB6409"/>
    <w:rsid w:val="00CB64F1"/>
    <w:rsid w:val="00CB67BB"/>
    <w:rsid w:val="00CB7234"/>
    <w:rsid w:val="00CB7770"/>
    <w:rsid w:val="00CB7873"/>
    <w:rsid w:val="00CB7933"/>
    <w:rsid w:val="00CB7A5D"/>
    <w:rsid w:val="00CB7D4B"/>
    <w:rsid w:val="00CB7EAA"/>
    <w:rsid w:val="00CC0756"/>
    <w:rsid w:val="00CC1762"/>
    <w:rsid w:val="00CC1C2E"/>
    <w:rsid w:val="00CC1C49"/>
    <w:rsid w:val="00CC223A"/>
    <w:rsid w:val="00CC2384"/>
    <w:rsid w:val="00CC2BFE"/>
    <w:rsid w:val="00CC2CB8"/>
    <w:rsid w:val="00CC3008"/>
    <w:rsid w:val="00CC3640"/>
    <w:rsid w:val="00CC38F4"/>
    <w:rsid w:val="00CC39EB"/>
    <w:rsid w:val="00CC3DAD"/>
    <w:rsid w:val="00CC43B2"/>
    <w:rsid w:val="00CC4442"/>
    <w:rsid w:val="00CC44EC"/>
    <w:rsid w:val="00CC5481"/>
    <w:rsid w:val="00CC560E"/>
    <w:rsid w:val="00CC5762"/>
    <w:rsid w:val="00CC5919"/>
    <w:rsid w:val="00CC5B0E"/>
    <w:rsid w:val="00CC5E35"/>
    <w:rsid w:val="00CC6184"/>
    <w:rsid w:val="00CC648E"/>
    <w:rsid w:val="00CC652F"/>
    <w:rsid w:val="00CC6787"/>
    <w:rsid w:val="00CC6C83"/>
    <w:rsid w:val="00CC7029"/>
    <w:rsid w:val="00CC75B7"/>
    <w:rsid w:val="00CC7624"/>
    <w:rsid w:val="00CC782D"/>
    <w:rsid w:val="00CC799F"/>
    <w:rsid w:val="00CC7ACA"/>
    <w:rsid w:val="00CD009D"/>
    <w:rsid w:val="00CD0557"/>
    <w:rsid w:val="00CD0C92"/>
    <w:rsid w:val="00CD1971"/>
    <w:rsid w:val="00CD20F4"/>
    <w:rsid w:val="00CD23F6"/>
    <w:rsid w:val="00CD260D"/>
    <w:rsid w:val="00CD278F"/>
    <w:rsid w:val="00CD2A4C"/>
    <w:rsid w:val="00CD2C1C"/>
    <w:rsid w:val="00CD2CD6"/>
    <w:rsid w:val="00CD3205"/>
    <w:rsid w:val="00CD3498"/>
    <w:rsid w:val="00CD36FA"/>
    <w:rsid w:val="00CD3947"/>
    <w:rsid w:val="00CD3B74"/>
    <w:rsid w:val="00CD3EA5"/>
    <w:rsid w:val="00CD3FEF"/>
    <w:rsid w:val="00CD452E"/>
    <w:rsid w:val="00CD454E"/>
    <w:rsid w:val="00CD47B3"/>
    <w:rsid w:val="00CD52E0"/>
    <w:rsid w:val="00CD53E2"/>
    <w:rsid w:val="00CD596A"/>
    <w:rsid w:val="00CD5D23"/>
    <w:rsid w:val="00CD620C"/>
    <w:rsid w:val="00CD6928"/>
    <w:rsid w:val="00CD70F5"/>
    <w:rsid w:val="00CD72D8"/>
    <w:rsid w:val="00CD7DC1"/>
    <w:rsid w:val="00CE0004"/>
    <w:rsid w:val="00CE05D1"/>
    <w:rsid w:val="00CE06B8"/>
    <w:rsid w:val="00CE0B46"/>
    <w:rsid w:val="00CE0B96"/>
    <w:rsid w:val="00CE14A1"/>
    <w:rsid w:val="00CE14C4"/>
    <w:rsid w:val="00CE16B0"/>
    <w:rsid w:val="00CE1C34"/>
    <w:rsid w:val="00CE1ED6"/>
    <w:rsid w:val="00CE1F9B"/>
    <w:rsid w:val="00CE1FA2"/>
    <w:rsid w:val="00CE1FF8"/>
    <w:rsid w:val="00CE2004"/>
    <w:rsid w:val="00CE3261"/>
    <w:rsid w:val="00CE34BF"/>
    <w:rsid w:val="00CE356B"/>
    <w:rsid w:val="00CE3EAD"/>
    <w:rsid w:val="00CE41D5"/>
    <w:rsid w:val="00CE42F9"/>
    <w:rsid w:val="00CE4320"/>
    <w:rsid w:val="00CE46FA"/>
    <w:rsid w:val="00CE4DEF"/>
    <w:rsid w:val="00CE5C81"/>
    <w:rsid w:val="00CE620A"/>
    <w:rsid w:val="00CE62A8"/>
    <w:rsid w:val="00CE7A33"/>
    <w:rsid w:val="00CE7B6D"/>
    <w:rsid w:val="00CF0081"/>
    <w:rsid w:val="00CF05A8"/>
    <w:rsid w:val="00CF0CA5"/>
    <w:rsid w:val="00CF1106"/>
    <w:rsid w:val="00CF11B0"/>
    <w:rsid w:val="00CF1801"/>
    <w:rsid w:val="00CF1865"/>
    <w:rsid w:val="00CF22D0"/>
    <w:rsid w:val="00CF25B1"/>
    <w:rsid w:val="00CF289E"/>
    <w:rsid w:val="00CF28DC"/>
    <w:rsid w:val="00CF3109"/>
    <w:rsid w:val="00CF32DC"/>
    <w:rsid w:val="00CF32F2"/>
    <w:rsid w:val="00CF32F8"/>
    <w:rsid w:val="00CF38D8"/>
    <w:rsid w:val="00CF3AAD"/>
    <w:rsid w:val="00CF3E31"/>
    <w:rsid w:val="00CF4483"/>
    <w:rsid w:val="00CF44A9"/>
    <w:rsid w:val="00CF560A"/>
    <w:rsid w:val="00CF59B2"/>
    <w:rsid w:val="00CF5EF9"/>
    <w:rsid w:val="00CF6499"/>
    <w:rsid w:val="00CF6747"/>
    <w:rsid w:val="00CF68A0"/>
    <w:rsid w:val="00CF6F24"/>
    <w:rsid w:val="00CF758F"/>
    <w:rsid w:val="00CF7A1B"/>
    <w:rsid w:val="00CF7F29"/>
    <w:rsid w:val="00D000C3"/>
    <w:rsid w:val="00D00354"/>
    <w:rsid w:val="00D007AF"/>
    <w:rsid w:val="00D00A07"/>
    <w:rsid w:val="00D00DB2"/>
    <w:rsid w:val="00D00F43"/>
    <w:rsid w:val="00D01128"/>
    <w:rsid w:val="00D015DB"/>
    <w:rsid w:val="00D0176A"/>
    <w:rsid w:val="00D01DD8"/>
    <w:rsid w:val="00D021C6"/>
    <w:rsid w:val="00D025EF"/>
    <w:rsid w:val="00D02920"/>
    <w:rsid w:val="00D02C3B"/>
    <w:rsid w:val="00D03484"/>
    <w:rsid w:val="00D03666"/>
    <w:rsid w:val="00D03B19"/>
    <w:rsid w:val="00D03B87"/>
    <w:rsid w:val="00D03C9B"/>
    <w:rsid w:val="00D03CB0"/>
    <w:rsid w:val="00D03F4C"/>
    <w:rsid w:val="00D041B5"/>
    <w:rsid w:val="00D04B42"/>
    <w:rsid w:val="00D04D50"/>
    <w:rsid w:val="00D04E7A"/>
    <w:rsid w:val="00D05B78"/>
    <w:rsid w:val="00D06A5E"/>
    <w:rsid w:val="00D06B51"/>
    <w:rsid w:val="00D06C4C"/>
    <w:rsid w:val="00D06ED0"/>
    <w:rsid w:val="00D0717B"/>
    <w:rsid w:val="00D0751F"/>
    <w:rsid w:val="00D07574"/>
    <w:rsid w:val="00D103B5"/>
    <w:rsid w:val="00D11205"/>
    <w:rsid w:val="00D118B0"/>
    <w:rsid w:val="00D12465"/>
    <w:rsid w:val="00D124C6"/>
    <w:rsid w:val="00D12728"/>
    <w:rsid w:val="00D12A3C"/>
    <w:rsid w:val="00D12C2B"/>
    <w:rsid w:val="00D13361"/>
    <w:rsid w:val="00D1337C"/>
    <w:rsid w:val="00D13725"/>
    <w:rsid w:val="00D13A76"/>
    <w:rsid w:val="00D14024"/>
    <w:rsid w:val="00D14B88"/>
    <w:rsid w:val="00D14BF2"/>
    <w:rsid w:val="00D14EF7"/>
    <w:rsid w:val="00D14F13"/>
    <w:rsid w:val="00D1506A"/>
    <w:rsid w:val="00D151C7"/>
    <w:rsid w:val="00D157C7"/>
    <w:rsid w:val="00D159E4"/>
    <w:rsid w:val="00D15A0E"/>
    <w:rsid w:val="00D15E10"/>
    <w:rsid w:val="00D15E50"/>
    <w:rsid w:val="00D16CA0"/>
    <w:rsid w:val="00D16D2A"/>
    <w:rsid w:val="00D171A2"/>
    <w:rsid w:val="00D1725E"/>
    <w:rsid w:val="00D176F6"/>
    <w:rsid w:val="00D17849"/>
    <w:rsid w:val="00D17FFA"/>
    <w:rsid w:val="00D20802"/>
    <w:rsid w:val="00D21136"/>
    <w:rsid w:val="00D214BC"/>
    <w:rsid w:val="00D2153E"/>
    <w:rsid w:val="00D21C1A"/>
    <w:rsid w:val="00D2277F"/>
    <w:rsid w:val="00D22D45"/>
    <w:rsid w:val="00D23297"/>
    <w:rsid w:val="00D232FE"/>
    <w:rsid w:val="00D23E2C"/>
    <w:rsid w:val="00D24A2F"/>
    <w:rsid w:val="00D26912"/>
    <w:rsid w:val="00D26A5E"/>
    <w:rsid w:val="00D26D8E"/>
    <w:rsid w:val="00D27382"/>
    <w:rsid w:val="00D275A1"/>
    <w:rsid w:val="00D275B0"/>
    <w:rsid w:val="00D27A34"/>
    <w:rsid w:val="00D27B3A"/>
    <w:rsid w:val="00D30035"/>
    <w:rsid w:val="00D3026B"/>
    <w:rsid w:val="00D30464"/>
    <w:rsid w:val="00D304AB"/>
    <w:rsid w:val="00D30737"/>
    <w:rsid w:val="00D309D3"/>
    <w:rsid w:val="00D30BF1"/>
    <w:rsid w:val="00D30ED1"/>
    <w:rsid w:val="00D312BD"/>
    <w:rsid w:val="00D31676"/>
    <w:rsid w:val="00D316EB"/>
    <w:rsid w:val="00D3184F"/>
    <w:rsid w:val="00D31F3F"/>
    <w:rsid w:val="00D320FE"/>
    <w:rsid w:val="00D326D9"/>
    <w:rsid w:val="00D329C4"/>
    <w:rsid w:val="00D32AA2"/>
    <w:rsid w:val="00D32E6D"/>
    <w:rsid w:val="00D337C0"/>
    <w:rsid w:val="00D3382C"/>
    <w:rsid w:val="00D343C6"/>
    <w:rsid w:val="00D349CF"/>
    <w:rsid w:val="00D34F46"/>
    <w:rsid w:val="00D3500A"/>
    <w:rsid w:val="00D350A4"/>
    <w:rsid w:val="00D352C9"/>
    <w:rsid w:val="00D3561C"/>
    <w:rsid w:val="00D35A14"/>
    <w:rsid w:val="00D35A4A"/>
    <w:rsid w:val="00D35B53"/>
    <w:rsid w:val="00D35CA7"/>
    <w:rsid w:val="00D3637F"/>
    <w:rsid w:val="00D36982"/>
    <w:rsid w:val="00D36BAF"/>
    <w:rsid w:val="00D371EE"/>
    <w:rsid w:val="00D37820"/>
    <w:rsid w:val="00D37858"/>
    <w:rsid w:val="00D3793B"/>
    <w:rsid w:val="00D37D45"/>
    <w:rsid w:val="00D408A3"/>
    <w:rsid w:val="00D40B14"/>
    <w:rsid w:val="00D40B78"/>
    <w:rsid w:val="00D414FF"/>
    <w:rsid w:val="00D418AE"/>
    <w:rsid w:val="00D41CF1"/>
    <w:rsid w:val="00D41E36"/>
    <w:rsid w:val="00D41E74"/>
    <w:rsid w:val="00D42096"/>
    <w:rsid w:val="00D42356"/>
    <w:rsid w:val="00D4236E"/>
    <w:rsid w:val="00D42476"/>
    <w:rsid w:val="00D428DA"/>
    <w:rsid w:val="00D42DDA"/>
    <w:rsid w:val="00D42E8F"/>
    <w:rsid w:val="00D43567"/>
    <w:rsid w:val="00D4359C"/>
    <w:rsid w:val="00D43C22"/>
    <w:rsid w:val="00D44321"/>
    <w:rsid w:val="00D44660"/>
    <w:rsid w:val="00D44882"/>
    <w:rsid w:val="00D45146"/>
    <w:rsid w:val="00D45341"/>
    <w:rsid w:val="00D454B4"/>
    <w:rsid w:val="00D45739"/>
    <w:rsid w:val="00D457F5"/>
    <w:rsid w:val="00D45DCB"/>
    <w:rsid w:val="00D45E1A"/>
    <w:rsid w:val="00D45EA4"/>
    <w:rsid w:val="00D45EB9"/>
    <w:rsid w:val="00D45F19"/>
    <w:rsid w:val="00D46298"/>
    <w:rsid w:val="00D4652C"/>
    <w:rsid w:val="00D471FA"/>
    <w:rsid w:val="00D47946"/>
    <w:rsid w:val="00D47BD2"/>
    <w:rsid w:val="00D47F63"/>
    <w:rsid w:val="00D50361"/>
    <w:rsid w:val="00D50682"/>
    <w:rsid w:val="00D506A1"/>
    <w:rsid w:val="00D50B84"/>
    <w:rsid w:val="00D5155C"/>
    <w:rsid w:val="00D515F0"/>
    <w:rsid w:val="00D518AE"/>
    <w:rsid w:val="00D51B16"/>
    <w:rsid w:val="00D51CAA"/>
    <w:rsid w:val="00D52111"/>
    <w:rsid w:val="00D52629"/>
    <w:rsid w:val="00D52B0B"/>
    <w:rsid w:val="00D52EEC"/>
    <w:rsid w:val="00D52F14"/>
    <w:rsid w:val="00D52FCF"/>
    <w:rsid w:val="00D536E4"/>
    <w:rsid w:val="00D5382E"/>
    <w:rsid w:val="00D53DF9"/>
    <w:rsid w:val="00D54706"/>
    <w:rsid w:val="00D54B44"/>
    <w:rsid w:val="00D54C35"/>
    <w:rsid w:val="00D54FD1"/>
    <w:rsid w:val="00D550BF"/>
    <w:rsid w:val="00D5588A"/>
    <w:rsid w:val="00D55D88"/>
    <w:rsid w:val="00D56210"/>
    <w:rsid w:val="00D56A5F"/>
    <w:rsid w:val="00D56DFC"/>
    <w:rsid w:val="00D56FF4"/>
    <w:rsid w:val="00D5714F"/>
    <w:rsid w:val="00D571A1"/>
    <w:rsid w:val="00D6028C"/>
    <w:rsid w:val="00D60562"/>
    <w:rsid w:val="00D60881"/>
    <w:rsid w:val="00D60BB3"/>
    <w:rsid w:val="00D60DB3"/>
    <w:rsid w:val="00D60DF4"/>
    <w:rsid w:val="00D61680"/>
    <w:rsid w:val="00D61681"/>
    <w:rsid w:val="00D617D7"/>
    <w:rsid w:val="00D61BA6"/>
    <w:rsid w:val="00D62472"/>
    <w:rsid w:val="00D6279C"/>
    <w:rsid w:val="00D62A56"/>
    <w:rsid w:val="00D62A76"/>
    <w:rsid w:val="00D62CED"/>
    <w:rsid w:val="00D63096"/>
    <w:rsid w:val="00D63971"/>
    <w:rsid w:val="00D63AEC"/>
    <w:rsid w:val="00D63DA4"/>
    <w:rsid w:val="00D63EE9"/>
    <w:rsid w:val="00D644E5"/>
    <w:rsid w:val="00D64822"/>
    <w:rsid w:val="00D656EF"/>
    <w:rsid w:val="00D65B79"/>
    <w:rsid w:val="00D65E37"/>
    <w:rsid w:val="00D65FA9"/>
    <w:rsid w:val="00D66226"/>
    <w:rsid w:val="00D664BF"/>
    <w:rsid w:val="00D6692F"/>
    <w:rsid w:val="00D67105"/>
    <w:rsid w:val="00D67234"/>
    <w:rsid w:val="00D67B66"/>
    <w:rsid w:val="00D67FC0"/>
    <w:rsid w:val="00D700F6"/>
    <w:rsid w:val="00D705D9"/>
    <w:rsid w:val="00D7072C"/>
    <w:rsid w:val="00D70836"/>
    <w:rsid w:val="00D70851"/>
    <w:rsid w:val="00D70934"/>
    <w:rsid w:val="00D70FFA"/>
    <w:rsid w:val="00D71083"/>
    <w:rsid w:val="00D71678"/>
    <w:rsid w:val="00D71B69"/>
    <w:rsid w:val="00D7218C"/>
    <w:rsid w:val="00D723B8"/>
    <w:rsid w:val="00D7279A"/>
    <w:rsid w:val="00D72E16"/>
    <w:rsid w:val="00D73030"/>
    <w:rsid w:val="00D74300"/>
    <w:rsid w:val="00D74B22"/>
    <w:rsid w:val="00D74DC3"/>
    <w:rsid w:val="00D751F6"/>
    <w:rsid w:val="00D75A07"/>
    <w:rsid w:val="00D7649D"/>
    <w:rsid w:val="00D7798F"/>
    <w:rsid w:val="00D77F81"/>
    <w:rsid w:val="00D8012F"/>
    <w:rsid w:val="00D803B9"/>
    <w:rsid w:val="00D80804"/>
    <w:rsid w:val="00D80B71"/>
    <w:rsid w:val="00D81297"/>
    <w:rsid w:val="00D816C7"/>
    <w:rsid w:val="00D8179E"/>
    <w:rsid w:val="00D826B4"/>
    <w:rsid w:val="00D834F0"/>
    <w:rsid w:val="00D836F1"/>
    <w:rsid w:val="00D83708"/>
    <w:rsid w:val="00D83D9D"/>
    <w:rsid w:val="00D83F63"/>
    <w:rsid w:val="00D84111"/>
    <w:rsid w:val="00D841C4"/>
    <w:rsid w:val="00D84504"/>
    <w:rsid w:val="00D84558"/>
    <w:rsid w:val="00D848FD"/>
    <w:rsid w:val="00D84A05"/>
    <w:rsid w:val="00D8548C"/>
    <w:rsid w:val="00D8580A"/>
    <w:rsid w:val="00D861F3"/>
    <w:rsid w:val="00D8620F"/>
    <w:rsid w:val="00D86703"/>
    <w:rsid w:val="00D87024"/>
    <w:rsid w:val="00D87161"/>
    <w:rsid w:val="00D875F2"/>
    <w:rsid w:val="00D8766D"/>
    <w:rsid w:val="00D877C7"/>
    <w:rsid w:val="00D87A2A"/>
    <w:rsid w:val="00D87A6C"/>
    <w:rsid w:val="00D87B59"/>
    <w:rsid w:val="00D87DD9"/>
    <w:rsid w:val="00D87FDB"/>
    <w:rsid w:val="00D900DC"/>
    <w:rsid w:val="00D907A0"/>
    <w:rsid w:val="00D907DD"/>
    <w:rsid w:val="00D909C1"/>
    <w:rsid w:val="00D90F2C"/>
    <w:rsid w:val="00D9107F"/>
    <w:rsid w:val="00D9111A"/>
    <w:rsid w:val="00D9137C"/>
    <w:rsid w:val="00D9164C"/>
    <w:rsid w:val="00D91ACD"/>
    <w:rsid w:val="00D921D8"/>
    <w:rsid w:val="00D92825"/>
    <w:rsid w:val="00D929FE"/>
    <w:rsid w:val="00D92EC9"/>
    <w:rsid w:val="00D93A90"/>
    <w:rsid w:val="00D94468"/>
    <w:rsid w:val="00D94557"/>
    <w:rsid w:val="00D94584"/>
    <w:rsid w:val="00D94B7A"/>
    <w:rsid w:val="00D94EF2"/>
    <w:rsid w:val="00D950F1"/>
    <w:rsid w:val="00D95238"/>
    <w:rsid w:val="00D95BB0"/>
    <w:rsid w:val="00D95D60"/>
    <w:rsid w:val="00D96550"/>
    <w:rsid w:val="00D9718C"/>
    <w:rsid w:val="00D9735D"/>
    <w:rsid w:val="00D973AC"/>
    <w:rsid w:val="00D975AD"/>
    <w:rsid w:val="00D975CF"/>
    <w:rsid w:val="00D97CD8"/>
    <w:rsid w:val="00DA0244"/>
    <w:rsid w:val="00DA03A5"/>
    <w:rsid w:val="00DA0545"/>
    <w:rsid w:val="00DA08CD"/>
    <w:rsid w:val="00DA0C9C"/>
    <w:rsid w:val="00DA1342"/>
    <w:rsid w:val="00DA15FD"/>
    <w:rsid w:val="00DA1D42"/>
    <w:rsid w:val="00DA284A"/>
    <w:rsid w:val="00DA2D18"/>
    <w:rsid w:val="00DA302C"/>
    <w:rsid w:val="00DA3377"/>
    <w:rsid w:val="00DA351E"/>
    <w:rsid w:val="00DA3A4A"/>
    <w:rsid w:val="00DA3D3E"/>
    <w:rsid w:val="00DA3DB6"/>
    <w:rsid w:val="00DA3EB4"/>
    <w:rsid w:val="00DA4112"/>
    <w:rsid w:val="00DA424D"/>
    <w:rsid w:val="00DA4841"/>
    <w:rsid w:val="00DA4E77"/>
    <w:rsid w:val="00DA50DB"/>
    <w:rsid w:val="00DA52E9"/>
    <w:rsid w:val="00DA535C"/>
    <w:rsid w:val="00DA5608"/>
    <w:rsid w:val="00DA5629"/>
    <w:rsid w:val="00DA5BF3"/>
    <w:rsid w:val="00DA5D6B"/>
    <w:rsid w:val="00DA5D7E"/>
    <w:rsid w:val="00DA5EEC"/>
    <w:rsid w:val="00DA6212"/>
    <w:rsid w:val="00DA6430"/>
    <w:rsid w:val="00DA68B5"/>
    <w:rsid w:val="00DA6934"/>
    <w:rsid w:val="00DA6F88"/>
    <w:rsid w:val="00DA74EB"/>
    <w:rsid w:val="00DA77AD"/>
    <w:rsid w:val="00DA7F14"/>
    <w:rsid w:val="00DB019C"/>
    <w:rsid w:val="00DB0947"/>
    <w:rsid w:val="00DB0A2F"/>
    <w:rsid w:val="00DB0C02"/>
    <w:rsid w:val="00DB1084"/>
    <w:rsid w:val="00DB12BF"/>
    <w:rsid w:val="00DB1450"/>
    <w:rsid w:val="00DB1B88"/>
    <w:rsid w:val="00DB21A6"/>
    <w:rsid w:val="00DB23B7"/>
    <w:rsid w:val="00DB2551"/>
    <w:rsid w:val="00DB276C"/>
    <w:rsid w:val="00DB295C"/>
    <w:rsid w:val="00DB32C6"/>
    <w:rsid w:val="00DB3CAE"/>
    <w:rsid w:val="00DB40C9"/>
    <w:rsid w:val="00DB4A95"/>
    <w:rsid w:val="00DB50AE"/>
    <w:rsid w:val="00DB51A2"/>
    <w:rsid w:val="00DB54CF"/>
    <w:rsid w:val="00DB593E"/>
    <w:rsid w:val="00DB5DD1"/>
    <w:rsid w:val="00DB6001"/>
    <w:rsid w:val="00DB6325"/>
    <w:rsid w:val="00DB6EC6"/>
    <w:rsid w:val="00DB72AA"/>
    <w:rsid w:val="00DB7670"/>
    <w:rsid w:val="00DB772F"/>
    <w:rsid w:val="00DB7C27"/>
    <w:rsid w:val="00DB7C3A"/>
    <w:rsid w:val="00DC002D"/>
    <w:rsid w:val="00DC0C19"/>
    <w:rsid w:val="00DC0C4A"/>
    <w:rsid w:val="00DC0CA3"/>
    <w:rsid w:val="00DC0E10"/>
    <w:rsid w:val="00DC1BEE"/>
    <w:rsid w:val="00DC20CF"/>
    <w:rsid w:val="00DC21B2"/>
    <w:rsid w:val="00DC2F6B"/>
    <w:rsid w:val="00DC3057"/>
    <w:rsid w:val="00DC31E6"/>
    <w:rsid w:val="00DC3322"/>
    <w:rsid w:val="00DC34FB"/>
    <w:rsid w:val="00DC35D9"/>
    <w:rsid w:val="00DC3693"/>
    <w:rsid w:val="00DC3AF5"/>
    <w:rsid w:val="00DC3FFD"/>
    <w:rsid w:val="00DC417A"/>
    <w:rsid w:val="00DC4629"/>
    <w:rsid w:val="00DC478B"/>
    <w:rsid w:val="00DC4AE0"/>
    <w:rsid w:val="00DC4BA4"/>
    <w:rsid w:val="00DC4E07"/>
    <w:rsid w:val="00DC5116"/>
    <w:rsid w:val="00DC56D9"/>
    <w:rsid w:val="00DC580C"/>
    <w:rsid w:val="00DC58BE"/>
    <w:rsid w:val="00DC58EE"/>
    <w:rsid w:val="00DC5A28"/>
    <w:rsid w:val="00DC6269"/>
    <w:rsid w:val="00DC6906"/>
    <w:rsid w:val="00DC751A"/>
    <w:rsid w:val="00DC788C"/>
    <w:rsid w:val="00DC789C"/>
    <w:rsid w:val="00DC7E88"/>
    <w:rsid w:val="00DD0207"/>
    <w:rsid w:val="00DD030F"/>
    <w:rsid w:val="00DD0484"/>
    <w:rsid w:val="00DD0993"/>
    <w:rsid w:val="00DD0D15"/>
    <w:rsid w:val="00DD0D1D"/>
    <w:rsid w:val="00DD0F6F"/>
    <w:rsid w:val="00DD15C1"/>
    <w:rsid w:val="00DD2154"/>
    <w:rsid w:val="00DD2294"/>
    <w:rsid w:val="00DD2511"/>
    <w:rsid w:val="00DD286E"/>
    <w:rsid w:val="00DD3079"/>
    <w:rsid w:val="00DD323C"/>
    <w:rsid w:val="00DD38E7"/>
    <w:rsid w:val="00DD3D9F"/>
    <w:rsid w:val="00DD4048"/>
    <w:rsid w:val="00DD40E8"/>
    <w:rsid w:val="00DD4187"/>
    <w:rsid w:val="00DD4556"/>
    <w:rsid w:val="00DD5976"/>
    <w:rsid w:val="00DD5B73"/>
    <w:rsid w:val="00DD6148"/>
    <w:rsid w:val="00DD6C4B"/>
    <w:rsid w:val="00DD70AB"/>
    <w:rsid w:val="00DD7658"/>
    <w:rsid w:val="00DD7734"/>
    <w:rsid w:val="00DD7C7A"/>
    <w:rsid w:val="00DD7D7D"/>
    <w:rsid w:val="00DD7E4C"/>
    <w:rsid w:val="00DE0001"/>
    <w:rsid w:val="00DE0239"/>
    <w:rsid w:val="00DE0ACD"/>
    <w:rsid w:val="00DE0B4F"/>
    <w:rsid w:val="00DE0B67"/>
    <w:rsid w:val="00DE0E97"/>
    <w:rsid w:val="00DE1A65"/>
    <w:rsid w:val="00DE1B51"/>
    <w:rsid w:val="00DE1D06"/>
    <w:rsid w:val="00DE1DFC"/>
    <w:rsid w:val="00DE2196"/>
    <w:rsid w:val="00DE267E"/>
    <w:rsid w:val="00DE29B9"/>
    <w:rsid w:val="00DE30D8"/>
    <w:rsid w:val="00DE3182"/>
    <w:rsid w:val="00DE3564"/>
    <w:rsid w:val="00DE4750"/>
    <w:rsid w:val="00DE4B3E"/>
    <w:rsid w:val="00DE4F27"/>
    <w:rsid w:val="00DE4FEF"/>
    <w:rsid w:val="00DE5025"/>
    <w:rsid w:val="00DE51A4"/>
    <w:rsid w:val="00DE5223"/>
    <w:rsid w:val="00DE5536"/>
    <w:rsid w:val="00DE5694"/>
    <w:rsid w:val="00DE61E9"/>
    <w:rsid w:val="00DE66CE"/>
    <w:rsid w:val="00DE66D6"/>
    <w:rsid w:val="00DE69FD"/>
    <w:rsid w:val="00DE6A19"/>
    <w:rsid w:val="00DE6A91"/>
    <w:rsid w:val="00DE6E8D"/>
    <w:rsid w:val="00DE7175"/>
    <w:rsid w:val="00DE780A"/>
    <w:rsid w:val="00DF0537"/>
    <w:rsid w:val="00DF074F"/>
    <w:rsid w:val="00DF0923"/>
    <w:rsid w:val="00DF09DC"/>
    <w:rsid w:val="00DF0ADE"/>
    <w:rsid w:val="00DF0ED1"/>
    <w:rsid w:val="00DF0ED4"/>
    <w:rsid w:val="00DF0F26"/>
    <w:rsid w:val="00DF1159"/>
    <w:rsid w:val="00DF11A9"/>
    <w:rsid w:val="00DF12A2"/>
    <w:rsid w:val="00DF1322"/>
    <w:rsid w:val="00DF13BC"/>
    <w:rsid w:val="00DF140B"/>
    <w:rsid w:val="00DF141F"/>
    <w:rsid w:val="00DF169B"/>
    <w:rsid w:val="00DF2061"/>
    <w:rsid w:val="00DF2088"/>
    <w:rsid w:val="00DF208F"/>
    <w:rsid w:val="00DF24DB"/>
    <w:rsid w:val="00DF2A18"/>
    <w:rsid w:val="00DF2B2B"/>
    <w:rsid w:val="00DF2C19"/>
    <w:rsid w:val="00DF2D52"/>
    <w:rsid w:val="00DF32FF"/>
    <w:rsid w:val="00DF3729"/>
    <w:rsid w:val="00DF3F70"/>
    <w:rsid w:val="00DF44BD"/>
    <w:rsid w:val="00DF45ED"/>
    <w:rsid w:val="00DF4A7A"/>
    <w:rsid w:val="00DF4A91"/>
    <w:rsid w:val="00DF4F12"/>
    <w:rsid w:val="00DF4FF5"/>
    <w:rsid w:val="00DF5841"/>
    <w:rsid w:val="00DF5CB5"/>
    <w:rsid w:val="00DF5E60"/>
    <w:rsid w:val="00DF6096"/>
    <w:rsid w:val="00DF6362"/>
    <w:rsid w:val="00DF65E4"/>
    <w:rsid w:val="00DF6AFE"/>
    <w:rsid w:val="00DF6D68"/>
    <w:rsid w:val="00DF6F76"/>
    <w:rsid w:val="00DF74F2"/>
    <w:rsid w:val="00DF798E"/>
    <w:rsid w:val="00E002B5"/>
    <w:rsid w:val="00E00BF9"/>
    <w:rsid w:val="00E00D0E"/>
    <w:rsid w:val="00E010CF"/>
    <w:rsid w:val="00E0131B"/>
    <w:rsid w:val="00E01B87"/>
    <w:rsid w:val="00E01E6C"/>
    <w:rsid w:val="00E02074"/>
    <w:rsid w:val="00E0281B"/>
    <w:rsid w:val="00E02C9D"/>
    <w:rsid w:val="00E0393E"/>
    <w:rsid w:val="00E03B4E"/>
    <w:rsid w:val="00E03F90"/>
    <w:rsid w:val="00E0427D"/>
    <w:rsid w:val="00E042A2"/>
    <w:rsid w:val="00E04EA0"/>
    <w:rsid w:val="00E05392"/>
    <w:rsid w:val="00E05920"/>
    <w:rsid w:val="00E05E5A"/>
    <w:rsid w:val="00E05F4C"/>
    <w:rsid w:val="00E05FDE"/>
    <w:rsid w:val="00E0659E"/>
    <w:rsid w:val="00E066D7"/>
    <w:rsid w:val="00E070E4"/>
    <w:rsid w:val="00E07338"/>
    <w:rsid w:val="00E10069"/>
    <w:rsid w:val="00E1082C"/>
    <w:rsid w:val="00E10DB4"/>
    <w:rsid w:val="00E10EF0"/>
    <w:rsid w:val="00E1163E"/>
    <w:rsid w:val="00E11875"/>
    <w:rsid w:val="00E11A04"/>
    <w:rsid w:val="00E11A81"/>
    <w:rsid w:val="00E12136"/>
    <w:rsid w:val="00E12809"/>
    <w:rsid w:val="00E12AD1"/>
    <w:rsid w:val="00E12F75"/>
    <w:rsid w:val="00E134E6"/>
    <w:rsid w:val="00E140E0"/>
    <w:rsid w:val="00E14C4E"/>
    <w:rsid w:val="00E14F7E"/>
    <w:rsid w:val="00E15088"/>
    <w:rsid w:val="00E15239"/>
    <w:rsid w:val="00E15382"/>
    <w:rsid w:val="00E157AA"/>
    <w:rsid w:val="00E15B7A"/>
    <w:rsid w:val="00E15BF6"/>
    <w:rsid w:val="00E15CB0"/>
    <w:rsid w:val="00E15D50"/>
    <w:rsid w:val="00E168D0"/>
    <w:rsid w:val="00E173CE"/>
    <w:rsid w:val="00E17CCA"/>
    <w:rsid w:val="00E17E3D"/>
    <w:rsid w:val="00E17EC4"/>
    <w:rsid w:val="00E2073E"/>
    <w:rsid w:val="00E20AC9"/>
    <w:rsid w:val="00E20AF4"/>
    <w:rsid w:val="00E20CDF"/>
    <w:rsid w:val="00E21374"/>
    <w:rsid w:val="00E21489"/>
    <w:rsid w:val="00E2151A"/>
    <w:rsid w:val="00E21BE4"/>
    <w:rsid w:val="00E225E2"/>
    <w:rsid w:val="00E226B1"/>
    <w:rsid w:val="00E22763"/>
    <w:rsid w:val="00E227D6"/>
    <w:rsid w:val="00E23171"/>
    <w:rsid w:val="00E236B1"/>
    <w:rsid w:val="00E23B12"/>
    <w:rsid w:val="00E24536"/>
    <w:rsid w:val="00E24F54"/>
    <w:rsid w:val="00E253B0"/>
    <w:rsid w:val="00E25997"/>
    <w:rsid w:val="00E2644E"/>
    <w:rsid w:val="00E26CEA"/>
    <w:rsid w:val="00E3029F"/>
    <w:rsid w:val="00E302B0"/>
    <w:rsid w:val="00E304AF"/>
    <w:rsid w:val="00E30FA5"/>
    <w:rsid w:val="00E31134"/>
    <w:rsid w:val="00E321C1"/>
    <w:rsid w:val="00E3252C"/>
    <w:rsid w:val="00E32F1F"/>
    <w:rsid w:val="00E3342B"/>
    <w:rsid w:val="00E33455"/>
    <w:rsid w:val="00E3362C"/>
    <w:rsid w:val="00E33807"/>
    <w:rsid w:val="00E33E7E"/>
    <w:rsid w:val="00E342F7"/>
    <w:rsid w:val="00E35060"/>
    <w:rsid w:val="00E35128"/>
    <w:rsid w:val="00E3550C"/>
    <w:rsid w:val="00E35521"/>
    <w:rsid w:val="00E35635"/>
    <w:rsid w:val="00E357AA"/>
    <w:rsid w:val="00E35FEC"/>
    <w:rsid w:val="00E36281"/>
    <w:rsid w:val="00E36356"/>
    <w:rsid w:val="00E366F0"/>
    <w:rsid w:val="00E36C1E"/>
    <w:rsid w:val="00E36C42"/>
    <w:rsid w:val="00E36F99"/>
    <w:rsid w:val="00E37454"/>
    <w:rsid w:val="00E377A9"/>
    <w:rsid w:val="00E3783C"/>
    <w:rsid w:val="00E37923"/>
    <w:rsid w:val="00E4086D"/>
    <w:rsid w:val="00E410A7"/>
    <w:rsid w:val="00E41453"/>
    <w:rsid w:val="00E4151D"/>
    <w:rsid w:val="00E41BF1"/>
    <w:rsid w:val="00E41FD1"/>
    <w:rsid w:val="00E42CA5"/>
    <w:rsid w:val="00E43081"/>
    <w:rsid w:val="00E43214"/>
    <w:rsid w:val="00E438CB"/>
    <w:rsid w:val="00E43B41"/>
    <w:rsid w:val="00E43F53"/>
    <w:rsid w:val="00E43FF4"/>
    <w:rsid w:val="00E4404A"/>
    <w:rsid w:val="00E443F7"/>
    <w:rsid w:val="00E44519"/>
    <w:rsid w:val="00E44861"/>
    <w:rsid w:val="00E449B5"/>
    <w:rsid w:val="00E44A71"/>
    <w:rsid w:val="00E44BBD"/>
    <w:rsid w:val="00E44C3D"/>
    <w:rsid w:val="00E44DE8"/>
    <w:rsid w:val="00E44E9B"/>
    <w:rsid w:val="00E44FDE"/>
    <w:rsid w:val="00E452D0"/>
    <w:rsid w:val="00E45398"/>
    <w:rsid w:val="00E45AE2"/>
    <w:rsid w:val="00E45D16"/>
    <w:rsid w:val="00E462B7"/>
    <w:rsid w:val="00E4633B"/>
    <w:rsid w:val="00E46BF7"/>
    <w:rsid w:val="00E47121"/>
    <w:rsid w:val="00E47539"/>
    <w:rsid w:val="00E475A4"/>
    <w:rsid w:val="00E475BB"/>
    <w:rsid w:val="00E47EF2"/>
    <w:rsid w:val="00E500C7"/>
    <w:rsid w:val="00E50105"/>
    <w:rsid w:val="00E503FB"/>
    <w:rsid w:val="00E5069D"/>
    <w:rsid w:val="00E50BDB"/>
    <w:rsid w:val="00E50D4F"/>
    <w:rsid w:val="00E50F25"/>
    <w:rsid w:val="00E51177"/>
    <w:rsid w:val="00E511ED"/>
    <w:rsid w:val="00E514D7"/>
    <w:rsid w:val="00E5158C"/>
    <w:rsid w:val="00E51BF2"/>
    <w:rsid w:val="00E51BF7"/>
    <w:rsid w:val="00E522FA"/>
    <w:rsid w:val="00E52492"/>
    <w:rsid w:val="00E52586"/>
    <w:rsid w:val="00E52719"/>
    <w:rsid w:val="00E52899"/>
    <w:rsid w:val="00E53302"/>
    <w:rsid w:val="00E53469"/>
    <w:rsid w:val="00E534D3"/>
    <w:rsid w:val="00E53E1F"/>
    <w:rsid w:val="00E53E4F"/>
    <w:rsid w:val="00E53E5D"/>
    <w:rsid w:val="00E54012"/>
    <w:rsid w:val="00E54A1A"/>
    <w:rsid w:val="00E55201"/>
    <w:rsid w:val="00E55A9D"/>
    <w:rsid w:val="00E55DE6"/>
    <w:rsid w:val="00E55F7F"/>
    <w:rsid w:val="00E561E1"/>
    <w:rsid w:val="00E563AA"/>
    <w:rsid w:val="00E5673B"/>
    <w:rsid w:val="00E572C4"/>
    <w:rsid w:val="00E57A6A"/>
    <w:rsid w:val="00E609CD"/>
    <w:rsid w:val="00E60E1E"/>
    <w:rsid w:val="00E6101F"/>
    <w:rsid w:val="00E61828"/>
    <w:rsid w:val="00E61B4B"/>
    <w:rsid w:val="00E61E3A"/>
    <w:rsid w:val="00E61FDE"/>
    <w:rsid w:val="00E6200F"/>
    <w:rsid w:val="00E625BE"/>
    <w:rsid w:val="00E625D1"/>
    <w:rsid w:val="00E62797"/>
    <w:rsid w:val="00E62DC4"/>
    <w:rsid w:val="00E62EB1"/>
    <w:rsid w:val="00E63B3C"/>
    <w:rsid w:val="00E640C3"/>
    <w:rsid w:val="00E64443"/>
    <w:rsid w:val="00E645C1"/>
    <w:rsid w:val="00E646A6"/>
    <w:rsid w:val="00E64935"/>
    <w:rsid w:val="00E6532F"/>
    <w:rsid w:val="00E65AB4"/>
    <w:rsid w:val="00E65AD2"/>
    <w:rsid w:val="00E65AE6"/>
    <w:rsid w:val="00E65F23"/>
    <w:rsid w:val="00E65F80"/>
    <w:rsid w:val="00E66578"/>
    <w:rsid w:val="00E66778"/>
    <w:rsid w:val="00E66883"/>
    <w:rsid w:val="00E66AD2"/>
    <w:rsid w:val="00E66B75"/>
    <w:rsid w:val="00E673C8"/>
    <w:rsid w:val="00E676D9"/>
    <w:rsid w:val="00E678B3"/>
    <w:rsid w:val="00E67DDF"/>
    <w:rsid w:val="00E70229"/>
    <w:rsid w:val="00E7049B"/>
    <w:rsid w:val="00E70672"/>
    <w:rsid w:val="00E70684"/>
    <w:rsid w:val="00E7075F"/>
    <w:rsid w:val="00E70882"/>
    <w:rsid w:val="00E70E08"/>
    <w:rsid w:val="00E717B8"/>
    <w:rsid w:val="00E71D0F"/>
    <w:rsid w:val="00E71D9F"/>
    <w:rsid w:val="00E727D4"/>
    <w:rsid w:val="00E7288F"/>
    <w:rsid w:val="00E72975"/>
    <w:rsid w:val="00E72A22"/>
    <w:rsid w:val="00E72A89"/>
    <w:rsid w:val="00E73090"/>
    <w:rsid w:val="00E7393C"/>
    <w:rsid w:val="00E74A12"/>
    <w:rsid w:val="00E74EA7"/>
    <w:rsid w:val="00E7558D"/>
    <w:rsid w:val="00E7591A"/>
    <w:rsid w:val="00E775D0"/>
    <w:rsid w:val="00E77B62"/>
    <w:rsid w:val="00E77DF9"/>
    <w:rsid w:val="00E80A34"/>
    <w:rsid w:val="00E80B79"/>
    <w:rsid w:val="00E80D61"/>
    <w:rsid w:val="00E8113C"/>
    <w:rsid w:val="00E8130D"/>
    <w:rsid w:val="00E813D1"/>
    <w:rsid w:val="00E817DC"/>
    <w:rsid w:val="00E81BD2"/>
    <w:rsid w:val="00E82268"/>
    <w:rsid w:val="00E82407"/>
    <w:rsid w:val="00E829BA"/>
    <w:rsid w:val="00E829C6"/>
    <w:rsid w:val="00E83097"/>
    <w:rsid w:val="00E8335C"/>
    <w:rsid w:val="00E8369B"/>
    <w:rsid w:val="00E839CC"/>
    <w:rsid w:val="00E84F47"/>
    <w:rsid w:val="00E85010"/>
    <w:rsid w:val="00E85664"/>
    <w:rsid w:val="00E858AB"/>
    <w:rsid w:val="00E85AB2"/>
    <w:rsid w:val="00E85B99"/>
    <w:rsid w:val="00E86259"/>
    <w:rsid w:val="00E86264"/>
    <w:rsid w:val="00E862CD"/>
    <w:rsid w:val="00E86764"/>
    <w:rsid w:val="00E867C3"/>
    <w:rsid w:val="00E86898"/>
    <w:rsid w:val="00E86B76"/>
    <w:rsid w:val="00E86C39"/>
    <w:rsid w:val="00E86E5E"/>
    <w:rsid w:val="00E87E34"/>
    <w:rsid w:val="00E902F4"/>
    <w:rsid w:val="00E90FBF"/>
    <w:rsid w:val="00E9106F"/>
    <w:rsid w:val="00E916E5"/>
    <w:rsid w:val="00E91966"/>
    <w:rsid w:val="00E919D9"/>
    <w:rsid w:val="00E92266"/>
    <w:rsid w:val="00E93496"/>
    <w:rsid w:val="00E93B64"/>
    <w:rsid w:val="00E93CFB"/>
    <w:rsid w:val="00E93DCA"/>
    <w:rsid w:val="00E93F0B"/>
    <w:rsid w:val="00E9504F"/>
    <w:rsid w:val="00E9521E"/>
    <w:rsid w:val="00E95267"/>
    <w:rsid w:val="00E9595F"/>
    <w:rsid w:val="00E95A50"/>
    <w:rsid w:val="00E95F7D"/>
    <w:rsid w:val="00E964EF"/>
    <w:rsid w:val="00E96937"/>
    <w:rsid w:val="00E96A0A"/>
    <w:rsid w:val="00E96A27"/>
    <w:rsid w:val="00E96D08"/>
    <w:rsid w:val="00EA0277"/>
    <w:rsid w:val="00EA03A5"/>
    <w:rsid w:val="00EA045A"/>
    <w:rsid w:val="00EA08F4"/>
    <w:rsid w:val="00EA0907"/>
    <w:rsid w:val="00EA1429"/>
    <w:rsid w:val="00EA14AD"/>
    <w:rsid w:val="00EA17B0"/>
    <w:rsid w:val="00EA1AFB"/>
    <w:rsid w:val="00EA1E3F"/>
    <w:rsid w:val="00EA1F27"/>
    <w:rsid w:val="00EA265E"/>
    <w:rsid w:val="00EA2C5E"/>
    <w:rsid w:val="00EA2D8D"/>
    <w:rsid w:val="00EA32D2"/>
    <w:rsid w:val="00EA33F1"/>
    <w:rsid w:val="00EA353A"/>
    <w:rsid w:val="00EA353B"/>
    <w:rsid w:val="00EA357B"/>
    <w:rsid w:val="00EA394E"/>
    <w:rsid w:val="00EA39FE"/>
    <w:rsid w:val="00EA4060"/>
    <w:rsid w:val="00EA43AE"/>
    <w:rsid w:val="00EA4461"/>
    <w:rsid w:val="00EA4ADC"/>
    <w:rsid w:val="00EA4DF0"/>
    <w:rsid w:val="00EA50E1"/>
    <w:rsid w:val="00EA5665"/>
    <w:rsid w:val="00EA59D5"/>
    <w:rsid w:val="00EA5EBF"/>
    <w:rsid w:val="00EA616B"/>
    <w:rsid w:val="00EA6978"/>
    <w:rsid w:val="00EA69DE"/>
    <w:rsid w:val="00EA6CA7"/>
    <w:rsid w:val="00EA71D9"/>
    <w:rsid w:val="00EA72AC"/>
    <w:rsid w:val="00EA7B35"/>
    <w:rsid w:val="00EA7D8F"/>
    <w:rsid w:val="00EA7F13"/>
    <w:rsid w:val="00EB0103"/>
    <w:rsid w:val="00EB0252"/>
    <w:rsid w:val="00EB0865"/>
    <w:rsid w:val="00EB0B95"/>
    <w:rsid w:val="00EB0E34"/>
    <w:rsid w:val="00EB0F57"/>
    <w:rsid w:val="00EB140D"/>
    <w:rsid w:val="00EB1708"/>
    <w:rsid w:val="00EB1F46"/>
    <w:rsid w:val="00EB2594"/>
    <w:rsid w:val="00EB281F"/>
    <w:rsid w:val="00EB2D39"/>
    <w:rsid w:val="00EB2D57"/>
    <w:rsid w:val="00EB2D78"/>
    <w:rsid w:val="00EB3362"/>
    <w:rsid w:val="00EB42E6"/>
    <w:rsid w:val="00EB43F6"/>
    <w:rsid w:val="00EB464C"/>
    <w:rsid w:val="00EB4702"/>
    <w:rsid w:val="00EB4A93"/>
    <w:rsid w:val="00EB5365"/>
    <w:rsid w:val="00EB5480"/>
    <w:rsid w:val="00EB54CD"/>
    <w:rsid w:val="00EB55B5"/>
    <w:rsid w:val="00EB5B48"/>
    <w:rsid w:val="00EB5B51"/>
    <w:rsid w:val="00EB5DE2"/>
    <w:rsid w:val="00EB6186"/>
    <w:rsid w:val="00EB64AC"/>
    <w:rsid w:val="00EB67D9"/>
    <w:rsid w:val="00EB6AAC"/>
    <w:rsid w:val="00EB6C6F"/>
    <w:rsid w:val="00EB6CA4"/>
    <w:rsid w:val="00EB6CE0"/>
    <w:rsid w:val="00EB6E74"/>
    <w:rsid w:val="00EB7724"/>
    <w:rsid w:val="00EB7803"/>
    <w:rsid w:val="00EB7BDF"/>
    <w:rsid w:val="00EB7FC4"/>
    <w:rsid w:val="00EC000C"/>
    <w:rsid w:val="00EC029A"/>
    <w:rsid w:val="00EC093B"/>
    <w:rsid w:val="00EC0A25"/>
    <w:rsid w:val="00EC0A71"/>
    <w:rsid w:val="00EC0CCC"/>
    <w:rsid w:val="00EC0E45"/>
    <w:rsid w:val="00EC0F7F"/>
    <w:rsid w:val="00EC0FEC"/>
    <w:rsid w:val="00EC15BA"/>
    <w:rsid w:val="00EC1E45"/>
    <w:rsid w:val="00EC1EC5"/>
    <w:rsid w:val="00EC1F32"/>
    <w:rsid w:val="00EC26DC"/>
    <w:rsid w:val="00EC28B2"/>
    <w:rsid w:val="00EC2D84"/>
    <w:rsid w:val="00EC31B8"/>
    <w:rsid w:val="00EC36EF"/>
    <w:rsid w:val="00EC3825"/>
    <w:rsid w:val="00EC4221"/>
    <w:rsid w:val="00EC4473"/>
    <w:rsid w:val="00EC449A"/>
    <w:rsid w:val="00EC4D5D"/>
    <w:rsid w:val="00EC4ECC"/>
    <w:rsid w:val="00EC5091"/>
    <w:rsid w:val="00EC5B02"/>
    <w:rsid w:val="00EC5EB4"/>
    <w:rsid w:val="00EC62F2"/>
    <w:rsid w:val="00EC6415"/>
    <w:rsid w:val="00EC65C7"/>
    <w:rsid w:val="00EC65F4"/>
    <w:rsid w:val="00EC6A46"/>
    <w:rsid w:val="00EC6C20"/>
    <w:rsid w:val="00EC6D32"/>
    <w:rsid w:val="00EC7041"/>
    <w:rsid w:val="00EC72D2"/>
    <w:rsid w:val="00EC735B"/>
    <w:rsid w:val="00EC73C1"/>
    <w:rsid w:val="00EC764C"/>
    <w:rsid w:val="00EC7657"/>
    <w:rsid w:val="00EC79A3"/>
    <w:rsid w:val="00EC7EE8"/>
    <w:rsid w:val="00EC7FC5"/>
    <w:rsid w:val="00ED0068"/>
    <w:rsid w:val="00ED0102"/>
    <w:rsid w:val="00ED0376"/>
    <w:rsid w:val="00ED03B0"/>
    <w:rsid w:val="00ED064F"/>
    <w:rsid w:val="00ED09DC"/>
    <w:rsid w:val="00ED0C87"/>
    <w:rsid w:val="00ED0E17"/>
    <w:rsid w:val="00ED0F80"/>
    <w:rsid w:val="00ED10ED"/>
    <w:rsid w:val="00ED11E9"/>
    <w:rsid w:val="00ED1785"/>
    <w:rsid w:val="00ED1944"/>
    <w:rsid w:val="00ED2269"/>
    <w:rsid w:val="00ED23B1"/>
    <w:rsid w:val="00ED2451"/>
    <w:rsid w:val="00ED2B7C"/>
    <w:rsid w:val="00ED302D"/>
    <w:rsid w:val="00ED3296"/>
    <w:rsid w:val="00ED3308"/>
    <w:rsid w:val="00ED3D45"/>
    <w:rsid w:val="00ED3FAB"/>
    <w:rsid w:val="00ED4CFB"/>
    <w:rsid w:val="00ED529D"/>
    <w:rsid w:val="00ED5A3F"/>
    <w:rsid w:val="00ED5AF4"/>
    <w:rsid w:val="00ED5CD1"/>
    <w:rsid w:val="00ED637F"/>
    <w:rsid w:val="00ED6981"/>
    <w:rsid w:val="00ED7471"/>
    <w:rsid w:val="00ED77BD"/>
    <w:rsid w:val="00ED79C7"/>
    <w:rsid w:val="00EE02FA"/>
    <w:rsid w:val="00EE04EC"/>
    <w:rsid w:val="00EE05EF"/>
    <w:rsid w:val="00EE0A33"/>
    <w:rsid w:val="00EE15D7"/>
    <w:rsid w:val="00EE1CB8"/>
    <w:rsid w:val="00EE1EF2"/>
    <w:rsid w:val="00EE20B3"/>
    <w:rsid w:val="00EE2784"/>
    <w:rsid w:val="00EE2FCF"/>
    <w:rsid w:val="00EE3129"/>
    <w:rsid w:val="00EE314E"/>
    <w:rsid w:val="00EE35AC"/>
    <w:rsid w:val="00EE362C"/>
    <w:rsid w:val="00EE39D4"/>
    <w:rsid w:val="00EE3FAE"/>
    <w:rsid w:val="00EE41AB"/>
    <w:rsid w:val="00EE41E0"/>
    <w:rsid w:val="00EE43A3"/>
    <w:rsid w:val="00EE444A"/>
    <w:rsid w:val="00EE4AD9"/>
    <w:rsid w:val="00EE4B7E"/>
    <w:rsid w:val="00EE4E09"/>
    <w:rsid w:val="00EE4FC0"/>
    <w:rsid w:val="00EE50AF"/>
    <w:rsid w:val="00EE54E7"/>
    <w:rsid w:val="00EE57DA"/>
    <w:rsid w:val="00EE5CE3"/>
    <w:rsid w:val="00EE6E78"/>
    <w:rsid w:val="00EE7358"/>
    <w:rsid w:val="00EE75B9"/>
    <w:rsid w:val="00EE7709"/>
    <w:rsid w:val="00EF0CBF"/>
    <w:rsid w:val="00EF2277"/>
    <w:rsid w:val="00EF25D3"/>
    <w:rsid w:val="00EF2658"/>
    <w:rsid w:val="00EF2A23"/>
    <w:rsid w:val="00EF2AC8"/>
    <w:rsid w:val="00EF2B67"/>
    <w:rsid w:val="00EF2E1F"/>
    <w:rsid w:val="00EF2FD9"/>
    <w:rsid w:val="00EF30D1"/>
    <w:rsid w:val="00EF3126"/>
    <w:rsid w:val="00EF32C1"/>
    <w:rsid w:val="00EF33BD"/>
    <w:rsid w:val="00EF3BE9"/>
    <w:rsid w:val="00EF3F63"/>
    <w:rsid w:val="00EF3FB3"/>
    <w:rsid w:val="00EF40EC"/>
    <w:rsid w:val="00EF42CD"/>
    <w:rsid w:val="00EF4587"/>
    <w:rsid w:val="00EF4E09"/>
    <w:rsid w:val="00EF5008"/>
    <w:rsid w:val="00EF5396"/>
    <w:rsid w:val="00EF54B3"/>
    <w:rsid w:val="00EF5670"/>
    <w:rsid w:val="00EF59C0"/>
    <w:rsid w:val="00EF5E19"/>
    <w:rsid w:val="00EF5F9A"/>
    <w:rsid w:val="00EF62D7"/>
    <w:rsid w:val="00EF6529"/>
    <w:rsid w:val="00EF657A"/>
    <w:rsid w:val="00EF68E1"/>
    <w:rsid w:val="00EF6937"/>
    <w:rsid w:val="00EF749B"/>
    <w:rsid w:val="00EF75EA"/>
    <w:rsid w:val="00F004C3"/>
    <w:rsid w:val="00F0062B"/>
    <w:rsid w:val="00F00861"/>
    <w:rsid w:val="00F00C58"/>
    <w:rsid w:val="00F00E4F"/>
    <w:rsid w:val="00F011DE"/>
    <w:rsid w:val="00F01656"/>
    <w:rsid w:val="00F016A7"/>
    <w:rsid w:val="00F01793"/>
    <w:rsid w:val="00F021BC"/>
    <w:rsid w:val="00F024D3"/>
    <w:rsid w:val="00F02842"/>
    <w:rsid w:val="00F02A71"/>
    <w:rsid w:val="00F02D29"/>
    <w:rsid w:val="00F032B7"/>
    <w:rsid w:val="00F0391E"/>
    <w:rsid w:val="00F03FEE"/>
    <w:rsid w:val="00F04291"/>
    <w:rsid w:val="00F04636"/>
    <w:rsid w:val="00F04677"/>
    <w:rsid w:val="00F04E6F"/>
    <w:rsid w:val="00F05111"/>
    <w:rsid w:val="00F052AE"/>
    <w:rsid w:val="00F05A7F"/>
    <w:rsid w:val="00F0617B"/>
    <w:rsid w:val="00F06866"/>
    <w:rsid w:val="00F06BE9"/>
    <w:rsid w:val="00F06CD8"/>
    <w:rsid w:val="00F06E91"/>
    <w:rsid w:val="00F06F3E"/>
    <w:rsid w:val="00F0759F"/>
    <w:rsid w:val="00F07666"/>
    <w:rsid w:val="00F07CBE"/>
    <w:rsid w:val="00F10559"/>
    <w:rsid w:val="00F10678"/>
    <w:rsid w:val="00F10CD8"/>
    <w:rsid w:val="00F10DFC"/>
    <w:rsid w:val="00F110CA"/>
    <w:rsid w:val="00F11361"/>
    <w:rsid w:val="00F11808"/>
    <w:rsid w:val="00F11F87"/>
    <w:rsid w:val="00F121C4"/>
    <w:rsid w:val="00F124F6"/>
    <w:rsid w:val="00F128E1"/>
    <w:rsid w:val="00F1322C"/>
    <w:rsid w:val="00F1366D"/>
    <w:rsid w:val="00F13956"/>
    <w:rsid w:val="00F1439F"/>
    <w:rsid w:val="00F14706"/>
    <w:rsid w:val="00F149C5"/>
    <w:rsid w:val="00F14E93"/>
    <w:rsid w:val="00F14E97"/>
    <w:rsid w:val="00F1519D"/>
    <w:rsid w:val="00F1524D"/>
    <w:rsid w:val="00F154DA"/>
    <w:rsid w:val="00F1560E"/>
    <w:rsid w:val="00F1567A"/>
    <w:rsid w:val="00F161BE"/>
    <w:rsid w:val="00F1651F"/>
    <w:rsid w:val="00F16757"/>
    <w:rsid w:val="00F16CDA"/>
    <w:rsid w:val="00F16EFA"/>
    <w:rsid w:val="00F17036"/>
    <w:rsid w:val="00F17232"/>
    <w:rsid w:val="00F17B5A"/>
    <w:rsid w:val="00F2051F"/>
    <w:rsid w:val="00F205B1"/>
    <w:rsid w:val="00F20708"/>
    <w:rsid w:val="00F20B35"/>
    <w:rsid w:val="00F20E23"/>
    <w:rsid w:val="00F21D39"/>
    <w:rsid w:val="00F21F85"/>
    <w:rsid w:val="00F22989"/>
    <w:rsid w:val="00F22C75"/>
    <w:rsid w:val="00F22EDE"/>
    <w:rsid w:val="00F22FD9"/>
    <w:rsid w:val="00F23405"/>
    <w:rsid w:val="00F23418"/>
    <w:rsid w:val="00F23678"/>
    <w:rsid w:val="00F238CD"/>
    <w:rsid w:val="00F23E60"/>
    <w:rsid w:val="00F2475C"/>
    <w:rsid w:val="00F24E27"/>
    <w:rsid w:val="00F25624"/>
    <w:rsid w:val="00F25721"/>
    <w:rsid w:val="00F25911"/>
    <w:rsid w:val="00F25A50"/>
    <w:rsid w:val="00F261ED"/>
    <w:rsid w:val="00F26204"/>
    <w:rsid w:val="00F2649C"/>
    <w:rsid w:val="00F267C7"/>
    <w:rsid w:val="00F26C28"/>
    <w:rsid w:val="00F26D34"/>
    <w:rsid w:val="00F26D74"/>
    <w:rsid w:val="00F26F9C"/>
    <w:rsid w:val="00F2727B"/>
    <w:rsid w:val="00F27831"/>
    <w:rsid w:val="00F3005C"/>
    <w:rsid w:val="00F30770"/>
    <w:rsid w:val="00F30A81"/>
    <w:rsid w:val="00F30ADC"/>
    <w:rsid w:val="00F3105E"/>
    <w:rsid w:val="00F31E28"/>
    <w:rsid w:val="00F320AF"/>
    <w:rsid w:val="00F320C8"/>
    <w:rsid w:val="00F323C8"/>
    <w:rsid w:val="00F324FB"/>
    <w:rsid w:val="00F32CDE"/>
    <w:rsid w:val="00F33099"/>
    <w:rsid w:val="00F33643"/>
    <w:rsid w:val="00F33C49"/>
    <w:rsid w:val="00F33DDD"/>
    <w:rsid w:val="00F3431D"/>
    <w:rsid w:val="00F34999"/>
    <w:rsid w:val="00F34BBA"/>
    <w:rsid w:val="00F353A5"/>
    <w:rsid w:val="00F354ED"/>
    <w:rsid w:val="00F3550E"/>
    <w:rsid w:val="00F357CD"/>
    <w:rsid w:val="00F3582D"/>
    <w:rsid w:val="00F35B42"/>
    <w:rsid w:val="00F36183"/>
    <w:rsid w:val="00F36340"/>
    <w:rsid w:val="00F36A7D"/>
    <w:rsid w:val="00F36D65"/>
    <w:rsid w:val="00F37804"/>
    <w:rsid w:val="00F3789A"/>
    <w:rsid w:val="00F37A62"/>
    <w:rsid w:val="00F37CBA"/>
    <w:rsid w:val="00F37F1D"/>
    <w:rsid w:val="00F37FFE"/>
    <w:rsid w:val="00F400EA"/>
    <w:rsid w:val="00F4034E"/>
    <w:rsid w:val="00F40799"/>
    <w:rsid w:val="00F40A09"/>
    <w:rsid w:val="00F4101B"/>
    <w:rsid w:val="00F417AD"/>
    <w:rsid w:val="00F418FA"/>
    <w:rsid w:val="00F41CFC"/>
    <w:rsid w:val="00F41D68"/>
    <w:rsid w:val="00F41EA6"/>
    <w:rsid w:val="00F42065"/>
    <w:rsid w:val="00F42151"/>
    <w:rsid w:val="00F4218B"/>
    <w:rsid w:val="00F42301"/>
    <w:rsid w:val="00F42644"/>
    <w:rsid w:val="00F43342"/>
    <w:rsid w:val="00F43417"/>
    <w:rsid w:val="00F4343C"/>
    <w:rsid w:val="00F4345E"/>
    <w:rsid w:val="00F43612"/>
    <w:rsid w:val="00F43BA5"/>
    <w:rsid w:val="00F43D38"/>
    <w:rsid w:val="00F43E42"/>
    <w:rsid w:val="00F43EB1"/>
    <w:rsid w:val="00F43FC7"/>
    <w:rsid w:val="00F44426"/>
    <w:rsid w:val="00F4461D"/>
    <w:rsid w:val="00F45241"/>
    <w:rsid w:val="00F45779"/>
    <w:rsid w:val="00F466F9"/>
    <w:rsid w:val="00F467B6"/>
    <w:rsid w:val="00F46A78"/>
    <w:rsid w:val="00F46B72"/>
    <w:rsid w:val="00F47079"/>
    <w:rsid w:val="00F4759F"/>
    <w:rsid w:val="00F5041B"/>
    <w:rsid w:val="00F507D8"/>
    <w:rsid w:val="00F508D0"/>
    <w:rsid w:val="00F50A26"/>
    <w:rsid w:val="00F5125F"/>
    <w:rsid w:val="00F51676"/>
    <w:rsid w:val="00F51687"/>
    <w:rsid w:val="00F52866"/>
    <w:rsid w:val="00F52876"/>
    <w:rsid w:val="00F52A65"/>
    <w:rsid w:val="00F539D5"/>
    <w:rsid w:val="00F542BA"/>
    <w:rsid w:val="00F544D4"/>
    <w:rsid w:val="00F54788"/>
    <w:rsid w:val="00F54A4F"/>
    <w:rsid w:val="00F55183"/>
    <w:rsid w:val="00F55559"/>
    <w:rsid w:val="00F55863"/>
    <w:rsid w:val="00F55A43"/>
    <w:rsid w:val="00F55AE3"/>
    <w:rsid w:val="00F55B5D"/>
    <w:rsid w:val="00F55F8B"/>
    <w:rsid w:val="00F55FC4"/>
    <w:rsid w:val="00F56495"/>
    <w:rsid w:val="00F564E4"/>
    <w:rsid w:val="00F5690A"/>
    <w:rsid w:val="00F56923"/>
    <w:rsid w:val="00F56D1E"/>
    <w:rsid w:val="00F56D96"/>
    <w:rsid w:val="00F56F17"/>
    <w:rsid w:val="00F57170"/>
    <w:rsid w:val="00F6095E"/>
    <w:rsid w:val="00F60B98"/>
    <w:rsid w:val="00F60C99"/>
    <w:rsid w:val="00F611A3"/>
    <w:rsid w:val="00F614CE"/>
    <w:rsid w:val="00F6184A"/>
    <w:rsid w:val="00F61A67"/>
    <w:rsid w:val="00F6230B"/>
    <w:rsid w:val="00F62688"/>
    <w:rsid w:val="00F62AB8"/>
    <w:rsid w:val="00F62C86"/>
    <w:rsid w:val="00F62D52"/>
    <w:rsid w:val="00F630F1"/>
    <w:rsid w:val="00F633BC"/>
    <w:rsid w:val="00F63475"/>
    <w:rsid w:val="00F634BC"/>
    <w:rsid w:val="00F63509"/>
    <w:rsid w:val="00F636D2"/>
    <w:rsid w:val="00F639E1"/>
    <w:rsid w:val="00F63CA7"/>
    <w:rsid w:val="00F641B3"/>
    <w:rsid w:val="00F64202"/>
    <w:rsid w:val="00F64ADC"/>
    <w:rsid w:val="00F65836"/>
    <w:rsid w:val="00F65D01"/>
    <w:rsid w:val="00F65FD6"/>
    <w:rsid w:val="00F660A0"/>
    <w:rsid w:val="00F667E7"/>
    <w:rsid w:val="00F66D67"/>
    <w:rsid w:val="00F66EF5"/>
    <w:rsid w:val="00F66F93"/>
    <w:rsid w:val="00F70054"/>
    <w:rsid w:val="00F703B5"/>
    <w:rsid w:val="00F703E4"/>
    <w:rsid w:val="00F707EB"/>
    <w:rsid w:val="00F70813"/>
    <w:rsid w:val="00F70C5A"/>
    <w:rsid w:val="00F70CA8"/>
    <w:rsid w:val="00F71298"/>
    <w:rsid w:val="00F71788"/>
    <w:rsid w:val="00F71867"/>
    <w:rsid w:val="00F727DA"/>
    <w:rsid w:val="00F72851"/>
    <w:rsid w:val="00F7293A"/>
    <w:rsid w:val="00F72DC4"/>
    <w:rsid w:val="00F72F75"/>
    <w:rsid w:val="00F72FF0"/>
    <w:rsid w:val="00F73D2D"/>
    <w:rsid w:val="00F741AC"/>
    <w:rsid w:val="00F74285"/>
    <w:rsid w:val="00F7437E"/>
    <w:rsid w:val="00F74567"/>
    <w:rsid w:val="00F748E1"/>
    <w:rsid w:val="00F74E10"/>
    <w:rsid w:val="00F74EB9"/>
    <w:rsid w:val="00F7552A"/>
    <w:rsid w:val="00F756CA"/>
    <w:rsid w:val="00F757BA"/>
    <w:rsid w:val="00F757F1"/>
    <w:rsid w:val="00F75936"/>
    <w:rsid w:val="00F75CFC"/>
    <w:rsid w:val="00F75DCB"/>
    <w:rsid w:val="00F75F2C"/>
    <w:rsid w:val="00F7604B"/>
    <w:rsid w:val="00F761BE"/>
    <w:rsid w:val="00F7643C"/>
    <w:rsid w:val="00F76609"/>
    <w:rsid w:val="00F76746"/>
    <w:rsid w:val="00F76B07"/>
    <w:rsid w:val="00F76F22"/>
    <w:rsid w:val="00F776E0"/>
    <w:rsid w:val="00F77E18"/>
    <w:rsid w:val="00F804F4"/>
    <w:rsid w:val="00F80F87"/>
    <w:rsid w:val="00F811C9"/>
    <w:rsid w:val="00F812B6"/>
    <w:rsid w:val="00F81334"/>
    <w:rsid w:val="00F8149A"/>
    <w:rsid w:val="00F816DC"/>
    <w:rsid w:val="00F81ED4"/>
    <w:rsid w:val="00F8242C"/>
    <w:rsid w:val="00F827CC"/>
    <w:rsid w:val="00F82D1A"/>
    <w:rsid w:val="00F82F59"/>
    <w:rsid w:val="00F83883"/>
    <w:rsid w:val="00F83BE8"/>
    <w:rsid w:val="00F847EC"/>
    <w:rsid w:val="00F8519B"/>
    <w:rsid w:val="00F853A0"/>
    <w:rsid w:val="00F8566C"/>
    <w:rsid w:val="00F856D1"/>
    <w:rsid w:val="00F85ACC"/>
    <w:rsid w:val="00F861AD"/>
    <w:rsid w:val="00F86755"/>
    <w:rsid w:val="00F86983"/>
    <w:rsid w:val="00F86F9C"/>
    <w:rsid w:val="00F8775C"/>
    <w:rsid w:val="00F87B79"/>
    <w:rsid w:val="00F903A4"/>
    <w:rsid w:val="00F90DE6"/>
    <w:rsid w:val="00F91130"/>
    <w:rsid w:val="00F91377"/>
    <w:rsid w:val="00F919F9"/>
    <w:rsid w:val="00F91ECE"/>
    <w:rsid w:val="00F91EDE"/>
    <w:rsid w:val="00F92143"/>
    <w:rsid w:val="00F92FFD"/>
    <w:rsid w:val="00F93107"/>
    <w:rsid w:val="00F932E3"/>
    <w:rsid w:val="00F93481"/>
    <w:rsid w:val="00F93AD7"/>
    <w:rsid w:val="00F93C13"/>
    <w:rsid w:val="00F943C9"/>
    <w:rsid w:val="00F9490E"/>
    <w:rsid w:val="00F95489"/>
    <w:rsid w:val="00F95604"/>
    <w:rsid w:val="00F95AE9"/>
    <w:rsid w:val="00F95D9B"/>
    <w:rsid w:val="00F95DD5"/>
    <w:rsid w:val="00F95E1E"/>
    <w:rsid w:val="00F96052"/>
    <w:rsid w:val="00F960BA"/>
    <w:rsid w:val="00F96930"/>
    <w:rsid w:val="00F96E0C"/>
    <w:rsid w:val="00F96E88"/>
    <w:rsid w:val="00F97128"/>
    <w:rsid w:val="00F9736B"/>
    <w:rsid w:val="00F975CE"/>
    <w:rsid w:val="00F97DA0"/>
    <w:rsid w:val="00FA0275"/>
    <w:rsid w:val="00FA0EB1"/>
    <w:rsid w:val="00FA0EB7"/>
    <w:rsid w:val="00FA11F9"/>
    <w:rsid w:val="00FA1389"/>
    <w:rsid w:val="00FA16A1"/>
    <w:rsid w:val="00FA18EE"/>
    <w:rsid w:val="00FA1B53"/>
    <w:rsid w:val="00FA1B5F"/>
    <w:rsid w:val="00FA2275"/>
    <w:rsid w:val="00FA2372"/>
    <w:rsid w:val="00FA2597"/>
    <w:rsid w:val="00FA38A1"/>
    <w:rsid w:val="00FA3A5C"/>
    <w:rsid w:val="00FA4C28"/>
    <w:rsid w:val="00FA5BA2"/>
    <w:rsid w:val="00FA60C3"/>
    <w:rsid w:val="00FA68A7"/>
    <w:rsid w:val="00FA6B0D"/>
    <w:rsid w:val="00FA6D7B"/>
    <w:rsid w:val="00FA7021"/>
    <w:rsid w:val="00FB00D2"/>
    <w:rsid w:val="00FB0695"/>
    <w:rsid w:val="00FB0C72"/>
    <w:rsid w:val="00FB15E0"/>
    <w:rsid w:val="00FB16F2"/>
    <w:rsid w:val="00FB1819"/>
    <w:rsid w:val="00FB1C76"/>
    <w:rsid w:val="00FB3387"/>
    <w:rsid w:val="00FB3B3F"/>
    <w:rsid w:val="00FB4B7C"/>
    <w:rsid w:val="00FB4C34"/>
    <w:rsid w:val="00FB4F98"/>
    <w:rsid w:val="00FB50FB"/>
    <w:rsid w:val="00FB5160"/>
    <w:rsid w:val="00FB5819"/>
    <w:rsid w:val="00FB6159"/>
    <w:rsid w:val="00FB63B8"/>
    <w:rsid w:val="00FB64B1"/>
    <w:rsid w:val="00FB6B4F"/>
    <w:rsid w:val="00FB744E"/>
    <w:rsid w:val="00FB7930"/>
    <w:rsid w:val="00FB7C6C"/>
    <w:rsid w:val="00FC008F"/>
    <w:rsid w:val="00FC0D60"/>
    <w:rsid w:val="00FC14DC"/>
    <w:rsid w:val="00FC1719"/>
    <w:rsid w:val="00FC1BD6"/>
    <w:rsid w:val="00FC1DD0"/>
    <w:rsid w:val="00FC1E30"/>
    <w:rsid w:val="00FC1E69"/>
    <w:rsid w:val="00FC2DDF"/>
    <w:rsid w:val="00FC3388"/>
    <w:rsid w:val="00FC358C"/>
    <w:rsid w:val="00FC3C69"/>
    <w:rsid w:val="00FC3DA0"/>
    <w:rsid w:val="00FC3DDA"/>
    <w:rsid w:val="00FC4286"/>
    <w:rsid w:val="00FC46A5"/>
    <w:rsid w:val="00FC48FA"/>
    <w:rsid w:val="00FC493E"/>
    <w:rsid w:val="00FC50A7"/>
    <w:rsid w:val="00FC514E"/>
    <w:rsid w:val="00FC540A"/>
    <w:rsid w:val="00FC5B4F"/>
    <w:rsid w:val="00FC651A"/>
    <w:rsid w:val="00FC6A08"/>
    <w:rsid w:val="00FC6B15"/>
    <w:rsid w:val="00FC7084"/>
    <w:rsid w:val="00FC723C"/>
    <w:rsid w:val="00FC7AE1"/>
    <w:rsid w:val="00FD03A1"/>
    <w:rsid w:val="00FD05EB"/>
    <w:rsid w:val="00FD091B"/>
    <w:rsid w:val="00FD0975"/>
    <w:rsid w:val="00FD09F3"/>
    <w:rsid w:val="00FD0A6C"/>
    <w:rsid w:val="00FD16C5"/>
    <w:rsid w:val="00FD1889"/>
    <w:rsid w:val="00FD1CE6"/>
    <w:rsid w:val="00FD2063"/>
    <w:rsid w:val="00FD20DB"/>
    <w:rsid w:val="00FD2960"/>
    <w:rsid w:val="00FD29CC"/>
    <w:rsid w:val="00FD2D38"/>
    <w:rsid w:val="00FD3036"/>
    <w:rsid w:val="00FD3751"/>
    <w:rsid w:val="00FD3B18"/>
    <w:rsid w:val="00FD3C70"/>
    <w:rsid w:val="00FD3DE8"/>
    <w:rsid w:val="00FD3EAF"/>
    <w:rsid w:val="00FD3F65"/>
    <w:rsid w:val="00FD4525"/>
    <w:rsid w:val="00FD4DFF"/>
    <w:rsid w:val="00FD4F35"/>
    <w:rsid w:val="00FD5191"/>
    <w:rsid w:val="00FD51BE"/>
    <w:rsid w:val="00FD5476"/>
    <w:rsid w:val="00FD55EA"/>
    <w:rsid w:val="00FD5B39"/>
    <w:rsid w:val="00FD5DE2"/>
    <w:rsid w:val="00FD5E81"/>
    <w:rsid w:val="00FD64BB"/>
    <w:rsid w:val="00FD69D0"/>
    <w:rsid w:val="00FD6E53"/>
    <w:rsid w:val="00FD72F7"/>
    <w:rsid w:val="00FD74B5"/>
    <w:rsid w:val="00FD7B7B"/>
    <w:rsid w:val="00FD7BBB"/>
    <w:rsid w:val="00FE04C2"/>
    <w:rsid w:val="00FE0FA7"/>
    <w:rsid w:val="00FE20A5"/>
    <w:rsid w:val="00FE25A8"/>
    <w:rsid w:val="00FE26D9"/>
    <w:rsid w:val="00FE2C8F"/>
    <w:rsid w:val="00FE37E4"/>
    <w:rsid w:val="00FE434B"/>
    <w:rsid w:val="00FE449D"/>
    <w:rsid w:val="00FE4512"/>
    <w:rsid w:val="00FE4645"/>
    <w:rsid w:val="00FE4A46"/>
    <w:rsid w:val="00FE5B41"/>
    <w:rsid w:val="00FE5F95"/>
    <w:rsid w:val="00FE5FD4"/>
    <w:rsid w:val="00FE61BF"/>
    <w:rsid w:val="00FE6212"/>
    <w:rsid w:val="00FE6463"/>
    <w:rsid w:val="00FE72EF"/>
    <w:rsid w:val="00FE77C6"/>
    <w:rsid w:val="00FE791B"/>
    <w:rsid w:val="00FE7FBF"/>
    <w:rsid w:val="00FF01FD"/>
    <w:rsid w:val="00FF03F9"/>
    <w:rsid w:val="00FF0A14"/>
    <w:rsid w:val="00FF0BAD"/>
    <w:rsid w:val="00FF10E0"/>
    <w:rsid w:val="00FF157E"/>
    <w:rsid w:val="00FF17A9"/>
    <w:rsid w:val="00FF187A"/>
    <w:rsid w:val="00FF18CF"/>
    <w:rsid w:val="00FF1AF9"/>
    <w:rsid w:val="00FF1F91"/>
    <w:rsid w:val="00FF298C"/>
    <w:rsid w:val="00FF2CD7"/>
    <w:rsid w:val="00FF2F88"/>
    <w:rsid w:val="00FF3218"/>
    <w:rsid w:val="00FF3310"/>
    <w:rsid w:val="00FF342F"/>
    <w:rsid w:val="00FF3465"/>
    <w:rsid w:val="00FF36CF"/>
    <w:rsid w:val="00FF3BD1"/>
    <w:rsid w:val="00FF3CFC"/>
    <w:rsid w:val="00FF3FF4"/>
    <w:rsid w:val="00FF45D9"/>
    <w:rsid w:val="00FF49AA"/>
    <w:rsid w:val="00FF5297"/>
    <w:rsid w:val="00FF547D"/>
    <w:rsid w:val="00FF56F3"/>
    <w:rsid w:val="00FF5A51"/>
    <w:rsid w:val="00FF5BD7"/>
    <w:rsid w:val="00FF5DD4"/>
    <w:rsid w:val="00FF69B7"/>
    <w:rsid w:val="00FF7653"/>
    <w:rsid w:val="00FF7A8E"/>
    <w:rsid w:val="00FF7D94"/>
    <w:rsid w:val="00FF7E2B"/>
    <w:rsid w:val="00FF7FA7"/>
    <w:rsid w:val="1E9ACB0F"/>
    <w:rsid w:val="6C5743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1596"/>
  <w15:docId w15:val="{90B1F88E-FE44-BD41-A3E6-BA9645CD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76B"/>
    <w:pPr>
      <w:spacing w:after="0" w:line="300" w:lineRule="atLeast"/>
      <w:ind w:left="567"/>
    </w:pPr>
    <w:rPr>
      <w:rFonts w:ascii="Trebuchet MS" w:hAnsi="Trebuchet MS"/>
      <w:sz w:val="18"/>
    </w:rPr>
  </w:style>
  <w:style w:type="paragraph" w:styleId="Nadpis1">
    <w:name w:val="heading 1"/>
    <w:aliases w:val="Heading - Chapter,(Section),MOVE-it 1,Heading 11,Hoofdstuk,Επικεφαλίδα 1 ΌΧΙ,Heading 1 - Main Heading of Document,F3 Heading 1 - Section,Numbered - 1,Section,Chapter Hdg,h1,CH TITLE 1,Chapter Heading,AChapter,Sub code header,Chapter,NEA1,1"/>
    <w:basedOn w:val="Odstavecseseznamem"/>
    <w:next w:val="Normln"/>
    <w:link w:val="Nadpis1Char"/>
    <w:uiPriority w:val="9"/>
    <w:qFormat/>
    <w:rsid w:val="002022F4"/>
    <w:pPr>
      <w:numPr>
        <w:numId w:val="3"/>
      </w:numPr>
      <w:spacing w:before="360" w:after="240"/>
      <w:contextualSpacing w:val="0"/>
      <w:outlineLvl w:val="0"/>
    </w:pPr>
    <w:rPr>
      <w:b/>
      <w:color w:val="005962"/>
      <w:sz w:val="40"/>
    </w:rPr>
  </w:style>
  <w:style w:type="paragraph" w:styleId="Nadpis2">
    <w:name w:val="heading 2"/>
    <w:aliases w:val="Heading 2 - Paragrapf,2,Paragraaf,NEA2,14,H2,Se,Section1,Section2,Section3,NEA21,subhead 1,h2,subhead 11,h21,subhead 12,h22,subhead 13,h23,subhead 14,h24,subhead 15,h25,subhead 111,h211,subhead 121,h221,subhead 131,h231,subhead 141,h241,h26"/>
    <w:basedOn w:val="Odstavecseseznamem"/>
    <w:next w:val="Normln"/>
    <w:link w:val="Nadpis2Char"/>
    <w:uiPriority w:val="9"/>
    <w:qFormat/>
    <w:rsid w:val="00DA50DB"/>
    <w:pPr>
      <w:numPr>
        <w:ilvl w:val="1"/>
        <w:numId w:val="3"/>
      </w:numPr>
      <w:spacing w:before="120" w:after="120"/>
      <w:ind w:left="567" w:hanging="567"/>
      <w:outlineLvl w:val="1"/>
    </w:pPr>
    <w:rPr>
      <w:b/>
      <w:color w:val="005962"/>
      <w:sz w:val="24"/>
    </w:rPr>
  </w:style>
  <w:style w:type="paragraph" w:styleId="Nadpis3">
    <w:name w:val="heading 3"/>
    <w:aliases w:val="Heading 3 - Subparagraph,Heading 31,Heading 32,Heading 33,Heading 34,Heading 35,Heading 36,Heading 311,Heading 321,Heading 331,Heading 341,Heading 351,Heading 37,Heading 312,Heading 322,Heading 332,Heading 342,Heading 352,Heading 313"/>
    <w:basedOn w:val="Odstavecseseznamem"/>
    <w:next w:val="Normln"/>
    <w:link w:val="Nadpis3Char"/>
    <w:uiPriority w:val="9"/>
    <w:qFormat/>
    <w:rsid w:val="00FD72F7"/>
    <w:pPr>
      <w:numPr>
        <w:ilvl w:val="2"/>
        <w:numId w:val="3"/>
      </w:numPr>
      <w:outlineLvl w:val="2"/>
    </w:pPr>
    <w:rPr>
      <w:b/>
      <w:i/>
      <w:color w:val="F04E30"/>
    </w:rPr>
  </w:style>
  <w:style w:type="paragraph" w:styleId="Nadpis4">
    <w:name w:val="heading 4"/>
    <w:basedOn w:val="Normln"/>
    <w:next w:val="Normln"/>
    <w:link w:val="Nadpis4Char"/>
    <w:uiPriority w:val="9"/>
    <w:qFormat/>
    <w:rsid w:val="00B241E9"/>
    <w:pPr>
      <w:keepNext/>
      <w:keepLines/>
      <w:ind w:left="0" w:firstLine="567"/>
      <w:outlineLvl w:val="3"/>
    </w:pPr>
    <w:rPr>
      <w:rFonts w:eastAsiaTheme="majorEastAsia" w:cstheme="majorBidi"/>
      <w:b/>
      <w:bCs/>
      <w:iCs/>
      <w:color w:val="F04E30"/>
    </w:rPr>
  </w:style>
  <w:style w:type="paragraph" w:styleId="Nadpis5">
    <w:name w:val="heading 5"/>
    <w:basedOn w:val="Normln"/>
    <w:next w:val="Normln"/>
    <w:link w:val="Nadpis5Char"/>
    <w:uiPriority w:val="9"/>
    <w:unhideWhenUsed/>
    <w:qFormat/>
    <w:rsid w:val="0021780D"/>
    <w:pPr>
      <w:keepNext/>
      <w:keepLines/>
      <w:outlineLvl w:val="4"/>
    </w:pPr>
    <w:rPr>
      <w:rFonts w:eastAsiaTheme="majorEastAsia" w:cstheme="majorBidi"/>
      <w:b/>
      <w:bCs/>
      <w:color w:val="002C54" w:themeColor="text2"/>
      <w:lang w:val="en-GB"/>
    </w:rPr>
  </w:style>
  <w:style w:type="paragraph" w:styleId="Nadpis6">
    <w:name w:val="heading 6"/>
    <w:basedOn w:val="Normln"/>
    <w:next w:val="Normln"/>
    <w:uiPriority w:val="9"/>
    <w:unhideWhenUsed/>
    <w:qFormat/>
    <w:rsid w:val="007835EF"/>
    <w:pPr>
      <w:keepNext/>
      <w:keepLines/>
      <w:spacing w:before="40"/>
      <w:outlineLvl w:val="5"/>
    </w:pPr>
    <w:rPr>
      <w:rFonts w:eastAsiaTheme="majorEastAsia" w:cstheme="majorBidi"/>
      <w:b/>
      <w:color w:val="002C30" w:themeColor="accent1" w:themeShade="7F"/>
    </w:rPr>
  </w:style>
  <w:style w:type="paragraph" w:styleId="Nadpis7">
    <w:name w:val="heading 7"/>
    <w:basedOn w:val="Normln"/>
    <w:next w:val="Normln"/>
    <w:uiPriority w:val="9"/>
    <w:unhideWhenUsed/>
    <w:qFormat/>
    <w:rsid w:val="00AA1D30"/>
    <w:pPr>
      <w:keepNext/>
      <w:keepLines/>
      <w:spacing w:before="40"/>
      <w:outlineLvl w:val="6"/>
    </w:pPr>
    <w:rPr>
      <w:rFonts w:eastAsiaTheme="majorEastAsia" w:cstheme="majorBidi"/>
      <w:i/>
      <w:iCs/>
      <w:color w:val="002C30" w:themeColor="accent1" w:themeShade="7F"/>
    </w:rPr>
  </w:style>
  <w:style w:type="paragraph" w:styleId="Nadpis8">
    <w:name w:val="heading 8"/>
    <w:basedOn w:val="Normln"/>
    <w:next w:val="Normln"/>
    <w:uiPriority w:val="9"/>
    <w:unhideWhenUsed/>
    <w:rsid w:val="00AA1D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0DC"/>
    <w:pPr>
      <w:tabs>
        <w:tab w:val="center" w:pos="4513"/>
        <w:tab w:val="right" w:pos="9026"/>
      </w:tabs>
      <w:spacing w:line="240" w:lineRule="auto"/>
    </w:pPr>
  </w:style>
  <w:style w:type="character" w:customStyle="1" w:styleId="ZhlavChar">
    <w:name w:val="Záhlaví Char"/>
    <w:basedOn w:val="Standardnpsmoodstavce"/>
    <w:link w:val="Zhlav"/>
    <w:uiPriority w:val="99"/>
    <w:rsid w:val="00D900DC"/>
  </w:style>
  <w:style w:type="paragraph" w:styleId="Zpat">
    <w:name w:val="footer"/>
    <w:basedOn w:val="Normln"/>
    <w:link w:val="ZpatChar"/>
    <w:uiPriority w:val="99"/>
    <w:unhideWhenUsed/>
    <w:rsid w:val="00D900DC"/>
    <w:pPr>
      <w:tabs>
        <w:tab w:val="center" w:pos="4513"/>
        <w:tab w:val="right" w:pos="9026"/>
      </w:tabs>
      <w:spacing w:line="240" w:lineRule="auto"/>
    </w:pPr>
  </w:style>
  <w:style w:type="character" w:customStyle="1" w:styleId="ZpatChar">
    <w:name w:val="Zápatí Char"/>
    <w:basedOn w:val="Standardnpsmoodstavce"/>
    <w:link w:val="Zpat"/>
    <w:uiPriority w:val="99"/>
    <w:rsid w:val="00D900DC"/>
  </w:style>
  <w:style w:type="paragraph" w:styleId="Textbubliny">
    <w:name w:val="Balloon Text"/>
    <w:basedOn w:val="Normln"/>
    <w:link w:val="TextbublinyChar"/>
    <w:uiPriority w:val="99"/>
    <w:semiHidden/>
    <w:unhideWhenUsed/>
    <w:rsid w:val="003D10C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0CE"/>
    <w:rPr>
      <w:rFonts w:ascii="Tahoma" w:hAnsi="Tahoma" w:cs="Tahoma"/>
      <w:sz w:val="16"/>
      <w:szCs w:val="16"/>
    </w:rPr>
  </w:style>
  <w:style w:type="paragraph" w:customStyle="1" w:styleId="NoteLevel1">
    <w:name w:val="Note Level 1"/>
    <w:basedOn w:val="Normln"/>
    <w:semiHidden/>
    <w:rsid w:val="003D10CE"/>
    <w:pPr>
      <w:keepNext/>
      <w:tabs>
        <w:tab w:val="num" w:pos="0"/>
      </w:tabs>
      <w:spacing w:line="240" w:lineRule="auto"/>
      <w:contextualSpacing/>
      <w:outlineLvl w:val="0"/>
    </w:pPr>
    <w:rPr>
      <w:rFonts w:ascii="Verdana" w:eastAsia="Times New Roman" w:hAnsi="Verdana" w:cs="Times New Roman"/>
      <w:szCs w:val="18"/>
    </w:rPr>
  </w:style>
  <w:style w:type="paragraph" w:customStyle="1" w:styleId="NoteLevel2">
    <w:name w:val="Note Level 2"/>
    <w:basedOn w:val="Normln"/>
    <w:semiHidden/>
    <w:rsid w:val="003D10CE"/>
    <w:pPr>
      <w:keepNext/>
      <w:tabs>
        <w:tab w:val="num" w:pos="720"/>
      </w:tabs>
      <w:spacing w:line="240" w:lineRule="auto"/>
      <w:ind w:left="1080" w:hanging="360"/>
      <w:contextualSpacing/>
      <w:outlineLvl w:val="1"/>
    </w:pPr>
    <w:rPr>
      <w:rFonts w:ascii="Verdana" w:eastAsia="Times New Roman" w:hAnsi="Verdana" w:cs="Times New Roman"/>
      <w:szCs w:val="18"/>
    </w:rPr>
  </w:style>
  <w:style w:type="paragraph" w:customStyle="1" w:styleId="NoteLevel3">
    <w:name w:val="Note Level 3"/>
    <w:basedOn w:val="Normln"/>
    <w:semiHidden/>
    <w:rsid w:val="003D10CE"/>
    <w:pPr>
      <w:keepNext/>
      <w:tabs>
        <w:tab w:val="num" w:pos="1440"/>
      </w:tabs>
      <w:spacing w:line="240" w:lineRule="auto"/>
      <w:ind w:left="1800" w:hanging="360"/>
      <w:contextualSpacing/>
      <w:outlineLvl w:val="2"/>
    </w:pPr>
    <w:rPr>
      <w:rFonts w:ascii="Verdana" w:eastAsia="Times New Roman" w:hAnsi="Verdana" w:cs="Times New Roman"/>
      <w:szCs w:val="18"/>
    </w:rPr>
  </w:style>
  <w:style w:type="paragraph" w:customStyle="1" w:styleId="NoteLevel4">
    <w:name w:val="Note Level 4"/>
    <w:basedOn w:val="Normln"/>
    <w:semiHidden/>
    <w:rsid w:val="003D10CE"/>
    <w:pPr>
      <w:keepNext/>
      <w:tabs>
        <w:tab w:val="num" w:pos="2160"/>
      </w:tabs>
      <w:spacing w:line="240" w:lineRule="auto"/>
      <w:ind w:left="2520" w:hanging="360"/>
      <w:contextualSpacing/>
      <w:outlineLvl w:val="3"/>
    </w:pPr>
    <w:rPr>
      <w:rFonts w:ascii="Verdana" w:eastAsia="Times New Roman" w:hAnsi="Verdana" w:cs="Times New Roman"/>
      <w:szCs w:val="18"/>
    </w:rPr>
  </w:style>
  <w:style w:type="paragraph" w:customStyle="1" w:styleId="NoteLevel5">
    <w:name w:val="Note Level 5"/>
    <w:basedOn w:val="Normln"/>
    <w:semiHidden/>
    <w:rsid w:val="003D10CE"/>
    <w:pPr>
      <w:keepNext/>
      <w:tabs>
        <w:tab w:val="num" w:pos="2880"/>
      </w:tabs>
      <w:spacing w:line="240" w:lineRule="auto"/>
      <w:ind w:left="3240" w:hanging="360"/>
      <w:contextualSpacing/>
      <w:outlineLvl w:val="4"/>
    </w:pPr>
    <w:rPr>
      <w:rFonts w:ascii="Verdana" w:eastAsia="Times New Roman" w:hAnsi="Verdana" w:cs="Times New Roman"/>
      <w:szCs w:val="18"/>
    </w:rPr>
  </w:style>
  <w:style w:type="paragraph" w:customStyle="1" w:styleId="NoteLevel6">
    <w:name w:val="Note Level 6"/>
    <w:basedOn w:val="Normln"/>
    <w:semiHidden/>
    <w:rsid w:val="003D10CE"/>
    <w:pPr>
      <w:keepNext/>
      <w:tabs>
        <w:tab w:val="num" w:pos="3600"/>
      </w:tabs>
      <w:spacing w:line="240" w:lineRule="auto"/>
      <w:ind w:left="3960" w:hanging="360"/>
      <w:contextualSpacing/>
      <w:outlineLvl w:val="5"/>
    </w:pPr>
    <w:rPr>
      <w:rFonts w:ascii="Verdana" w:eastAsia="Times New Roman" w:hAnsi="Verdana" w:cs="Times New Roman"/>
      <w:szCs w:val="18"/>
    </w:rPr>
  </w:style>
  <w:style w:type="paragraph" w:customStyle="1" w:styleId="NoteLevel7">
    <w:name w:val="Note Level 7"/>
    <w:basedOn w:val="Normln"/>
    <w:semiHidden/>
    <w:rsid w:val="003D10CE"/>
    <w:pPr>
      <w:keepNext/>
      <w:tabs>
        <w:tab w:val="num" w:pos="4320"/>
      </w:tabs>
      <w:spacing w:line="240" w:lineRule="auto"/>
      <w:ind w:left="4680" w:hanging="360"/>
      <w:contextualSpacing/>
      <w:outlineLvl w:val="6"/>
    </w:pPr>
    <w:rPr>
      <w:rFonts w:ascii="Verdana" w:eastAsia="Times New Roman" w:hAnsi="Verdana" w:cs="Times New Roman"/>
      <w:szCs w:val="18"/>
    </w:rPr>
  </w:style>
  <w:style w:type="paragraph" w:customStyle="1" w:styleId="NoteLevel8">
    <w:name w:val="Note Level 8"/>
    <w:basedOn w:val="Normln"/>
    <w:semiHidden/>
    <w:rsid w:val="003D10CE"/>
    <w:pPr>
      <w:keepNext/>
      <w:tabs>
        <w:tab w:val="num" w:pos="5040"/>
      </w:tabs>
      <w:spacing w:line="240" w:lineRule="auto"/>
      <w:ind w:left="5400" w:hanging="360"/>
      <w:contextualSpacing/>
      <w:outlineLvl w:val="7"/>
    </w:pPr>
    <w:rPr>
      <w:rFonts w:ascii="Verdana" w:eastAsia="Times New Roman" w:hAnsi="Verdana" w:cs="Times New Roman"/>
      <w:szCs w:val="18"/>
    </w:rPr>
  </w:style>
  <w:style w:type="paragraph" w:customStyle="1" w:styleId="NoteLevel9">
    <w:name w:val="Note Level 9"/>
    <w:basedOn w:val="Normln"/>
    <w:semiHidden/>
    <w:rsid w:val="003D10CE"/>
    <w:pPr>
      <w:keepNext/>
      <w:tabs>
        <w:tab w:val="num" w:pos="5760"/>
      </w:tabs>
      <w:spacing w:line="240" w:lineRule="auto"/>
      <w:ind w:left="6120" w:hanging="360"/>
      <w:contextualSpacing/>
      <w:outlineLvl w:val="8"/>
    </w:pPr>
    <w:rPr>
      <w:rFonts w:ascii="Verdana" w:eastAsia="Times New Roman" w:hAnsi="Verdana" w:cs="Times New Roman"/>
      <w:szCs w:val="18"/>
    </w:rPr>
  </w:style>
  <w:style w:type="character" w:customStyle="1" w:styleId="Nadpis1Char">
    <w:name w:val="Nadpis 1 Char"/>
    <w:aliases w:val="Heading - Chapter Char,(Section) Char,MOVE-it 1 Char,Heading 11 Char,Hoofdstuk Char,Επικεφαλίδα 1 ΌΧΙ Char,Heading 1 - Main Heading of Document Char,F3 Heading 1 - Section Char,Numbered - 1 Char,Section Char,Chapter Hdg Char,h1 Char,1 Char"/>
    <w:basedOn w:val="Standardnpsmoodstavce"/>
    <w:link w:val="Nadpis1"/>
    <w:uiPriority w:val="9"/>
    <w:rsid w:val="002022F4"/>
    <w:rPr>
      <w:rFonts w:ascii="Trebuchet MS" w:hAnsi="Trebuchet MS"/>
      <w:b/>
      <w:color w:val="005962"/>
      <w:sz w:val="40"/>
      <w:lang w:val="en-GB"/>
    </w:rPr>
  </w:style>
  <w:style w:type="character" w:customStyle="1" w:styleId="Nadpis2Char">
    <w:name w:val="Nadpis 2 Char"/>
    <w:aliases w:val="Heading 2 - Paragrapf Char,2 Char,Paragraaf Char,NEA2 Char,14 Char,H2 Char,Se Char,Section1 Char,Section2 Char,Section3 Char,NEA21 Char,subhead 1 Char,h2 Char,subhead 11 Char,h21 Char,subhead 12 Char,h22 Char,subhead 13 Char,h23 Char"/>
    <w:basedOn w:val="Standardnpsmoodstavce"/>
    <w:link w:val="Nadpis2"/>
    <w:uiPriority w:val="9"/>
    <w:rsid w:val="00DA50DB"/>
    <w:rPr>
      <w:rFonts w:ascii="Trebuchet MS" w:hAnsi="Trebuchet MS"/>
      <w:b/>
      <w:color w:val="005962"/>
      <w:sz w:val="24"/>
      <w:lang w:val="en-GB"/>
    </w:rPr>
  </w:style>
  <w:style w:type="paragraph" w:styleId="Nzev">
    <w:name w:val="Title"/>
    <w:basedOn w:val="Normln"/>
    <w:next w:val="Normln"/>
    <w:link w:val="NzevChar"/>
    <w:uiPriority w:val="10"/>
    <w:qFormat/>
    <w:rsid w:val="008F78C8"/>
    <w:pPr>
      <w:pBdr>
        <w:bottom w:val="single" w:sz="8" w:space="4" w:color="005962" w:themeColor="accent1"/>
      </w:pBdr>
      <w:spacing w:after="300" w:line="240" w:lineRule="auto"/>
      <w:contextualSpacing/>
      <w:jc w:val="center"/>
    </w:pPr>
    <w:rPr>
      <w:rFonts w:eastAsiaTheme="majorEastAsia" w:cstheme="majorBidi"/>
      <w:spacing w:val="5"/>
      <w:kern w:val="28"/>
      <w:sz w:val="40"/>
      <w:szCs w:val="52"/>
    </w:rPr>
  </w:style>
  <w:style w:type="character" w:customStyle="1" w:styleId="NzevChar">
    <w:name w:val="Název Char"/>
    <w:basedOn w:val="Standardnpsmoodstavce"/>
    <w:link w:val="Nzev"/>
    <w:uiPriority w:val="10"/>
    <w:semiHidden/>
    <w:rsid w:val="00B85CB0"/>
    <w:rPr>
      <w:rFonts w:ascii="Trebuchet MS" w:eastAsiaTheme="majorEastAsia" w:hAnsi="Trebuchet MS" w:cstheme="majorBidi"/>
      <w:spacing w:val="5"/>
      <w:kern w:val="28"/>
      <w:sz w:val="40"/>
      <w:szCs w:val="52"/>
    </w:rPr>
  </w:style>
  <w:style w:type="paragraph" w:styleId="Bezmezer">
    <w:name w:val="No Spacing"/>
    <w:uiPriority w:val="1"/>
    <w:unhideWhenUsed/>
    <w:qFormat/>
    <w:rsid w:val="00007DF2"/>
    <w:pPr>
      <w:spacing w:after="0" w:line="240" w:lineRule="auto"/>
    </w:pPr>
  </w:style>
  <w:style w:type="paragraph" w:styleId="Odstavecseseznamem">
    <w:name w:val="List Paragraph"/>
    <w:aliases w:val="1st elvel bullet green,1st level - Bullet List Paragraph,Lettre d'introduction,Paragrafo elenco,List Paragraph1,Medium Grid 1 - Accent 21,FooterText,Paragraphe de liste1,Heading 2_sj,Numbered Para 1,Dot pt,No Spacing1,Bullet 1,lp1"/>
    <w:basedOn w:val="Normln"/>
    <w:link w:val="OdstavecseseznamemChar"/>
    <w:uiPriority w:val="34"/>
    <w:qFormat/>
    <w:rsid w:val="003367E5"/>
    <w:pPr>
      <w:numPr>
        <w:numId w:val="8"/>
      </w:numPr>
      <w:tabs>
        <w:tab w:val="left" w:pos="851"/>
      </w:tabs>
      <w:contextualSpacing/>
    </w:pPr>
    <w:rPr>
      <w:lang w:val="en-GB"/>
    </w:rPr>
  </w:style>
  <w:style w:type="numbering" w:customStyle="1" w:styleId="Style1">
    <w:name w:val="Style1"/>
    <w:uiPriority w:val="99"/>
    <w:rsid w:val="006526A8"/>
    <w:pPr>
      <w:numPr>
        <w:numId w:val="1"/>
      </w:numPr>
    </w:pPr>
  </w:style>
  <w:style w:type="numbering" w:customStyle="1" w:styleId="Style2">
    <w:name w:val="Style2"/>
    <w:uiPriority w:val="99"/>
    <w:rsid w:val="003055E8"/>
    <w:pPr>
      <w:numPr>
        <w:numId w:val="2"/>
      </w:numPr>
    </w:pPr>
  </w:style>
  <w:style w:type="character" w:customStyle="1" w:styleId="Nadpis3Char">
    <w:name w:val="Nadpis 3 Char"/>
    <w:aliases w:val="Heading 3 - Subparagraph Char,Heading 31 Char,Heading 32 Char,Heading 33 Char,Heading 34 Char,Heading 35 Char,Heading 36 Char,Heading 311 Char,Heading 321 Char,Heading 331 Char,Heading 341 Char,Heading 351 Char,Heading 37 Char"/>
    <w:basedOn w:val="Standardnpsmoodstavce"/>
    <w:link w:val="Nadpis3"/>
    <w:uiPriority w:val="9"/>
    <w:rsid w:val="00456CCB"/>
    <w:rPr>
      <w:rFonts w:ascii="Trebuchet MS" w:hAnsi="Trebuchet MS"/>
      <w:b/>
      <w:i/>
      <w:color w:val="F04E30"/>
      <w:sz w:val="18"/>
      <w:lang w:val="en-GB"/>
    </w:rPr>
  </w:style>
  <w:style w:type="character" w:customStyle="1" w:styleId="Nadpis4Char">
    <w:name w:val="Nadpis 4 Char"/>
    <w:basedOn w:val="Standardnpsmoodstavce"/>
    <w:link w:val="Nadpis4"/>
    <w:uiPriority w:val="9"/>
    <w:rsid w:val="00B241E9"/>
    <w:rPr>
      <w:rFonts w:ascii="Trebuchet MS" w:eastAsiaTheme="majorEastAsia" w:hAnsi="Trebuchet MS" w:cstheme="majorBidi"/>
      <w:b/>
      <w:bCs/>
      <w:iCs/>
      <w:color w:val="F04E30"/>
      <w:sz w:val="18"/>
    </w:rPr>
  </w:style>
  <w:style w:type="character" w:customStyle="1" w:styleId="Nadpis5Char">
    <w:name w:val="Nadpis 5 Char"/>
    <w:basedOn w:val="Standardnpsmoodstavce"/>
    <w:link w:val="Nadpis5"/>
    <w:uiPriority w:val="9"/>
    <w:rsid w:val="0021780D"/>
    <w:rPr>
      <w:rFonts w:ascii="Trebuchet MS" w:eastAsiaTheme="majorEastAsia" w:hAnsi="Trebuchet MS" w:cstheme="majorBidi"/>
      <w:b/>
      <w:bCs/>
      <w:color w:val="002C54" w:themeColor="text2"/>
      <w:sz w:val="18"/>
      <w:lang w:val="en-GB"/>
    </w:rPr>
  </w:style>
  <w:style w:type="paragraph" w:customStyle="1" w:styleId="broodtekst">
    <w:name w:val="broodtekst"/>
    <w:basedOn w:val="Normln"/>
    <w:link w:val="broodtekstChar"/>
    <w:uiPriority w:val="99"/>
    <w:rsid w:val="00BC3C79"/>
    <w:pPr>
      <w:keepNext/>
      <w:spacing w:line="240" w:lineRule="auto"/>
      <w:ind w:left="360" w:hanging="360"/>
      <w:contextualSpacing/>
      <w:outlineLvl w:val="0"/>
    </w:pPr>
    <w:rPr>
      <w:rFonts w:eastAsia="Times New Roman" w:cs="Times New Roman"/>
      <w:szCs w:val="18"/>
    </w:rPr>
  </w:style>
  <w:style w:type="character" w:customStyle="1" w:styleId="broodtekstChar">
    <w:name w:val="broodtekst Char"/>
    <w:link w:val="broodtekst"/>
    <w:uiPriority w:val="99"/>
    <w:rsid w:val="00BC3C79"/>
    <w:rPr>
      <w:rFonts w:ascii="Trebuchet MS" w:eastAsia="Times New Roman" w:hAnsi="Trebuchet MS" w:cs="Times New Roman"/>
      <w:sz w:val="18"/>
      <w:szCs w:val="18"/>
    </w:rPr>
  </w:style>
  <w:style w:type="character" w:styleId="Nzevknihy">
    <w:name w:val="Book Title"/>
    <w:basedOn w:val="Standardnpsmoodstavce"/>
    <w:uiPriority w:val="33"/>
    <w:qFormat/>
    <w:rsid w:val="0041283F"/>
    <w:rPr>
      <w:rFonts w:ascii="Trebuchet MS" w:hAnsi="Trebuchet MS"/>
      <w:b/>
      <w:bCs/>
      <w:smallCaps/>
      <w:spacing w:val="5"/>
      <w:sz w:val="16"/>
      <w:szCs w:val="16"/>
    </w:rPr>
  </w:style>
  <w:style w:type="paragraph" w:customStyle="1" w:styleId="Addingupnumeral">
    <w:name w:val="Adding up (numeral)"/>
    <w:basedOn w:val="Normln"/>
    <w:link w:val="AddingupnumeralChar"/>
    <w:autoRedefine/>
    <w:rsid w:val="008018ED"/>
    <w:pPr>
      <w:numPr>
        <w:numId w:val="7"/>
      </w:numPr>
      <w:contextualSpacing/>
    </w:pPr>
    <w:rPr>
      <w:rFonts w:eastAsia="Calibri" w:cs="Times New Roman"/>
      <w:lang w:val="en-GB"/>
    </w:rPr>
  </w:style>
  <w:style w:type="paragraph" w:styleId="Nadpisobsahu">
    <w:name w:val="TOC Heading"/>
    <w:basedOn w:val="Nadpis1"/>
    <w:next w:val="Normln"/>
    <w:uiPriority w:val="39"/>
    <w:unhideWhenUsed/>
    <w:qFormat/>
    <w:rsid w:val="000E1F1D"/>
    <w:pPr>
      <w:keepNext/>
      <w:keepLines/>
      <w:numPr>
        <w:numId w:val="0"/>
      </w:numPr>
      <w:spacing w:before="480" w:after="0" w:line="276" w:lineRule="auto"/>
      <w:outlineLvl w:val="9"/>
    </w:pPr>
    <w:rPr>
      <w:rFonts w:asciiTheme="majorHAnsi" w:eastAsiaTheme="majorEastAsia" w:hAnsiTheme="majorHAnsi" w:cstheme="majorBidi"/>
      <w:bCs/>
      <w:color w:val="004249" w:themeColor="accent1" w:themeShade="BF"/>
      <w:sz w:val="28"/>
      <w:szCs w:val="28"/>
      <w:lang w:val="en-US" w:eastAsia="ja-JP"/>
    </w:rPr>
  </w:style>
  <w:style w:type="paragraph" w:styleId="Obsah1">
    <w:name w:val="toc 1"/>
    <w:basedOn w:val="Normln"/>
    <w:next w:val="Normln"/>
    <w:autoRedefine/>
    <w:uiPriority w:val="39"/>
    <w:unhideWhenUsed/>
    <w:rsid w:val="007B6BB3"/>
    <w:pPr>
      <w:tabs>
        <w:tab w:val="left" w:pos="360"/>
        <w:tab w:val="right" w:leader="dot" w:pos="9016"/>
      </w:tabs>
      <w:spacing w:before="120"/>
      <w:ind w:left="0"/>
    </w:pPr>
    <w:rPr>
      <w:b/>
      <w:bCs/>
      <w:color w:val="005962"/>
      <w:sz w:val="22"/>
      <w:szCs w:val="24"/>
    </w:rPr>
  </w:style>
  <w:style w:type="paragraph" w:styleId="Obsah2">
    <w:name w:val="toc 2"/>
    <w:basedOn w:val="Normln"/>
    <w:next w:val="Normln"/>
    <w:autoRedefine/>
    <w:uiPriority w:val="39"/>
    <w:unhideWhenUsed/>
    <w:rsid w:val="005416A1"/>
    <w:pPr>
      <w:tabs>
        <w:tab w:val="left" w:pos="1260"/>
        <w:tab w:val="right" w:leader="dot" w:pos="9016"/>
      </w:tabs>
      <w:spacing w:before="120"/>
      <w:ind w:left="0" w:firstLine="567"/>
    </w:pPr>
    <w:rPr>
      <w:rFonts w:cstheme="minorHAnsi"/>
      <w:b/>
      <w:bCs/>
      <w:color w:val="005962"/>
      <w:sz w:val="20"/>
      <w:szCs w:val="20"/>
    </w:rPr>
  </w:style>
  <w:style w:type="paragraph" w:styleId="Obsah3">
    <w:name w:val="toc 3"/>
    <w:basedOn w:val="Normln"/>
    <w:next w:val="Normln"/>
    <w:autoRedefine/>
    <w:uiPriority w:val="39"/>
    <w:unhideWhenUsed/>
    <w:rsid w:val="005F6407"/>
    <w:pPr>
      <w:ind w:left="284" w:firstLine="567"/>
    </w:pPr>
    <w:rPr>
      <w:rFonts w:cstheme="minorHAnsi"/>
      <w:color w:val="005962"/>
      <w:szCs w:val="20"/>
    </w:rPr>
  </w:style>
  <w:style w:type="character" w:styleId="Hypertextovodkaz">
    <w:name w:val="Hyperlink"/>
    <w:aliases w:val=" Znak Znak Znak,Znak Znak Znak"/>
    <w:basedOn w:val="Standardnpsmoodstavce"/>
    <w:uiPriority w:val="99"/>
    <w:unhideWhenUsed/>
    <w:qFormat/>
    <w:rsid w:val="000E1F1D"/>
    <w:rPr>
      <w:color w:val="005962" w:themeColor="hyperlink"/>
      <w:u w:val="single"/>
    </w:rPr>
  </w:style>
  <w:style w:type="paragraph" w:styleId="Obsah4">
    <w:name w:val="toc 4"/>
    <w:basedOn w:val="Normln"/>
    <w:next w:val="Normln"/>
    <w:autoRedefine/>
    <w:uiPriority w:val="39"/>
    <w:unhideWhenUsed/>
    <w:rsid w:val="000A3FCD"/>
    <w:pPr>
      <w:ind w:left="360"/>
    </w:pPr>
    <w:rPr>
      <w:rFonts w:asciiTheme="minorHAnsi" w:hAnsiTheme="minorHAnsi" w:cstheme="minorHAnsi"/>
      <w:sz w:val="20"/>
      <w:szCs w:val="20"/>
    </w:rPr>
  </w:style>
  <w:style w:type="paragraph" w:styleId="Obsah5">
    <w:name w:val="toc 5"/>
    <w:basedOn w:val="Normln"/>
    <w:next w:val="Normln"/>
    <w:autoRedefine/>
    <w:uiPriority w:val="39"/>
    <w:unhideWhenUsed/>
    <w:rsid w:val="000A3FCD"/>
    <w:pPr>
      <w:ind w:left="540"/>
    </w:pPr>
    <w:rPr>
      <w:rFonts w:asciiTheme="minorHAnsi" w:hAnsiTheme="minorHAnsi" w:cstheme="minorHAnsi"/>
      <w:sz w:val="20"/>
      <w:szCs w:val="20"/>
    </w:rPr>
  </w:style>
  <w:style w:type="paragraph" w:styleId="Obsah6">
    <w:name w:val="toc 6"/>
    <w:basedOn w:val="Normln"/>
    <w:next w:val="Normln"/>
    <w:autoRedefine/>
    <w:uiPriority w:val="39"/>
    <w:unhideWhenUsed/>
    <w:rsid w:val="000A3FCD"/>
    <w:pPr>
      <w:ind w:left="720"/>
    </w:pPr>
    <w:rPr>
      <w:rFonts w:asciiTheme="minorHAnsi" w:hAnsiTheme="minorHAnsi" w:cstheme="minorHAnsi"/>
      <w:sz w:val="20"/>
      <w:szCs w:val="20"/>
    </w:rPr>
  </w:style>
  <w:style w:type="paragraph" w:styleId="Obsah7">
    <w:name w:val="toc 7"/>
    <w:basedOn w:val="Normln"/>
    <w:next w:val="Normln"/>
    <w:autoRedefine/>
    <w:uiPriority w:val="39"/>
    <w:unhideWhenUsed/>
    <w:rsid w:val="000A3FCD"/>
    <w:pPr>
      <w:ind w:left="900"/>
    </w:pPr>
    <w:rPr>
      <w:rFonts w:asciiTheme="minorHAnsi" w:hAnsiTheme="minorHAnsi" w:cstheme="minorHAnsi"/>
      <w:sz w:val="20"/>
      <w:szCs w:val="20"/>
    </w:rPr>
  </w:style>
  <w:style w:type="paragraph" w:styleId="Obsah8">
    <w:name w:val="toc 8"/>
    <w:basedOn w:val="Normln"/>
    <w:next w:val="Normln"/>
    <w:autoRedefine/>
    <w:uiPriority w:val="39"/>
    <w:unhideWhenUsed/>
    <w:rsid w:val="000A3FCD"/>
    <w:pPr>
      <w:ind w:left="1080"/>
    </w:pPr>
    <w:rPr>
      <w:rFonts w:asciiTheme="minorHAnsi" w:hAnsiTheme="minorHAnsi" w:cstheme="minorHAnsi"/>
      <w:sz w:val="20"/>
      <w:szCs w:val="20"/>
    </w:rPr>
  </w:style>
  <w:style w:type="paragraph" w:styleId="Obsah9">
    <w:name w:val="toc 9"/>
    <w:basedOn w:val="Normln"/>
    <w:next w:val="Normln"/>
    <w:autoRedefine/>
    <w:uiPriority w:val="39"/>
    <w:unhideWhenUsed/>
    <w:rsid w:val="000A3FCD"/>
    <w:pPr>
      <w:ind w:left="1260"/>
    </w:pPr>
    <w:rPr>
      <w:rFonts w:asciiTheme="minorHAnsi" w:hAnsiTheme="minorHAnsi" w:cstheme="minorHAnsi"/>
      <w:sz w:val="20"/>
      <w:szCs w:val="20"/>
    </w:rPr>
  </w:style>
  <w:style w:type="table" w:styleId="Mkatabulky">
    <w:name w:val="Table Grid"/>
    <w:basedOn w:val="Normlntabulka"/>
    <w:uiPriority w:val="59"/>
    <w:rsid w:val="0021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Normlntabulka"/>
    <w:uiPriority w:val="99"/>
    <w:rsid w:val="004103B8"/>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Trebuchet MS" w:hAnsi="Trebuchet MS"/>
        <w:b/>
        <w:color w:val="FFFFFF" w:themeColor="background1"/>
        <w:sz w:val="16"/>
      </w:rPr>
      <w:tblPr/>
      <w:tcPr>
        <w:shd w:val="clear" w:color="auto" w:fill="005962"/>
      </w:tcPr>
    </w:tblStylePr>
    <w:tblStylePr w:type="firstCol">
      <w:pPr>
        <w:wordWrap/>
        <w:jc w:val="left"/>
        <w:outlineLvl w:val="9"/>
      </w:pPr>
    </w:tblStylePr>
  </w:style>
  <w:style w:type="paragraph" w:styleId="Textpoznpodarou">
    <w:name w:val="footnote text"/>
    <w:aliases w:val="Fußnotentextf,Fußnotentextr,stile 1,Footnote,Footnote1,Footnote2,Footnote3,Footnote4,Footnote5,Footnote6,Footnote7,Footnote8,Footnote9,Footnote10,Footnote11,Footnote21,Footnote31,Footnote41,Footnote51,Footnote61,Footnote71"/>
    <w:basedOn w:val="Normln"/>
    <w:link w:val="TextpoznpodarouChar"/>
    <w:uiPriority w:val="99"/>
    <w:unhideWhenUsed/>
    <w:qFormat/>
    <w:rsid w:val="002A03EA"/>
    <w:pPr>
      <w:spacing w:line="240" w:lineRule="auto"/>
    </w:pPr>
    <w:rPr>
      <w:sz w:val="20"/>
      <w:szCs w:val="20"/>
    </w:rPr>
  </w:style>
  <w:style w:type="character" w:customStyle="1" w:styleId="TextpoznpodarouChar">
    <w:name w:val="Text pozn. pod čarou Char"/>
    <w:aliases w:val="Fußnotentextf Char,Fußnotentextr Char,stile 1 Char,Footnote Char,Footnote1 Char,Footnote2 Char,Footnote3 Char,Footnote4 Char,Footnote5 Char,Footnote6 Char,Footnote7 Char,Footnote8 Char,Footnote9 Char,Footnote10 Char"/>
    <w:basedOn w:val="Standardnpsmoodstavce"/>
    <w:link w:val="Textpoznpodarou"/>
    <w:uiPriority w:val="99"/>
    <w:rsid w:val="002A03EA"/>
    <w:rPr>
      <w:rFonts w:ascii="Trebuchet MS" w:hAnsi="Trebuchet MS"/>
      <w:sz w:val="20"/>
      <w:szCs w:val="20"/>
    </w:rPr>
  </w:style>
  <w:style w:type="character" w:styleId="Znakapoznpodarou">
    <w:name w:val="footnote reference"/>
    <w:aliases w:val="SUPERS,Odwołanie przypisu,Times 10 Point,Exposant 3 Point,Footnote symbol,Footnote reference number,number,Footnote Reference Superscript,stylish,Знак сноски-FN,Ciae niinee-FN,Знак сноски 1,(Footnote Reference), Exposant 3 Point"/>
    <w:basedOn w:val="Standardnpsmoodstavce"/>
    <w:unhideWhenUsed/>
    <w:qFormat/>
    <w:rsid w:val="002A03EA"/>
    <w:rPr>
      <w:vertAlign w:val="superscript"/>
    </w:rPr>
  </w:style>
  <w:style w:type="paragraph" w:customStyle="1" w:styleId="foonote">
    <w:name w:val="foonote"/>
    <w:basedOn w:val="Textpoznpodarou"/>
    <w:link w:val="foonoteChar"/>
    <w:qFormat/>
    <w:rsid w:val="002A03EA"/>
    <w:rPr>
      <w:rFonts w:ascii="Arial" w:hAnsi="Arial" w:cs="Arial"/>
      <w:sz w:val="16"/>
      <w:szCs w:val="16"/>
    </w:rPr>
  </w:style>
  <w:style w:type="character" w:customStyle="1" w:styleId="foonoteChar">
    <w:name w:val="foonote Char"/>
    <w:basedOn w:val="TextpoznpodarouChar"/>
    <w:link w:val="foonote"/>
    <w:rsid w:val="002D4BF3"/>
    <w:rPr>
      <w:rFonts w:ascii="Arial" w:hAnsi="Arial" w:cs="Arial"/>
      <w:sz w:val="16"/>
      <w:szCs w:val="16"/>
    </w:rPr>
  </w:style>
  <w:style w:type="paragraph" w:styleId="Revize">
    <w:name w:val="Revision"/>
    <w:hidden/>
    <w:uiPriority w:val="99"/>
    <w:semiHidden/>
    <w:rsid w:val="00594342"/>
    <w:pPr>
      <w:spacing w:after="0" w:line="240" w:lineRule="auto"/>
    </w:pPr>
    <w:rPr>
      <w:rFonts w:ascii="Trebuchet MS" w:hAnsi="Trebuchet MS"/>
      <w:sz w:val="18"/>
    </w:rPr>
  </w:style>
  <w:style w:type="paragraph" w:customStyle="1" w:styleId="Default">
    <w:name w:val="Default"/>
    <w:rsid w:val="009D3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1st elvel bullet green Char,1st level - Bullet List Paragraph Char,Lettre d'introduction Char,Paragrafo elenco Char,List Paragraph1 Char,Medium Grid 1 - Accent 21 Char,FooterText Char,Paragraphe de liste1 Char,Heading 2_sj Char"/>
    <w:link w:val="Odstavecseseznamem"/>
    <w:qFormat/>
    <w:rsid w:val="003367E5"/>
    <w:rPr>
      <w:rFonts w:ascii="Trebuchet MS" w:hAnsi="Trebuchet MS"/>
      <w:sz w:val="18"/>
      <w:lang w:val="en-GB"/>
    </w:rPr>
  </w:style>
  <w:style w:type="character" w:styleId="Odkaznakoment">
    <w:name w:val="annotation reference"/>
    <w:unhideWhenUsed/>
    <w:rsid w:val="00D13A76"/>
    <w:rPr>
      <w:sz w:val="16"/>
      <w:szCs w:val="16"/>
    </w:rPr>
  </w:style>
  <w:style w:type="paragraph" w:styleId="Textkomente">
    <w:name w:val="annotation text"/>
    <w:basedOn w:val="Normln"/>
    <w:link w:val="TextkomenteChar"/>
    <w:unhideWhenUsed/>
    <w:rsid w:val="00D13A76"/>
    <w:pPr>
      <w:spacing w:line="240" w:lineRule="auto"/>
    </w:pPr>
    <w:rPr>
      <w:rFonts w:eastAsia="Calibri" w:cs="Times New Roman"/>
      <w:sz w:val="20"/>
      <w:szCs w:val="20"/>
    </w:rPr>
  </w:style>
  <w:style w:type="character" w:customStyle="1" w:styleId="TextkomenteChar">
    <w:name w:val="Text komentáře Char"/>
    <w:basedOn w:val="Standardnpsmoodstavce"/>
    <w:link w:val="Textkomente"/>
    <w:rsid w:val="00D13A76"/>
    <w:rPr>
      <w:rFonts w:ascii="Trebuchet MS" w:eastAsia="Calibri" w:hAnsi="Trebuchet MS" w:cs="Times New Roman"/>
      <w:sz w:val="20"/>
      <w:szCs w:val="20"/>
    </w:rPr>
  </w:style>
  <w:style w:type="paragraph" w:styleId="Pedmtkomente">
    <w:name w:val="annotation subject"/>
    <w:basedOn w:val="Textkomente"/>
    <w:next w:val="Textkomente"/>
    <w:link w:val="PedmtkomenteChar"/>
    <w:uiPriority w:val="99"/>
    <w:semiHidden/>
    <w:unhideWhenUsed/>
    <w:rsid w:val="003808B9"/>
    <w:rPr>
      <w:rFonts w:eastAsiaTheme="minorHAnsi" w:cstheme="minorBidi"/>
      <w:b/>
      <w:bCs/>
    </w:rPr>
  </w:style>
  <w:style w:type="character" w:customStyle="1" w:styleId="PedmtkomenteChar">
    <w:name w:val="Předmět komentáře Char"/>
    <w:basedOn w:val="TextkomenteChar"/>
    <w:link w:val="Pedmtkomente"/>
    <w:uiPriority w:val="99"/>
    <w:semiHidden/>
    <w:rsid w:val="003808B9"/>
    <w:rPr>
      <w:rFonts w:ascii="Trebuchet MS" w:eastAsia="Calibri" w:hAnsi="Trebuchet MS" w:cs="Times New Roman"/>
      <w:b/>
      <w:bCs/>
      <w:sz w:val="20"/>
      <w:szCs w:val="20"/>
    </w:rPr>
  </w:style>
  <w:style w:type="character" w:styleId="Siln">
    <w:name w:val="Strong"/>
    <w:aliases w:val="Bold"/>
    <w:basedOn w:val="Standardnpsmoodstavce"/>
    <w:uiPriority w:val="22"/>
    <w:qFormat/>
    <w:rsid w:val="003808B9"/>
    <w:rPr>
      <w:b/>
      <w:bCs/>
    </w:rPr>
  </w:style>
  <w:style w:type="paragraph" w:customStyle="1" w:styleId="Orangetabletext">
    <w:name w:val="Orange table text"/>
    <w:basedOn w:val="Normln"/>
    <w:link w:val="OrangetabletextChar"/>
    <w:rsid w:val="00204ED4"/>
    <w:pPr>
      <w:numPr>
        <w:numId w:val="6"/>
      </w:numPr>
      <w:spacing w:line="260" w:lineRule="atLeast"/>
    </w:pPr>
    <w:rPr>
      <w:b/>
      <w:bCs/>
      <w:color w:val="FFFFFF"/>
      <w:sz w:val="16"/>
      <w:szCs w:val="14"/>
      <w:lang w:eastAsia="nl-NL"/>
    </w:rPr>
  </w:style>
  <w:style w:type="paragraph" w:styleId="Titulek">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ln"/>
    <w:next w:val="Normln"/>
    <w:link w:val="TitulekChar"/>
    <w:unhideWhenUsed/>
    <w:qFormat/>
    <w:rsid w:val="00D95BB0"/>
    <w:pPr>
      <w:spacing w:after="120" w:line="240" w:lineRule="auto"/>
    </w:pPr>
    <w:rPr>
      <w:b/>
      <w:bCs/>
      <w:color w:val="005962"/>
      <w:sz w:val="16"/>
    </w:rPr>
  </w:style>
  <w:style w:type="paragraph" w:customStyle="1" w:styleId="table-text">
    <w:name w:val="table-text"/>
    <w:basedOn w:val="broodtekst"/>
    <w:uiPriority w:val="99"/>
    <w:rsid w:val="00330BB1"/>
    <w:pPr>
      <w:keepNext w:val="0"/>
      <w:spacing w:line="280" w:lineRule="atLeast"/>
      <w:ind w:left="0" w:firstLine="0"/>
      <w:contextualSpacing w:val="0"/>
      <w:outlineLvl w:val="9"/>
    </w:pPr>
    <w:rPr>
      <w:rFonts w:ascii="Arial" w:hAnsi="Arial"/>
      <w:sz w:val="16"/>
      <w:szCs w:val="24"/>
      <w:lang w:val="nl-NL" w:eastAsia="nl-NL"/>
    </w:rPr>
  </w:style>
  <w:style w:type="paragraph" w:customStyle="1" w:styleId="tabelkop">
    <w:name w:val="tabelkop"/>
    <w:basedOn w:val="Normln"/>
    <w:rsid w:val="00330BB1"/>
    <w:pPr>
      <w:keepNext/>
      <w:keepLines/>
      <w:spacing w:line="280" w:lineRule="atLeast"/>
      <w:ind w:left="0"/>
    </w:pPr>
    <w:rPr>
      <w:rFonts w:ascii="Arial" w:eastAsia="Times New Roman" w:hAnsi="Arial" w:cs="Times New Roman"/>
      <w:b/>
      <w:color w:val="FFFFFF"/>
      <w:sz w:val="16"/>
      <w:szCs w:val="24"/>
      <w:lang w:val="nl-NL" w:eastAsia="nl-NL"/>
    </w:rPr>
  </w:style>
  <w:style w:type="table" w:styleId="Svtlseznamzvraznn2">
    <w:name w:val="Light List Accent 2"/>
    <w:basedOn w:val="Normlntabulka"/>
    <w:uiPriority w:val="61"/>
    <w:semiHidden/>
    <w:unhideWhenUsed/>
    <w:rsid w:val="00247A28"/>
    <w:pPr>
      <w:spacing w:after="0" w:line="240" w:lineRule="auto"/>
    </w:pPr>
    <w:tblPr>
      <w:tblStyleRowBandSize w:val="1"/>
      <w:tblStyleColBandSize w:val="1"/>
      <w:tblBorders>
        <w:top w:val="single" w:sz="8" w:space="0" w:color="F04E30" w:themeColor="accent2"/>
        <w:left w:val="single" w:sz="8" w:space="0" w:color="F04E30" w:themeColor="accent2"/>
        <w:bottom w:val="single" w:sz="8" w:space="0" w:color="F04E30" w:themeColor="accent2"/>
        <w:right w:val="single" w:sz="8" w:space="0" w:color="F04E30" w:themeColor="accent2"/>
      </w:tblBorders>
    </w:tblPr>
    <w:tblStylePr w:type="firstRow">
      <w:pPr>
        <w:spacing w:before="0" w:after="0" w:line="240" w:lineRule="auto"/>
      </w:pPr>
      <w:rPr>
        <w:b/>
        <w:bCs/>
        <w:color w:val="FFFFFF" w:themeColor="background1"/>
      </w:rPr>
      <w:tblPr/>
      <w:tcPr>
        <w:shd w:val="clear" w:color="auto" w:fill="F04E30" w:themeFill="accent2"/>
      </w:tcPr>
    </w:tblStylePr>
    <w:tblStylePr w:type="lastRow">
      <w:pPr>
        <w:spacing w:before="0" w:after="0" w:line="240" w:lineRule="auto"/>
      </w:pPr>
      <w:rPr>
        <w:b/>
        <w:bCs/>
      </w:rPr>
      <w:tblPr/>
      <w:tcPr>
        <w:tcBorders>
          <w:top w:val="double" w:sz="6" w:space="0" w:color="F04E30" w:themeColor="accent2"/>
          <w:left w:val="single" w:sz="8" w:space="0" w:color="F04E30" w:themeColor="accent2"/>
          <w:bottom w:val="single" w:sz="8" w:space="0" w:color="F04E30" w:themeColor="accent2"/>
          <w:right w:val="single" w:sz="8" w:space="0" w:color="F04E30" w:themeColor="accent2"/>
        </w:tcBorders>
      </w:tcPr>
    </w:tblStylePr>
    <w:tblStylePr w:type="firstCol">
      <w:rPr>
        <w:b/>
        <w:bCs/>
      </w:rPr>
    </w:tblStylePr>
    <w:tblStylePr w:type="lastCol">
      <w:rPr>
        <w:b/>
        <w:bCs/>
      </w:rPr>
    </w:tblStylePr>
    <w:tblStylePr w:type="band1Vert">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tblStylePr w:type="band1Horz">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style>
  <w:style w:type="table" w:customStyle="1" w:styleId="Box">
    <w:name w:val="Box"/>
    <w:basedOn w:val="Klasicktabulka1"/>
    <w:uiPriority w:val="99"/>
    <w:rsid w:val="008018ED"/>
    <w:rPr>
      <w:rFonts w:ascii="Trebuchet MS" w:hAnsi="Trebuchet MS"/>
      <w:sz w:val="16"/>
      <w:szCs w:val="20"/>
      <w:lang w:val="cs-CZ" w:eastAsia="en-GB"/>
    </w:rPr>
    <w:tblPr>
      <w:tblInd w:w="567" w:type="dxa"/>
    </w:tblPr>
    <w:tcPr>
      <w:shd w:val="clear" w:color="auto" w:fill="auto"/>
    </w:tcPr>
    <w:tblStylePr w:type="firstRow">
      <w:rPr>
        <w:rFonts w:ascii="Yu Mincho" w:hAnsi="Yu Mincho"/>
        <w:i/>
        <w:iCs/>
        <w:sz w:val="16"/>
      </w:rPr>
      <w:tblPr/>
      <w:tcPr>
        <w:tcBorders>
          <w:bottom w:val="single" w:sz="6" w:space="0" w:color="000000"/>
          <w:tl2br w:val="none" w:sz="0" w:space="0" w:color="auto"/>
          <w:tr2bl w:val="none" w:sz="0" w:space="0" w:color="auto"/>
        </w:tcBorders>
      </w:tcPr>
    </w:tblStylePr>
    <w:tblStylePr w:type="lastRow">
      <w:rPr>
        <w:rFonts w:ascii="Yu Mincho" w:hAnsi="Yu Mincho"/>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firstCol">
      <w:rPr>
        <w:rFonts w:ascii="Yu Mincho" w:hAnsi="Yu Mincho"/>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lastCol">
      <w:rPr>
        <w:rFonts w:ascii="Yu Mincho" w:hAnsi="Yu Mincho"/>
        <w:sz w:val="16"/>
      </w:rPr>
      <w:tblPr/>
      <w:tcPr>
        <w:tcBorders>
          <w:top w:val="nil"/>
          <w:left w:val="nil"/>
          <w:bottom w:val="nil"/>
          <w:right w:val="nil"/>
          <w:insideH w:val="nil"/>
          <w:insideV w:val="nil"/>
        </w:tcBorders>
        <w:shd w:val="clear" w:color="auto" w:fill="FFE3A5" w:themeFill="accent4"/>
      </w:tcPr>
    </w:tblStylePr>
    <w:tblStylePr w:type="neCell">
      <w:rPr>
        <w:rFonts w:ascii="Yu Mincho" w:hAnsi="Yu Mincho"/>
        <w:b/>
        <w:bCs/>
        <w:i w:val="0"/>
        <w:iCs w:val="0"/>
        <w:sz w:val="16"/>
      </w:rPr>
      <w:tblPr/>
      <w:tcPr>
        <w:tcBorders>
          <w:tl2br w:val="none" w:sz="0" w:space="0" w:color="auto"/>
          <w:tr2bl w:val="none" w:sz="0" w:space="0" w:color="auto"/>
        </w:tcBorders>
      </w:tcPr>
    </w:tblStylePr>
    <w:tblStylePr w:type="seCell">
      <w:rPr>
        <w:rFonts w:ascii="Yu Mincho" w:hAnsi="Yu Mincho"/>
        <w:sz w:val="16"/>
      </w:rPr>
    </w:tblStylePr>
    <w:tblStylePr w:type="swCell">
      <w:rPr>
        <w:rFonts w:ascii="Yu Mincho" w:hAnsi="Yu Mincho"/>
        <w:b/>
        <w:bCs/>
        <w:sz w:val="16"/>
      </w:rPr>
      <w:tblPr/>
      <w:tcPr>
        <w:tcBorders>
          <w:tl2br w:val="none" w:sz="0" w:space="0" w:color="auto"/>
          <w:tr2bl w:val="none" w:sz="0" w:space="0" w:color="auto"/>
        </w:tcBorders>
      </w:tcPr>
    </w:tblStylePr>
  </w:style>
  <w:style w:type="character" w:customStyle="1" w:styleId="TitulekChar">
    <w:name w:val="Titulek Char"/>
    <w:aliases w:val="Caption-tables Char,Tasks Char,Beschriftung Char2 Char,Beschriftung Char1 Char1 Char,Beschriftung Char Char Char1 Char,Beschriftung Char1 Char Char Char,Beschriftung Char Char Char Char Char,Beschriftung Char Char1 Char Char,Eco Char"/>
    <w:link w:val="Titulek"/>
    <w:locked/>
    <w:rsid w:val="00D95BB0"/>
    <w:rPr>
      <w:rFonts w:ascii="Trebuchet MS" w:hAnsi="Trebuchet MS"/>
      <w:b/>
      <w:bCs/>
      <w:color w:val="005962"/>
      <w:sz w:val="16"/>
      <w:szCs w:val="18"/>
    </w:rPr>
  </w:style>
  <w:style w:type="character" w:customStyle="1" w:styleId="AAAAAtextChar">
    <w:name w:val="AAAAAtext Char"/>
    <w:basedOn w:val="Standardnpsmoodstavce"/>
    <w:link w:val="AAAAAtext"/>
    <w:locked/>
    <w:rsid w:val="00456CCB"/>
    <w:rPr>
      <w:rFonts w:ascii="Calibri" w:hAnsi="Calibri"/>
      <w:sz w:val="22"/>
      <w:szCs w:val="24"/>
      <w:lang w:eastAsia="en-GB"/>
    </w:rPr>
  </w:style>
  <w:style w:type="paragraph" w:customStyle="1" w:styleId="AAAAAtext">
    <w:name w:val="AAAAAtext"/>
    <w:basedOn w:val="Normln"/>
    <w:link w:val="AAAAAtextChar"/>
    <w:rsid w:val="00371E2C"/>
    <w:pPr>
      <w:spacing w:before="60" w:after="60" w:line="320" w:lineRule="atLeast"/>
      <w:ind w:left="0"/>
      <w:jc w:val="both"/>
    </w:pPr>
    <w:rPr>
      <w:rFonts w:ascii="Calibri" w:hAnsi="Calibri"/>
      <w:sz w:val="22"/>
      <w:szCs w:val="24"/>
      <w:lang w:eastAsia="en-GB"/>
    </w:rPr>
  </w:style>
  <w:style w:type="paragraph" w:styleId="Normlnweb">
    <w:name w:val="Normal (Web)"/>
    <w:basedOn w:val="Normln"/>
    <w:uiPriority w:val="99"/>
    <w:unhideWhenUsed/>
    <w:rsid w:val="00336623"/>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Pa20">
    <w:name w:val="Pa20"/>
    <w:basedOn w:val="Default"/>
    <w:next w:val="Default"/>
    <w:uiPriority w:val="99"/>
    <w:rsid w:val="00336623"/>
    <w:pPr>
      <w:spacing w:line="171" w:lineRule="atLeast"/>
    </w:pPr>
    <w:rPr>
      <w:rFonts w:ascii="EC Square Sans Pro" w:hAnsi="EC Square Sans Pro" w:cstheme="minorBidi"/>
      <w:color w:val="auto"/>
    </w:rPr>
  </w:style>
  <w:style w:type="character" w:styleId="Zdraznn">
    <w:name w:val="Emphasis"/>
    <w:basedOn w:val="Standardnpsmoodstavce"/>
    <w:uiPriority w:val="20"/>
    <w:qFormat/>
    <w:rsid w:val="00724F32"/>
    <w:rPr>
      <w:i/>
      <w:iCs/>
    </w:rPr>
  </w:style>
  <w:style w:type="paragraph" w:styleId="Prosttext">
    <w:name w:val="Plain Text"/>
    <w:basedOn w:val="Normln"/>
    <w:link w:val="ProsttextChar"/>
    <w:uiPriority w:val="99"/>
    <w:semiHidden/>
    <w:unhideWhenUsed/>
    <w:rsid w:val="002A705E"/>
    <w:pPr>
      <w:spacing w:line="240" w:lineRule="auto"/>
      <w:ind w:left="0"/>
    </w:pPr>
    <w:rPr>
      <w:rFonts w:ascii="Calibri" w:eastAsia="Calibri" w:hAnsi="Calibri" w:cs="Times New Roman"/>
      <w:sz w:val="20"/>
      <w:szCs w:val="21"/>
    </w:rPr>
  </w:style>
  <w:style w:type="character" w:customStyle="1" w:styleId="ProsttextChar">
    <w:name w:val="Prostý text Char"/>
    <w:basedOn w:val="Standardnpsmoodstavce"/>
    <w:link w:val="Prosttext"/>
    <w:uiPriority w:val="99"/>
    <w:semiHidden/>
    <w:rsid w:val="002A705E"/>
    <w:rPr>
      <w:rFonts w:ascii="Calibri" w:eastAsia="Calibri" w:hAnsi="Calibri" w:cs="Times New Roman"/>
      <w:sz w:val="20"/>
      <w:szCs w:val="21"/>
    </w:rPr>
  </w:style>
  <w:style w:type="character" w:customStyle="1" w:styleId="rStyle">
    <w:name w:val="rStyle"/>
    <w:rsid w:val="0019417C"/>
    <w:rPr>
      <w:b/>
      <w:bCs w:val="0"/>
    </w:rPr>
  </w:style>
  <w:style w:type="character" w:styleId="Sledovanodkaz">
    <w:name w:val="FollowedHyperlink"/>
    <w:basedOn w:val="Standardnpsmoodstavce"/>
    <w:uiPriority w:val="99"/>
    <w:semiHidden/>
    <w:unhideWhenUsed/>
    <w:rsid w:val="0064096B"/>
    <w:rPr>
      <w:color w:val="F04E30" w:themeColor="followedHyperlink"/>
      <w:u w:val="single"/>
    </w:rPr>
  </w:style>
  <w:style w:type="character" w:customStyle="1" w:styleId="Hyperlink1">
    <w:name w:val="Hyperlink1"/>
    <w:basedOn w:val="Standardnpsmoodstavce"/>
    <w:uiPriority w:val="99"/>
    <w:unhideWhenUsed/>
    <w:rsid w:val="00915515"/>
    <w:rPr>
      <w:color w:val="0000FF"/>
      <w:u w:val="single"/>
    </w:rPr>
  </w:style>
  <w:style w:type="paragraph" w:customStyle="1" w:styleId="paragraph">
    <w:name w:val="paragraph"/>
    <w:basedOn w:val="Normln"/>
    <w:rsid w:val="0076575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Standardnpsmoodstavce"/>
    <w:rsid w:val="00765759"/>
  </w:style>
  <w:style w:type="character" w:customStyle="1" w:styleId="scx12335173">
    <w:name w:val="scx12335173"/>
    <w:basedOn w:val="Standardnpsmoodstavce"/>
    <w:rsid w:val="00765759"/>
  </w:style>
  <w:style w:type="character" w:customStyle="1" w:styleId="apple-converted-space">
    <w:name w:val="apple-converted-space"/>
    <w:basedOn w:val="Standardnpsmoodstavce"/>
    <w:rsid w:val="00765759"/>
  </w:style>
  <w:style w:type="character" w:customStyle="1" w:styleId="eop">
    <w:name w:val="eop"/>
    <w:basedOn w:val="Standardnpsmoodstavce"/>
    <w:rsid w:val="00765759"/>
  </w:style>
  <w:style w:type="character" w:customStyle="1" w:styleId="spellingerror">
    <w:name w:val="spellingerror"/>
    <w:basedOn w:val="Standardnpsmoodstavce"/>
    <w:rsid w:val="00765759"/>
  </w:style>
  <w:style w:type="paragraph" w:customStyle="1" w:styleId="ECVSectionBullet">
    <w:name w:val="_ECV_SectionBullet"/>
    <w:basedOn w:val="Normln"/>
    <w:rsid w:val="00E676D9"/>
    <w:pPr>
      <w:suppressLineNumbers/>
      <w:autoSpaceDE w:val="0"/>
      <w:spacing w:line="100" w:lineRule="atLeast"/>
      <w:ind w:left="0"/>
    </w:pPr>
    <w:rPr>
      <w:rFonts w:ascii="Arial" w:eastAsia="SimSun" w:hAnsi="Arial" w:cs="Mangal"/>
      <w:color w:val="3F3A38"/>
      <w:spacing w:val="-6"/>
      <w:kern w:val="2"/>
      <w:szCs w:val="24"/>
      <w:lang w:eastAsia="zh-CN" w:bidi="hi-IN"/>
    </w:rPr>
  </w:style>
  <w:style w:type="character" w:customStyle="1" w:styleId="AddingupnumeralChar">
    <w:name w:val="Adding up (numeral) Char"/>
    <w:basedOn w:val="Standardnpsmoodstavce"/>
    <w:link w:val="Addingupnumeral"/>
    <w:rsid w:val="008018ED"/>
    <w:rPr>
      <w:rFonts w:ascii="Trebuchet MS" w:eastAsia="Calibri" w:hAnsi="Trebuchet MS" w:cs="Times New Roman"/>
      <w:sz w:val="18"/>
      <w:lang w:val="en-GB"/>
    </w:rPr>
  </w:style>
  <w:style w:type="character" w:customStyle="1" w:styleId="UnresolvedMention1">
    <w:name w:val="Unresolved Mention1"/>
    <w:basedOn w:val="Standardnpsmoodstavce"/>
    <w:uiPriority w:val="99"/>
    <w:semiHidden/>
    <w:unhideWhenUsed/>
    <w:rsid w:val="003A045A"/>
    <w:rPr>
      <w:color w:val="605E5C"/>
      <w:shd w:val="clear" w:color="auto" w:fill="E1DFDD"/>
    </w:rPr>
  </w:style>
  <w:style w:type="table" w:styleId="Klasicktabulka1">
    <w:name w:val="Table Classic 1"/>
    <w:basedOn w:val="Normlntabulka"/>
    <w:uiPriority w:val="99"/>
    <w:semiHidden/>
    <w:unhideWhenUsed/>
    <w:rsid w:val="008018ED"/>
    <w:pPr>
      <w:spacing w:after="0" w:line="300" w:lineRule="atLeast"/>
      <w:ind w:left="56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Normlntabulka"/>
    <w:next w:val="Mkatabulky"/>
    <w:uiPriority w:val="59"/>
    <w:rsid w:val="0006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bulletpoint">
    <w:name w:val="Checklist bulletpoint"/>
    <w:basedOn w:val="Normln"/>
    <w:link w:val="ChecklistbulletpointChar"/>
    <w:rsid w:val="00F93481"/>
    <w:pPr>
      <w:numPr>
        <w:numId w:val="5"/>
      </w:numPr>
    </w:pPr>
    <w:rPr>
      <w:b/>
      <w:color w:val="F04E30"/>
      <w:szCs w:val="18"/>
    </w:rPr>
  </w:style>
  <w:style w:type="paragraph" w:customStyle="1" w:styleId="ChecklistBulletpoint0">
    <w:name w:val="Checklist Bulletpoint"/>
    <w:basedOn w:val="Normln"/>
    <w:link w:val="ChecklistBulletpointChar0"/>
    <w:qFormat/>
    <w:rsid w:val="00F93481"/>
    <w:pPr>
      <w:tabs>
        <w:tab w:val="left" w:pos="851"/>
      </w:tabs>
      <w:ind w:left="0"/>
    </w:pPr>
  </w:style>
  <w:style w:type="character" w:customStyle="1" w:styleId="ChecklistbulletpointChar">
    <w:name w:val="Checklist bulletpoint Char"/>
    <w:basedOn w:val="Standardnpsmoodstavce"/>
    <w:link w:val="Checklistbulletpoint"/>
    <w:rsid w:val="00F93481"/>
    <w:rPr>
      <w:rFonts w:ascii="Trebuchet MS" w:hAnsi="Trebuchet MS"/>
      <w:b/>
      <w:color w:val="F04E30"/>
      <w:sz w:val="18"/>
      <w:szCs w:val="18"/>
    </w:rPr>
  </w:style>
  <w:style w:type="paragraph" w:customStyle="1" w:styleId="Frontpagetitle">
    <w:name w:val="Frontpage title"/>
    <w:basedOn w:val="Normln"/>
    <w:link w:val="FrontpagetitleChar"/>
    <w:qFormat/>
    <w:rsid w:val="003367E5"/>
    <w:pPr>
      <w:ind w:left="0"/>
      <w:jc w:val="center"/>
    </w:pPr>
    <w:rPr>
      <w:color w:val="FFFFFF" w:themeColor="background1"/>
      <w:sz w:val="80"/>
      <w:szCs w:val="80"/>
    </w:rPr>
  </w:style>
  <w:style w:type="character" w:customStyle="1" w:styleId="ChecklistBulletpointChar0">
    <w:name w:val="Checklist Bulletpoint Char"/>
    <w:basedOn w:val="Standardnpsmoodstavce"/>
    <w:link w:val="ChecklistBulletpoint0"/>
    <w:rsid w:val="00F93481"/>
    <w:rPr>
      <w:rFonts w:ascii="Trebuchet MS" w:hAnsi="Trebuchet MS"/>
      <w:sz w:val="18"/>
    </w:rPr>
  </w:style>
  <w:style w:type="paragraph" w:customStyle="1" w:styleId="2ndlevelbulletpoint">
    <w:name w:val="2nd level bulletpoint"/>
    <w:basedOn w:val="Odstavecseseznamem"/>
    <w:next w:val="3rdlevelbulletpoint"/>
    <w:link w:val="2ndlevelbulletpointChar"/>
    <w:rsid w:val="00F8775C"/>
    <w:pPr>
      <w:numPr>
        <w:ilvl w:val="1"/>
      </w:numPr>
    </w:pPr>
  </w:style>
  <w:style w:type="character" w:customStyle="1" w:styleId="FrontpagetitleChar">
    <w:name w:val="Frontpage title Char"/>
    <w:basedOn w:val="Standardnpsmoodstavce"/>
    <w:link w:val="Frontpagetitle"/>
    <w:rsid w:val="003367E5"/>
    <w:rPr>
      <w:rFonts w:ascii="Trebuchet MS" w:hAnsi="Trebuchet MS"/>
      <w:color w:val="FFFFFF" w:themeColor="background1"/>
      <w:sz w:val="80"/>
      <w:szCs w:val="80"/>
    </w:rPr>
  </w:style>
  <w:style w:type="paragraph" w:customStyle="1" w:styleId="3rdlevelbulletpoint">
    <w:name w:val="3rd level bulletpoint"/>
    <w:basedOn w:val="2ndlevelbulletpoint"/>
    <w:link w:val="3rdlevelbulletpointChar"/>
    <w:rsid w:val="005D19A4"/>
    <w:pPr>
      <w:numPr>
        <w:ilvl w:val="2"/>
      </w:numPr>
      <w:tabs>
        <w:tab w:val="num" w:pos="360"/>
      </w:tabs>
      <w:ind w:left="2001" w:hanging="357"/>
    </w:pPr>
  </w:style>
  <w:style w:type="character" w:customStyle="1" w:styleId="2ndlevelbulletpointChar">
    <w:name w:val="2nd level bulletpoint Char"/>
    <w:basedOn w:val="OdstavecseseznamemChar"/>
    <w:link w:val="2ndlevelbulletpoint"/>
    <w:rsid w:val="00F8775C"/>
    <w:rPr>
      <w:rFonts w:ascii="Trebuchet MS" w:hAnsi="Trebuchet MS"/>
      <w:sz w:val="18"/>
      <w:lang w:val="en-GB"/>
    </w:rPr>
  </w:style>
  <w:style w:type="paragraph" w:customStyle="1" w:styleId="Bulletpoint">
    <w:name w:val="Bulletpoint"/>
    <w:basedOn w:val="2ndlevelbulletpoint"/>
    <w:next w:val="2ndlevelbulletpoint"/>
    <w:link w:val="BulletpointChar"/>
    <w:qFormat/>
    <w:rsid w:val="003367E5"/>
    <w:pPr>
      <w:numPr>
        <w:ilvl w:val="0"/>
      </w:numPr>
    </w:pPr>
  </w:style>
  <w:style w:type="character" w:customStyle="1" w:styleId="3rdlevelbulletpointChar">
    <w:name w:val="3rd level bulletpoint Char"/>
    <w:basedOn w:val="2ndlevelbulletpointChar"/>
    <w:link w:val="3rdlevelbulletpoint"/>
    <w:rsid w:val="005D19A4"/>
    <w:rPr>
      <w:rFonts w:ascii="Trebuchet MS" w:hAnsi="Trebuchet MS"/>
      <w:sz w:val="18"/>
      <w:lang w:val="en-GB"/>
    </w:rPr>
  </w:style>
  <w:style w:type="paragraph" w:customStyle="1" w:styleId="Tabletext">
    <w:name w:val="Table text"/>
    <w:basedOn w:val="Normln"/>
    <w:link w:val="TabletextChar"/>
    <w:qFormat/>
    <w:rsid w:val="00EA353A"/>
    <w:pPr>
      <w:ind w:left="0"/>
    </w:pPr>
    <w:rPr>
      <w:rFonts w:eastAsia="Calibri" w:cs="Times New Roman"/>
      <w:bCs/>
      <w:sz w:val="16"/>
      <w:szCs w:val="16"/>
      <w:lang w:val="en-GB"/>
    </w:rPr>
  </w:style>
  <w:style w:type="character" w:customStyle="1" w:styleId="BulletpointChar">
    <w:name w:val="Bulletpoint Char"/>
    <w:basedOn w:val="3rdlevelbulletpointChar"/>
    <w:link w:val="Bulletpoint"/>
    <w:rsid w:val="005D19A4"/>
    <w:rPr>
      <w:rFonts w:ascii="Trebuchet MS" w:hAnsi="Trebuchet MS"/>
      <w:sz w:val="18"/>
      <w:lang w:val="en-GB"/>
    </w:rPr>
  </w:style>
  <w:style w:type="table" w:customStyle="1" w:styleId="SummaryofTask">
    <w:name w:val="Summary of Task"/>
    <w:basedOn w:val="Normlntabulka"/>
    <w:uiPriority w:val="99"/>
    <w:rsid w:val="00855511"/>
    <w:pPr>
      <w:spacing w:after="0" w:line="240" w:lineRule="auto"/>
    </w:pPr>
    <w:rPr>
      <w:rFonts w:ascii="Trebuchet MS" w:hAnsi="Trebuchet MS"/>
      <w:sz w:val="16"/>
    </w:rPr>
    <w:tblPr>
      <w:tblInd w:w="567" w:type="dxa"/>
      <w:tblBorders>
        <w:top w:val="single" w:sz="4" w:space="0" w:color="FFE3A5" w:themeColor="accent4"/>
        <w:left w:val="single" w:sz="4" w:space="0" w:color="FFE3A5" w:themeColor="accent4"/>
        <w:bottom w:val="single" w:sz="4" w:space="0" w:color="FFE3A5" w:themeColor="accent4"/>
        <w:right w:val="single" w:sz="4" w:space="0" w:color="FFE3A5" w:themeColor="accent4"/>
        <w:insideH w:val="single" w:sz="4" w:space="0" w:color="FFE3A5" w:themeColor="accent4"/>
        <w:insideV w:val="single" w:sz="4" w:space="0" w:color="FFE3A5" w:themeColor="accent4"/>
      </w:tblBorders>
      <w:tblCellMar>
        <w:left w:w="0" w:type="dxa"/>
        <w:right w:w="0" w:type="dxa"/>
      </w:tblCellMar>
    </w:tblPr>
    <w:tblStylePr w:type="firstCol">
      <w:pPr>
        <w:wordWrap/>
        <w:ind w:leftChars="0" w:left="113"/>
      </w:pPr>
      <w:rPr>
        <w:rFonts w:ascii="Trebuchet MS" w:hAnsi="Trebuchet MS"/>
        <w:b/>
        <w:sz w:val="16"/>
      </w:rPr>
      <w:tblPr/>
      <w:tcPr>
        <w:shd w:val="clear" w:color="auto" w:fill="FFE3A5" w:themeFill="accent4"/>
      </w:tcPr>
    </w:tblStylePr>
    <w:tblStylePr w:type="lastCol">
      <w:pPr>
        <w:jc w:val="left"/>
      </w:pPr>
      <w:rPr>
        <w:rFonts w:ascii="Trebuchet MS" w:hAnsi="Trebuchet MS"/>
        <w:sz w:val="16"/>
      </w:rPr>
      <w:tblPr/>
      <w:tcPr>
        <w:vAlign w:val="center"/>
      </w:tcPr>
    </w:tblStylePr>
  </w:style>
  <w:style w:type="character" w:customStyle="1" w:styleId="TabletextChar">
    <w:name w:val="Table text Char"/>
    <w:basedOn w:val="Standardnpsmoodstavce"/>
    <w:link w:val="Tabletext"/>
    <w:rsid w:val="00EA353A"/>
    <w:rPr>
      <w:rFonts w:ascii="Trebuchet MS" w:eastAsia="Calibri" w:hAnsi="Trebuchet MS" w:cs="Times New Roman"/>
      <w:bCs/>
      <w:sz w:val="16"/>
      <w:szCs w:val="16"/>
      <w:lang w:val="en-GB"/>
    </w:rPr>
  </w:style>
  <w:style w:type="character" w:customStyle="1" w:styleId="OrangetabletextChar">
    <w:name w:val="Orange table text Char"/>
    <w:basedOn w:val="Standardnpsmoodstavce"/>
    <w:link w:val="Orangetabletext"/>
    <w:rsid w:val="00204ED4"/>
    <w:rPr>
      <w:rFonts w:ascii="Trebuchet MS" w:hAnsi="Trebuchet MS"/>
      <w:b/>
      <w:bCs/>
      <w:color w:val="FFFFFF"/>
      <w:sz w:val="16"/>
      <w:szCs w:val="14"/>
      <w:lang w:eastAsia="nl-NL"/>
    </w:rPr>
  </w:style>
  <w:style w:type="character" w:customStyle="1" w:styleId="Mention1">
    <w:name w:val="Mention1"/>
    <w:basedOn w:val="Standardnpsmoodstavce"/>
    <w:uiPriority w:val="99"/>
    <w:unhideWhenUsed/>
    <w:rsid w:val="007D1C58"/>
    <w:rPr>
      <w:color w:val="2B579A"/>
      <w:shd w:val="clear" w:color="auto" w:fill="E1DFDD"/>
    </w:rPr>
  </w:style>
  <w:style w:type="character" w:customStyle="1" w:styleId="ui-provider">
    <w:name w:val="ui-provider"/>
    <w:basedOn w:val="Standardnpsmoodstavce"/>
    <w:rsid w:val="004443A0"/>
  </w:style>
  <w:style w:type="numbering" w:customStyle="1" w:styleId="LFO2">
    <w:name w:val="LFO2"/>
    <w:basedOn w:val="Bezseznamu"/>
    <w:rsid w:val="00BC1B18"/>
    <w:pPr>
      <w:numPr>
        <w:numId w:val="31"/>
      </w:numPr>
    </w:pPr>
  </w:style>
  <w:style w:type="numbering" w:customStyle="1" w:styleId="LFO1">
    <w:name w:val="LFO1"/>
    <w:basedOn w:val="Bezseznamu"/>
    <w:rsid w:val="00BC1B18"/>
    <w:pPr>
      <w:numPr>
        <w:numId w:val="38"/>
      </w:numPr>
    </w:pPr>
  </w:style>
  <w:style w:type="character" w:customStyle="1" w:styleId="Mention">
    <w:name w:val="Mention"/>
    <w:basedOn w:val="Standardnpsmoodstavce"/>
    <w:uiPriority w:val="99"/>
    <w:unhideWhenUsed/>
    <w:rsid w:val="00712EAD"/>
    <w:rPr>
      <w:color w:val="2B579A"/>
      <w:shd w:val="clear" w:color="auto" w:fill="E1DFDD"/>
    </w:rPr>
  </w:style>
  <w:style w:type="paragraph" w:customStyle="1" w:styleId="1stlevelgreen">
    <w:name w:val="1st level green"/>
    <w:basedOn w:val="Normln"/>
    <w:link w:val="1stlevelgreenChar"/>
    <w:uiPriority w:val="3"/>
    <w:qFormat/>
    <w:rsid w:val="00BB18F8"/>
    <w:pPr>
      <w:tabs>
        <w:tab w:val="left" w:pos="851"/>
      </w:tabs>
      <w:ind w:left="1247" w:hanging="340"/>
      <w:contextualSpacing/>
    </w:pPr>
    <w:rPr>
      <w:lang w:val="en-GB"/>
    </w:rPr>
  </w:style>
  <w:style w:type="character" w:customStyle="1" w:styleId="1stlevelgreenChar">
    <w:name w:val="1st level green Char"/>
    <w:basedOn w:val="Standardnpsmoodstavce"/>
    <w:link w:val="1stlevelgreen"/>
    <w:uiPriority w:val="3"/>
    <w:rsid w:val="00BB18F8"/>
    <w:rPr>
      <w:rFonts w:ascii="Trebuchet MS" w:hAnsi="Trebuchet MS"/>
      <w:sz w:val="18"/>
      <w:lang w:val="en-GB"/>
    </w:rPr>
  </w:style>
  <w:style w:type="paragraph" w:customStyle="1" w:styleId="1stlevelroundbullet">
    <w:name w:val="1st level round bullet"/>
    <w:basedOn w:val="Odstavecseseznamem"/>
    <w:link w:val="1stlevelroundbulletChar"/>
    <w:uiPriority w:val="3"/>
    <w:qFormat/>
    <w:rsid w:val="005B252C"/>
    <w:pPr>
      <w:numPr>
        <w:numId w:val="49"/>
      </w:numPr>
      <w:tabs>
        <w:tab w:val="left" w:pos="1134"/>
      </w:tabs>
      <w:ind w:left="1247" w:hanging="340"/>
    </w:pPr>
  </w:style>
  <w:style w:type="character" w:customStyle="1" w:styleId="1stlevelroundbulletChar">
    <w:name w:val="1st level round bullet Char"/>
    <w:basedOn w:val="Standardnpsmoodstavce"/>
    <w:link w:val="1stlevelroundbullet"/>
    <w:uiPriority w:val="3"/>
    <w:rsid w:val="005B252C"/>
    <w:rPr>
      <w:rFonts w:ascii="Trebuchet MS" w:hAnsi="Trebuchet MS"/>
      <w:sz w:val="18"/>
      <w:lang w:val="en-GB"/>
    </w:rPr>
  </w:style>
  <w:style w:type="paragraph" w:customStyle="1" w:styleId="11">
    <w:name w:val="11"/>
    <w:basedOn w:val="Odstavecseseznamem"/>
    <w:next w:val="Normln"/>
    <w:uiPriority w:val="9"/>
    <w:qFormat/>
    <w:rsid w:val="00D8766D"/>
    <w:pPr>
      <w:numPr>
        <w:numId w:val="0"/>
      </w:numPr>
      <w:spacing w:before="360" w:after="240"/>
      <w:ind w:left="927" w:hanging="360"/>
      <w:contextualSpacing w:val="0"/>
      <w:outlineLvl w:val="0"/>
    </w:pPr>
    <w:rPr>
      <w:b/>
      <w:color w:val="005962"/>
      <w:sz w:val="40"/>
    </w:rPr>
  </w:style>
  <w:style w:type="paragraph" w:customStyle="1" w:styleId="Heading41">
    <w:name w:val="Heading 41"/>
    <w:basedOn w:val="Normln"/>
    <w:next w:val="Normln"/>
    <w:uiPriority w:val="9"/>
    <w:qFormat/>
    <w:rsid w:val="00D8766D"/>
    <w:pPr>
      <w:keepNext/>
      <w:keepLines/>
      <w:ind w:left="0" w:firstLine="567"/>
      <w:outlineLvl w:val="3"/>
    </w:pPr>
    <w:rPr>
      <w:rFonts w:eastAsia="Times New Roman" w:cs="Times New Roman"/>
      <w:b/>
      <w:bCs/>
      <w:iCs/>
      <w:color w:val="F04E30"/>
    </w:rPr>
  </w:style>
  <w:style w:type="paragraph" w:customStyle="1" w:styleId="Heading51">
    <w:name w:val="Heading 51"/>
    <w:basedOn w:val="Normln"/>
    <w:next w:val="Normln"/>
    <w:uiPriority w:val="9"/>
    <w:unhideWhenUsed/>
    <w:qFormat/>
    <w:rsid w:val="00D8766D"/>
    <w:pPr>
      <w:keepNext/>
      <w:keepLines/>
      <w:outlineLvl w:val="4"/>
    </w:pPr>
    <w:rPr>
      <w:rFonts w:eastAsia="Times New Roman" w:cs="Times New Roman"/>
      <w:b/>
      <w:bCs/>
      <w:color w:val="002C54"/>
      <w:lang w:val="en-GB"/>
    </w:rPr>
  </w:style>
  <w:style w:type="paragraph" w:customStyle="1" w:styleId="Heading61">
    <w:name w:val="Heading 61"/>
    <w:basedOn w:val="Normln"/>
    <w:next w:val="Normln"/>
    <w:uiPriority w:val="9"/>
    <w:unhideWhenUsed/>
    <w:qFormat/>
    <w:rsid w:val="00D8766D"/>
    <w:pPr>
      <w:keepNext/>
      <w:keepLines/>
      <w:spacing w:before="40"/>
      <w:outlineLvl w:val="5"/>
    </w:pPr>
    <w:rPr>
      <w:rFonts w:eastAsia="Times New Roman" w:cs="Times New Roman"/>
      <w:b/>
      <w:color w:val="002C30"/>
    </w:rPr>
  </w:style>
  <w:style w:type="paragraph" w:customStyle="1" w:styleId="Heading71">
    <w:name w:val="Heading 71"/>
    <w:basedOn w:val="Normln"/>
    <w:next w:val="Normln"/>
    <w:uiPriority w:val="9"/>
    <w:unhideWhenUsed/>
    <w:qFormat/>
    <w:rsid w:val="00D8766D"/>
    <w:pPr>
      <w:keepNext/>
      <w:keepLines/>
      <w:spacing w:before="40"/>
      <w:outlineLvl w:val="6"/>
    </w:pPr>
    <w:rPr>
      <w:rFonts w:eastAsia="Times New Roman" w:cs="Times New Roman"/>
      <w:i/>
      <w:iCs/>
      <w:color w:val="002C30"/>
    </w:rPr>
  </w:style>
  <w:style w:type="paragraph" w:customStyle="1" w:styleId="Heading81">
    <w:name w:val="Heading 81"/>
    <w:basedOn w:val="Normln"/>
    <w:next w:val="Normln"/>
    <w:uiPriority w:val="9"/>
    <w:unhideWhenUsed/>
    <w:rsid w:val="00D8766D"/>
    <w:pPr>
      <w:keepNext/>
      <w:keepLines/>
      <w:spacing w:before="40"/>
      <w:outlineLvl w:val="7"/>
    </w:pPr>
    <w:rPr>
      <w:rFonts w:ascii="Cambria" w:eastAsia="Times New Roman" w:hAnsi="Cambria" w:cs="Times New Roman"/>
      <w:color w:val="272727"/>
      <w:sz w:val="21"/>
      <w:szCs w:val="21"/>
    </w:rPr>
  </w:style>
  <w:style w:type="numbering" w:customStyle="1" w:styleId="NoList1">
    <w:name w:val="No List1"/>
    <w:next w:val="Bezseznamu"/>
    <w:uiPriority w:val="99"/>
    <w:semiHidden/>
    <w:unhideWhenUsed/>
    <w:rsid w:val="00D8766D"/>
  </w:style>
  <w:style w:type="paragraph" w:customStyle="1" w:styleId="Title1">
    <w:name w:val="Title1"/>
    <w:basedOn w:val="Normln"/>
    <w:next w:val="Normln"/>
    <w:uiPriority w:val="10"/>
    <w:semiHidden/>
    <w:qFormat/>
    <w:rsid w:val="00D8766D"/>
    <w:pPr>
      <w:pBdr>
        <w:bottom w:val="single" w:sz="8" w:space="4" w:color="005962"/>
      </w:pBdr>
      <w:spacing w:after="300" w:line="240" w:lineRule="auto"/>
      <w:contextualSpacing/>
      <w:jc w:val="center"/>
    </w:pPr>
    <w:rPr>
      <w:rFonts w:eastAsia="Times New Roman" w:cs="Times New Roman"/>
      <w:spacing w:val="5"/>
      <w:kern w:val="28"/>
      <w:sz w:val="40"/>
      <w:szCs w:val="52"/>
    </w:rPr>
  </w:style>
  <w:style w:type="paragraph" w:customStyle="1" w:styleId="lp11">
    <w:name w:val="lp11"/>
    <w:basedOn w:val="Normln"/>
    <w:next w:val="Odstavecseseznamem"/>
    <w:qFormat/>
    <w:rsid w:val="00D8766D"/>
    <w:pPr>
      <w:tabs>
        <w:tab w:val="left" w:pos="851"/>
      </w:tabs>
      <w:ind w:left="1287" w:hanging="360"/>
      <w:contextualSpacing/>
    </w:pPr>
    <w:rPr>
      <w:lang w:val="en-GB"/>
    </w:rPr>
  </w:style>
  <w:style w:type="paragraph" w:customStyle="1" w:styleId="TOCHeading1">
    <w:name w:val="TOC Heading1"/>
    <w:basedOn w:val="Nadpis1"/>
    <w:next w:val="Normln"/>
    <w:uiPriority w:val="39"/>
    <w:unhideWhenUsed/>
    <w:qFormat/>
    <w:rsid w:val="00D8766D"/>
    <w:pPr>
      <w:keepNext/>
      <w:keepLines/>
      <w:numPr>
        <w:numId w:val="0"/>
      </w:numPr>
      <w:tabs>
        <w:tab w:val="clear" w:pos="851"/>
      </w:tabs>
      <w:spacing w:before="240" w:after="0" w:line="259" w:lineRule="auto"/>
    </w:pPr>
  </w:style>
  <w:style w:type="paragraph" w:customStyle="1" w:styleId="TOC21">
    <w:name w:val="TOC 21"/>
    <w:basedOn w:val="Normln"/>
    <w:next w:val="Normln"/>
    <w:autoRedefine/>
    <w:uiPriority w:val="39"/>
    <w:unhideWhenUsed/>
    <w:rsid w:val="00D8766D"/>
    <w:pPr>
      <w:tabs>
        <w:tab w:val="left" w:pos="1260"/>
        <w:tab w:val="right" w:leader="dot" w:pos="9016"/>
      </w:tabs>
      <w:spacing w:before="120"/>
      <w:ind w:left="0" w:firstLine="567"/>
    </w:pPr>
    <w:rPr>
      <w:rFonts w:cs="Calibri"/>
      <w:b/>
      <w:bCs/>
      <w:color w:val="005962"/>
      <w:sz w:val="20"/>
      <w:szCs w:val="20"/>
    </w:rPr>
  </w:style>
  <w:style w:type="paragraph" w:customStyle="1" w:styleId="TOC31">
    <w:name w:val="TOC 31"/>
    <w:basedOn w:val="Normln"/>
    <w:next w:val="Normln"/>
    <w:autoRedefine/>
    <w:uiPriority w:val="39"/>
    <w:unhideWhenUsed/>
    <w:rsid w:val="00D8766D"/>
    <w:pPr>
      <w:ind w:left="284" w:firstLine="567"/>
    </w:pPr>
    <w:rPr>
      <w:rFonts w:cs="Calibri"/>
      <w:color w:val="005962"/>
      <w:szCs w:val="20"/>
    </w:rPr>
  </w:style>
  <w:style w:type="character" w:customStyle="1" w:styleId="ZnakZnakZnak1">
    <w:name w:val="Znak Znak Znak1"/>
    <w:basedOn w:val="Standardnpsmoodstavce"/>
    <w:uiPriority w:val="99"/>
    <w:unhideWhenUsed/>
    <w:qFormat/>
    <w:rsid w:val="00D8766D"/>
    <w:rPr>
      <w:color w:val="005962"/>
      <w:u w:val="single"/>
    </w:rPr>
  </w:style>
  <w:style w:type="paragraph" w:customStyle="1" w:styleId="TOC41">
    <w:name w:val="TOC 41"/>
    <w:basedOn w:val="Normln"/>
    <w:next w:val="Normln"/>
    <w:autoRedefine/>
    <w:uiPriority w:val="39"/>
    <w:unhideWhenUsed/>
    <w:rsid w:val="00D8766D"/>
    <w:pPr>
      <w:ind w:left="360"/>
    </w:pPr>
    <w:rPr>
      <w:rFonts w:asciiTheme="minorHAnsi" w:hAnsiTheme="minorHAnsi" w:cs="Calibri"/>
      <w:sz w:val="20"/>
      <w:szCs w:val="20"/>
    </w:rPr>
  </w:style>
  <w:style w:type="paragraph" w:customStyle="1" w:styleId="TOC51">
    <w:name w:val="TOC 51"/>
    <w:basedOn w:val="Normln"/>
    <w:next w:val="Normln"/>
    <w:autoRedefine/>
    <w:uiPriority w:val="39"/>
    <w:unhideWhenUsed/>
    <w:rsid w:val="00D8766D"/>
    <w:pPr>
      <w:ind w:left="540"/>
    </w:pPr>
    <w:rPr>
      <w:rFonts w:asciiTheme="minorHAnsi" w:hAnsiTheme="minorHAnsi" w:cs="Calibri"/>
      <w:sz w:val="20"/>
      <w:szCs w:val="20"/>
    </w:rPr>
  </w:style>
  <w:style w:type="paragraph" w:customStyle="1" w:styleId="TOC61">
    <w:name w:val="TOC 61"/>
    <w:basedOn w:val="Normln"/>
    <w:next w:val="Normln"/>
    <w:autoRedefine/>
    <w:uiPriority w:val="39"/>
    <w:unhideWhenUsed/>
    <w:rsid w:val="00D8766D"/>
    <w:pPr>
      <w:ind w:left="720"/>
    </w:pPr>
    <w:rPr>
      <w:rFonts w:asciiTheme="minorHAnsi" w:hAnsiTheme="minorHAnsi" w:cs="Calibri"/>
      <w:sz w:val="20"/>
      <w:szCs w:val="20"/>
    </w:rPr>
  </w:style>
  <w:style w:type="paragraph" w:customStyle="1" w:styleId="TOC71">
    <w:name w:val="TOC 71"/>
    <w:basedOn w:val="Normln"/>
    <w:next w:val="Normln"/>
    <w:autoRedefine/>
    <w:uiPriority w:val="39"/>
    <w:unhideWhenUsed/>
    <w:rsid w:val="00D8766D"/>
    <w:pPr>
      <w:ind w:left="900"/>
    </w:pPr>
    <w:rPr>
      <w:rFonts w:asciiTheme="minorHAnsi" w:hAnsiTheme="minorHAnsi" w:cs="Calibri"/>
      <w:sz w:val="20"/>
      <w:szCs w:val="20"/>
    </w:rPr>
  </w:style>
  <w:style w:type="paragraph" w:customStyle="1" w:styleId="TOC81">
    <w:name w:val="TOC 81"/>
    <w:basedOn w:val="Normln"/>
    <w:next w:val="Normln"/>
    <w:autoRedefine/>
    <w:uiPriority w:val="39"/>
    <w:unhideWhenUsed/>
    <w:rsid w:val="00D8766D"/>
    <w:pPr>
      <w:ind w:left="1080"/>
    </w:pPr>
    <w:rPr>
      <w:rFonts w:asciiTheme="minorHAnsi" w:hAnsiTheme="minorHAnsi" w:cs="Calibri"/>
      <w:sz w:val="20"/>
      <w:szCs w:val="20"/>
    </w:rPr>
  </w:style>
  <w:style w:type="paragraph" w:customStyle="1" w:styleId="TOC91">
    <w:name w:val="TOC 91"/>
    <w:basedOn w:val="Normln"/>
    <w:next w:val="Normln"/>
    <w:autoRedefine/>
    <w:uiPriority w:val="39"/>
    <w:unhideWhenUsed/>
    <w:rsid w:val="00D8766D"/>
    <w:pPr>
      <w:ind w:left="1260"/>
    </w:pPr>
    <w:rPr>
      <w:rFonts w:asciiTheme="minorHAnsi" w:hAnsiTheme="minorHAnsi" w:cs="Calibri"/>
      <w:sz w:val="20"/>
      <w:szCs w:val="20"/>
    </w:rPr>
  </w:style>
  <w:style w:type="paragraph" w:customStyle="1" w:styleId="CommentSubject1">
    <w:name w:val="Comment Subject1"/>
    <w:basedOn w:val="Textkomente"/>
    <w:next w:val="Textkomente"/>
    <w:uiPriority w:val="99"/>
    <w:semiHidden/>
    <w:unhideWhenUsed/>
    <w:rsid w:val="00D8766D"/>
    <w:rPr>
      <w:rFonts w:cs="Arial"/>
      <w:b/>
      <w:bCs/>
    </w:rPr>
  </w:style>
  <w:style w:type="table" w:customStyle="1" w:styleId="LightList-Accent21">
    <w:name w:val="Light List - Accent 21"/>
    <w:basedOn w:val="Normlntabulka"/>
    <w:next w:val="Svtlseznamzvraznn2"/>
    <w:uiPriority w:val="61"/>
    <w:semiHidden/>
    <w:unhideWhenUsed/>
    <w:rsid w:val="00D8766D"/>
    <w:pPr>
      <w:spacing w:after="0" w:line="240" w:lineRule="auto"/>
    </w:pPr>
    <w:tblPr>
      <w:tblStyleRowBandSize w:val="1"/>
      <w:tblStyleColBandSize w:val="1"/>
      <w:tblBorders>
        <w:top w:val="single" w:sz="8" w:space="0" w:color="F04E30"/>
        <w:left w:val="single" w:sz="8" w:space="0" w:color="F04E30"/>
        <w:bottom w:val="single" w:sz="8" w:space="0" w:color="F04E30"/>
        <w:right w:val="single" w:sz="8" w:space="0" w:color="F04E30"/>
      </w:tblBorders>
    </w:tblPr>
    <w:tblStylePr w:type="firstRow">
      <w:pPr>
        <w:spacing w:before="0" w:after="0" w:line="240" w:lineRule="auto"/>
      </w:pPr>
      <w:rPr>
        <w:b/>
        <w:bCs/>
        <w:color w:val="FFFFFF"/>
      </w:rPr>
      <w:tblPr/>
      <w:tcPr>
        <w:shd w:val="clear" w:color="auto" w:fill="F04E30"/>
      </w:tcPr>
    </w:tblStylePr>
    <w:tblStylePr w:type="lastRow">
      <w:pPr>
        <w:spacing w:before="0" w:after="0" w:line="240" w:lineRule="auto"/>
      </w:pPr>
      <w:rPr>
        <w:b/>
        <w:bCs/>
      </w:rPr>
      <w:tblPr/>
      <w:tcPr>
        <w:tcBorders>
          <w:top w:val="double" w:sz="6" w:space="0" w:color="F04E30"/>
          <w:left w:val="single" w:sz="8" w:space="0" w:color="F04E30"/>
          <w:bottom w:val="single" w:sz="8" w:space="0" w:color="F04E30"/>
          <w:right w:val="single" w:sz="8" w:space="0" w:color="F04E30"/>
        </w:tcBorders>
      </w:tcPr>
    </w:tblStylePr>
    <w:tblStylePr w:type="firstCol">
      <w:rPr>
        <w:b/>
        <w:bCs/>
      </w:rPr>
    </w:tblStylePr>
    <w:tblStylePr w:type="lastCol">
      <w:rPr>
        <w:b/>
        <w:bCs/>
      </w:rPr>
    </w:tblStylePr>
    <w:tblStylePr w:type="band1Vert">
      <w:tblPr/>
      <w:tcPr>
        <w:tcBorders>
          <w:top w:val="single" w:sz="8" w:space="0" w:color="F04E30"/>
          <w:left w:val="single" w:sz="8" w:space="0" w:color="F04E30"/>
          <w:bottom w:val="single" w:sz="8" w:space="0" w:color="F04E30"/>
          <w:right w:val="single" w:sz="8" w:space="0" w:color="F04E30"/>
        </w:tcBorders>
      </w:tcPr>
    </w:tblStylePr>
    <w:tblStylePr w:type="band1Horz">
      <w:tblPr/>
      <w:tcPr>
        <w:tcBorders>
          <w:top w:val="single" w:sz="8" w:space="0" w:color="F04E30"/>
          <w:left w:val="single" w:sz="8" w:space="0" w:color="F04E30"/>
          <w:bottom w:val="single" w:sz="8" w:space="0" w:color="F04E30"/>
          <w:right w:val="single" w:sz="8" w:space="0" w:color="F04E30"/>
        </w:tcBorders>
      </w:tcPr>
    </w:tblStylePr>
  </w:style>
  <w:style w:type="character" w:customStyle="1" w:styleId="FollowedHyperlink1">
    <w:name w:val="FollowedHyperlink1"/>
    <w:basedOn w:val="Standardnpsmoodstavce"/>
    <w:uiPriority w:val="99"/>
    <w:semiHidden/>
    <w:unhideWhenUsed/>
    <w:rsid w:val="00D8766D"/>
    <w:rPr>
      <w:color w:val="F04E30"/>
      <w:u w:val="single"/>
    </w:rPr>
  </w:style>
  <w:style w:type="character" w:customStyle="1" w:styleId="UnresolvedMention">
    <w:name w:val="Unresolved Mention"/>
    <w:basedOn w:val="Standardnpsmoodstavce"/>
    <w:uiPriority w:val="99"/>
    <w:semiHidden/>
    <w:unhideWhenUsed/>
    <w:rsid w:val="00D8766D"/>
    <w:rPr>
      <w:color w:val="605E5C"/>
      <w:shd w:val="clear" w:color="auto" w:fill="E1DFDD"/>
    </w:rPr>
  </w:style>
  <w:style w:type="character" w:customStyle="1" w:styleId="Heading1Char1">
    <w:name w:val="Heading 1 Char1"/>
    <w:basedOn w:val="Standardnpsmoodstavce"/>
    <w:uiPriority w:val="9"/>
    <w:rsid w:val="00D8766D"/>
    <w:rPr>
      <w:rFonts w:asciiTheme="majorHAnsi" w:eastAsiaTheme="majorEastAsia" w:hAnsiTheme="majorHAnsi" w:cstheme="majorBidi"/>
      <w:color w:val="004249" w:themeColor="accent1" w:themeShade="BF"/>
      <w:sz w:val="32"/>
      <w:szCs w:val="32"/>
    </w:rPr>
  </w:style>
  <w:style w:type="character" w:customStyle="1" w:styleId="TitleChar1">
    <w:name w:val="Title Char1"/>
    <w:basedOn w:val="Standardnpsmoodstavce"/>
    <w:uiPriority w:val="10"/>
    <w:rsid w:val="00D8766D"/>
    <w:rPr>
      <w:rFonts w:asciiTheme="majorHAnsi" w:eastAsiaTheme="majorEastAsia" w:hAnsiTheme="majorHAnsi" w:cstheme="majorBidi"/>
      <w:spacing w:val="-10"/>
      <w:kern w:val="28"/>
      <w:sz w:val="56"/>
      <w:szCs w:val="56"/>
    </w:rPr>
  </w:style>
  <w:style w:type="character" w:customStyle="1" w:styleId="Heading4Char1">
    <w:name w:val="Heading 4 Char1"/>
    <w:basedOn w:val="Standardnpsmoodstavce"/>
    <w:uiPriority w:val="9"/>
    <w:semiHidden/>
    <w:rsid w:val="00D8766D"/>
    <w:rPr>
      <w:rFonts w:asciiTheme="majorHAnsi" w:eastAsiaTheme="majorEastAsia" w:hAnsiTheme="majorHAnsi" w:cstheme="majorBidi"/>
      <w:i/>
      <w:iCs/>
      <w:color w:val="004249" w:themeColor="accent1" w:themeShade="BF"/>
    </w:rPr>
  </w:style>
  <w:style w:type="character" w:customStyle="1" w:styleId="Heading5Char1">
    <w:name w:val="Heading 5 Char1"/>
    <w:basedOn w:val="Standardnpsmoodstavce"/>
    <w:uiPriority w:val="9"/>
    <w:semiHidden/>
    <w:rsid w:val="00D8766D"/>
    <w:rPr>
      <w:rFonts w:asciiTheme="majorHAnsi" w:eastAsiaTheme="majorEastAsia" w:hAnsiTheme="majorHAnsi" w:cstheme="majorBidi"/>
      <w:color w:val="004249" w:themeColor="accent1" w:themeShade="BF"/>
    </w:rPr>
  </w:style>
  <w:style w:type="character" w:customStyle="1" w:styleId="CommentSubjectChar1">
    <w:name w:val="Comment Subject Char1"/>
    <w:basedOn w:val="TextkomenteChar"/>
    <w:uiPriority w:val="99"/>
    <w:semiHidden/>
    <w:rsid w:val="00D8766D"/>
    <w:rPr>
      <w:rFonts w:ascii="Trebuchet MS" w:eastAsia="Calibri" w:hAnsi="Trebuchet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559">
      <w:bodyDiv w:val="1"/>
      <w:marLeft w:val="0"/>
      <w:marRight w:val="0"/>
      <w:marTop w:val="0"/>
      <w:marBottom w:val="0"/>
      <w:divBdr>
        <w:top w:val="none" w:sz="0" w:space="0" w:color="auto"/>
        <w:left w:val="none" w:sz="0" w:space="0" w:color="auto"/>
        <w:bottom w:val="none" w:sz="0" w:space="0" w:color="auto"/>
        <w:right w:val="none" w:sz="0" w:space="0" w:color="auto"/>
      </w:divBdr>
    </w:div>
    <w:div w:id="59906430">
      <w:bodyDiv w:val="1"/>
      <w:marLeft w:val="0"/>
      <w:marRight w:val="0"/>
      <w:marTop w:val="0"/>
      <w:marBottom w:val="0"/>
      <w:divBdr>
        <w:top w:val="none" w:sz="0" w:space="0" w:color="auto"/>
        <w:left w:val="none" w:sz="0" w:space="0" w:color="auto"/>
        <w:bottom w:val="none" w:sz="0" w:space="0" w:color="auto"/>
        <w:right w:val="none" w:sz="0" w:space="0" w:color="auto"/>
      </w:divBdr>
      <w:divsChild>
        <w:div w:id="1611665459">
          <w:marLeft w:val="0"/>
          <w:marRight w:val="0"/>
          <w:marTop w:val="0"/>
          <w:marBottom w:val="0"/>
          <w:divBdr>
            <w:top w:val="none" w:sz="0" w:space="0" w:color="auto"/>
            <w:left w:val="none" w:sz="0" w:space="0" w:color="auto"/>
            <w:bottom w:val="none" w:sz="0" w:space="0" w:color="auto"/>
            <w:right w:val="none" w:sz="0" w:space="0" w:color="auto"/>
          </w:divBdr>
          <w:divsChild>
            <w:div w:id="2123450375">
              <w:marLeft w:val="0"/>
              <w:marRight w:val="0"/>
              <w:marTop w:val="0"/>
              <w:marBottom w:val="0"/>
              <w:divBdr>
                <w:top w:val="none" w:sz="0" w:space="0" w:color="auto"/>
                <w:left w:val="none" w:sz="0" w:space="0" w:color="auto"/>
                <w:bottom w:val="none" w:sz="0" w:space="0" w:color="auto"/>
                <w:right w:val="none" w:sz="0" w:space="0" w:color="auto"/>
              </w:divBdr>
              <w:divsChild>
                <w:div w:id="1610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460">
      <w:bodyDiv w:val="1"/>
      <w:marLeft w:val="0"/>
      <w:marRight w:val="0"/>
      <w:marTop w:val="0"/>
      <w:marBottom w:val="0"/>
      <w:divBdr>
        <w:top w:val="none" w:sz="0" w:space="0" w:color="auto"/>
        <w:left w:val="none" w:sz="0" w:space="0" w:color="auto"/>
        <w:bottom w:val="none" w:sz="0" w:space="0" w:color="auto"/>
        <w:right w:val="none" w:sz="0" w:space="0" w:color="auto"/>
      </w:divBdr>
    </w:div>
    <w:div w:id="162477941">
      <w:bodyDiv w:val="1"/>
      <w:marLeft w:val="0"/>
      <w:marRight w:val="0"/>
      <w:marTop w:val="0"/>
      <w:marBottom w:val="0"/>
      <w:divBdr>
        <w:top w:val="none" w:sz="0" w:space="0" w:color="auto"/>
        <w:left w:val="none" w:sz="0" w:space="0" w:color="auto"/>
        <w:bottom w:val="none" w:sz="0" w:space="0" w:color="auto"/>
        <w:right w:val="none" w:sz="0" w:space="0" w:color="auto"/>
      </w:divBdr>
    </w:div>
    <w:div w:id="190188958">
      <w:bodyDiv w:val="1"/>
      <w:marLeft w:val="0"/>
      <w:marRight w:val="0"/>
      <w:marTop w:val="0"/>
      <w:marBottom w:val="0"/>
      <w:divBdr>
        <w:top w:val="none" w:sz="0" w:space="0" w:color="auto"/>
        <w:left w:val="none" w:sz="0" w:space="0" w:color="auto"/>
        <w:bottom w:val="none" w:sz="0" w:space="0" w:color="auto"/>
        <w:right w:val="none" w:sz="0" w:space="0" w:color="auto"/>
      </w:divBdr>
    </w:div>
    <w:div w:id="240679637">
      <w:bodyDiv w:val="1"/>
      <w:marLeft w:val="0"/>
      <w:marRight w:val="0"/>
      <w:marTop w:val="0"/>
      <w:marBottom w:val="0"/>
      <w:divBdr>
        <w:top w:val="none" w:sz="0" w:space="0" w:color="auto"/>
        <w:left w:val="none" w:sz="0" w:space="0" w:color="auto"/>
        <w:bottom w:val="none" w:sz="0" w:space="0" w:color="auto"/>
        <w:right w:val="none" w:sz="0" w:space="0" w:color="auto"/>
      </w:divBdr>
    </w:div>
    <w:div w:id="241111751">
      <w:bodyDiv w:val="1"/>
      <w:marLeft w:val="0"/>
      <w:marRight w:val="0"/>
      <w:marTop w:val="0"/>
      <w:marBottom w:val="0"/>
      <w:divBdr>
        <w:top w:val="none" w:sz="0" w:space="0" w:color="auto"/>
        <w:left w:val="none" w:sz="0" w:space="0" w:color="auto"/>
        <w:bottom w:val="none" w:sz="0" w:space="0" w:color="auto"/>
        <w:right w:val="none" w:sz="0" w:space="0" w:color="auto"/>
      </w:divBdr>
    </w:div>
    <w:div w:id="251548699">
      <w:bodyDiv w:val="1"/>
      <w:marLeft w:val="0"/>
      <w:marRight w:val="0"/>
      <w:marTop w:val="0"/>
      <w:marBottom w:val="0"/>
      <w:divBdr>
        <w:top w:val="none" w:sz="0" w:space="0" w:color="auto"/>
        <w:left w:val="none" w:sz="0" w:space="0" w:color="auto"/>
        <w:bottom w:val="none" w:sz="0" w:space="0" w:color="auto"/>
        <w:right w:val="none" w:sz="0" w:space="0" w:color="auto"/>
      </w:divBdr>
    </w:div>
    <w:div w:id="335348745">
      <w:bodyDiv w:val="1"/>
      <w:marLeft w:val="0"/>
      <w:marRight w:val="0"/>
      <w:marTop w:val="0"/>
      <w:marBottom w:val="0"/>
      <w:divBdr>
        <w:top w:val="none" w:sz="0" w:space="0" w:color="auto"/>
        <w:left w:val="none" w:sz="0" w:space="0" w:color="auto"/>
        <w:bottom w:val="none" w:sz="0" w:space="0" w:color="auto"/>
        <w:right w:val="none" w:sz="0" w:space="0" w:color="auto"/>
      </w:divBdr>
    </w:div>
    <w:div w:id="380058555">
      <w:bodyDiv w:val="1"/>
      <w:marLeft w:val="0"/>
      <w:marRight w:val="0"/>
      <w:marTop w:val="0"/>
      <w:marBottom w:val="0"/>
      <w:divBdr>
        <w:top w:val="none" w:sz="0" w:space="0" w:color="auto"/>
        <w:left w:val="none" w:sz="0" w:space="0" w:color="auto"/>
        <w:bottom w:val="none" w:sz="0" w:space="0" w:color="auto"/>
        <w:right w:val="none" w:sz="0" w:space="0" w:color="auto"/>
      </w:divBdr>
    </w:div>
    <w:div w:id="451478262">
      <w:bodyDiv w:val="1"/>
      <w:marLeft w:val="0"/>
      <w:marRight w:val="0"/>
      <w:marTop w:val="0"/>
      <w:marBottom w:val="0"/>
      <w:divBdr>
        <w:top w:val="none" w:sz="0" w:space="0" w:color="auto"/>
        <w:left w:val="none" w:sz="0" w:space="0" w:color="auto"/>
        <w:bottom w:val="none" w:sz="0" w:space="0" w:color="auto"/>
        <w:right w:val="none" w:sz="0" w:space="0" w:color="auto"/>
      </w:divBdr>
    </w:div>
    <w:div w:id="456922710">
      <w:bodyDiv w:val="1"/>
      <w:marLeft w:val="0"/>
      <w:marRight w:val="0"/>
      <w:marTop w:val="0"/>
      <w:marBottom w:val="0"/>
      <w:divBdr>
        <w:top w:val="none" w:sz="0" w:space="0" w:color="auto"/>
        <w:left w:val="none" w:sz="0" w:space="0" w:color="auto"/>
        <w:bottom w:val="none" w:sz="0" w:space="0" w:color="auto"/>
        <w:right w:val="none" w:sz="0" w:space="0" w:color="auto"/>
      </w:divBdr>
    </w:div>
    <w:div w:id="517473373">
      <w:bodyDiv w:val="1"/>
      <w:marLeft w:val="0"/>
      <w:marRight w:val="0"/>
      <w:marTop w:val="0"/>
      <w:marBottom w:val="0"/>
      <w:divBdr>
        <w:top w:val="none" w:sz="0" w:space="0" w:color="auto"/>
        <w:left w:val="none" w:sz="0" w:space="0" w:color="auto"/>
        <w:bottom w:val="none" w:sz="0" w:space="0" w:color="auto"/>
        <w:right w:val="none" w:sz="0" w:space="0" w:color="auto"/>
      </w:divBdr>
      <w:divsChild>
        <w:div w:id="111367408">
          <w:marLeft w:val="0"/>
          <w:marRight w:val="0"/>
          <w:marTop w:val="0"/>
          <w:marBottom w:val="255"/>
          <w:divBdr>
            <w:top w:val="none" w:sz="0" w:space="0" w:color="auto"/>
            <w:left w:val="none" w:sz="0" w:space="0" w:color="auto"/>
            <w:bottom w:val="none" w:sz="0" w:space="0" w:color="auto"/>
            <w:right w:val="none" w:sz="0" w:space="0" w:color="auto"/>
          </w:divBdr>
          <w:divsChild>
            <w:div w:id="221257667">
              <w:marLeft w:val="0"/>
              <w:marRight w:val="0"/>
              <w:marTop w:val="0"/>
              <w:marBottom w:val="0"/>
              <w:divBdr>
                <w:top w:val="none" w:sz="0" w:space="0" w:color="auto"/>
                <w:left w:val="none" w:sz="0" w:space="0" w:color="auto"/>
                <w:bottom w:val="none" w:sz="0" w:space="0" w:color="auto"/>
                <w:right w:val="none" w:sz="0" w:space="0" w:color="auto"/>
              </w:divBdr>
              <w:divsChild>
                <w:div w:id="1418943968">
                  <w:marLeft w:val="0"/>
                  <w:marRight w:val="0"/>
                  <w:marTop w:val="0"/>
                  <w:marBottom w:val="0"/>
                  <w:divBdr>
                    <w:top w:val="none" w:sz="0" w:space="0" w:color="auto"/>
                    <w:left w:val="none" w:sz="0" w:space="0" w:color="auto"/>
                    <w:bottom w:val="none" w:sz="0" w:space="0" w:color="auto"/>
                    <w:right w:val="none" w:sz="0" w:space="0" w:color="auto"/>
                  </w:divBdr>
                  <w:divsChild>
                    <w:div w:id="150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9167">
      <w:bodyDiv w:val="1"/>
      <w:marLeft w:val="0"/>
      <w:marRight w:val="0"/>
      <w:marTop w:val="0"/>
      <w:marBottom w:val="0"/>
      <w:divBdr>
        <w:top w:val="none" w:sz="0" w:space="0" w:color="auto"/>
        <w:left w:val="none" w:sz="0" w:space="0" w:color="auto"/>
        <w:bottom w:val="none" w:sz="0" w:space="0" w:color="auto"/>
        <w:right w:val="none" w:sz="0" w:space="0" w:color="auto"/>
      </w:divBdr>
    </w:div>
    <w:div w:id="560482837">
      <w:bodyDiv w:val="1"/>
      <w:marLeft w:val="0"/>
      <w:marRight w:val="0"/>
      <w:marTop w:val="0"/>
      <w:marBottom w:val="0"/>
      <w:divBdr>
        <w:top w:val="none" w:sz="0" w:space="0" w:color="auto"/>
        <w:left w:val="none" w:sz="0" w:space="0" w:color="auto"/>
        <w:bottom w:val="none" w:sz="0" w:space="0" w:color="auto"/>
        <w:right w:val="none" w:sz="0" w:space="0" w:color="auto"/>
      </w:divBdr>
    </w:div>
    <w:div w:id="588664137">
      <w:bodyDiv w:val="1"/>
      <w:marLeft w:val="0"/>
      <w:marRight w:val="0"/>
      <w:marTop w:val="0"/>
      <w:marBottom w:val="0"/>
      <w:divBdr>
        <w:top w:val="none" w:sz="0" w:space="0" w:color="auto"/>
        <w:left w:val="none" w:sz="0" w:space="0" w:color="auto"/>
        <w:bottom w:val="none" w:sz="0" w:space="0" w:color="auto"/>
        <w:right w:val="none" w:sz="0" w:space="0" w:color="auto"/>
      </w:divBdr>
    </w:div>
    <w:div w:id="664357061">
      <w:bodyDiv w:val="1"/>
      <w:marLeft w:val="0"/>
      <w:marRight w:val="0"/>
      <w:marTop w:val="0"/>
      <w:marBottom w:val="0"/>
      <w:divBdr>
        <w:top w:val="none" w:sz="0" w:space="0" w:color="auto"/>
        <w:left w:val="none" w:sz="0" w:space="0" w:color="auto"/>
        <w:bottom w:val="none" w:sz="0" w:space="0" w:color="auto"/>
        <w:right w:val="none" w:sz="0" w:space="0" w:color="auto"/>
      </w:divBdr>
    </w:div>
    <w:div w:id="674574490">
      <w:bodyDiv w:val="1"/>
      <w:marLeft w:val="0"/>
      <w:marRight w:val="0"/>
      <w:marTop w:val="0"/>
      <w:marBottom w:val="0"/>
      <w:divBdr>
        <w:top w:val="none" w:sz="0" w:space="0" w:color="auto"/>
        <w:left w:val="none" w:sz="0" w:space="0" w:color="auto"/>
        <w:bottom w:val="none" w:sz="0" w:space="0" w:color="auto"/>
        <w:right w:val="none" w:sz="0" w:space="0" w:color="auto"/>
      </w:divBdr>
    </w:div>
    <w:div w:id="675155093">
      <w:bodyDiv w:val="1"/>
      <w:marLeft w:val="0"/>
      <w:marRight w:val="0"/>
      <w:marTop w:val="0"/>
      <w:marBottom w:val="0"/>
      <w:divBdr>
        <w:top w:val="none" w:sz="0" w:space="0" w:color="auto"/>
        <w:left w:val="none" w:sz="0" w:space="0" w:color="auto"/>
        <w:bottom w:val="none" w:sz="0" w:space="0" w:color="auto"/>
        <w:right w:val="none" w:sz="0" w:space="0" w:color="auto"/>
      </w:divBdr>
    </w:div>
    <w:div w:id="707530236">
      <w:bodyDiv w:val="1"/>
      <w:marLeft w:val="0"/>
      <w:marRight w:val="0"/>
      <w:marTop w:val="0"/>
      <w:marBottom w:val="0"/>
      <w:divBdr>
        <w:top w:val="none" w:sz="0" w:space="0" w:color="auto"/>
        <w:left w:val="none" w:sz="0" w:space="0" w:color="auto"/>
        <w:bottom w:val="none" w:sz="0" w:space="0" w:color="auto"/>
        <w:right w:val="none" w:sz="0" w:space="0" w:color="auto"/>
      </w:divBdr>
    </w:div>
    <w:div w:id="773130605">
      <w:bodyDiv w:val="1"/>
      <w:marLeft w:val="0"/>
      <w:marRight w:val="0"/>
      <w:marTop w:val="0"/>
      <w:marBottom w:val="0"/>
      <w:divBdr>
        <w:top w:val="none" w:sz="0" w:space="0" w:color="auto"/>
        <w:left w:val="none" w:sz="0" w:space="0" w:color="auto"/>
        <w:bottom w:val="none" w:sz="0" w:space="0" w:color="auto"/>
        <w:right w:val="none" w:sz="0" w:space="0" w:color="auto"/>
      </w:divBdr>
    </w:div>
    <w:div w:id="777333682">
      <w:bodyDiv w:val="1"/>
      <w:marLeft w:val="0"/>
      <w:marRight w:val="0"/>
      <w:marTop w:val="0"/>
      <w:marBottom w:val="0"/>
      <w:divBdr>
        <w:top w:val="none" w:sz="0" w:space="0" w:color="auto"/>
        <w:left w:val="none" w:sz="0" w:space="0" w:color="auto"/>
        <w:bottom w:val="none" w:sz="0" w:space="0" w:color="auto"/>
        <w:right w:val="none" w:sz="0" w:space="0" w:color="auto"/>
      </w:divBdr>
      <w:divsChild>
        <w:div w:id="652216430">
          <w:marLeft w:val="0"/>
          <w:marRight w:val="0"/>
          <w:marTop w:val="0"/>
          <w:marBottom w:val="0"/>
          <w:divBdr>
            <w:top w:val="none" w:sz="0" w:space="0" w:color="auto"/>
            <w:left w:val="none" w:sz="0" w:space="0" w:color="auto"/>
            <w:bottom w:val="none" w:sz="0" w:space="0" w:color="auto"/>
            <w:right w:val="none" w:sz="0" w:space="0" w:color="auto"/>
          </w:divBdr>
        </w:div>
        <w:div w:id="735056371">
          <w:marLeft w:val="0"/>
          <w:marRight w:val="0"/>
          <w:marTop w:val="0"/>
          <w:marBottom w:val="0"/>
          <w:divBdr>
            <w:top w:val="none" w:sz="0" w:space="0" w:color="auto"/>
            <w:left w:val="none" w:sz="0" w:space="0" w:color="auto"/>
            <w:bottom w:val="none" w:sz="0" w:space="0" w:color="auto"/>
            <w:right w:val="none" w:sz="0" w:space="0" w:color="auto"/>
          </w:divBdr>
        </w:div>
        <w:div w:id="824316770">
          <w:marLeft w:val="0"/>
          <w:marRight w:val="0"/>
          <w:marTop w:val="0"/>
          <w:marBottom w:val="0"/>
          <w:divBdr>
            <w:top w:val="none" w:sz="0" w:space="0" w:color="auto"/>
            <w:left w:val="none" w:sz="0" w:space="0" w:color="auto"/>
            <w:bottom w:val="none" w:sz="0" w:space="0" w:color="auto"/>
            <w:right w:val="none" w:sz="0" w:space="0" w:color="auto"/>
          </w:divBdr>
        </w:div>
        <w:div w:id="1755514408">
          <w:marLeft w:val="0"/>
          <w:marRight w:val="0"/>
          <w:marTop w:val="0"/>
          <w:marBottom w:val="0"/>
          <w:divBdr>
            <w:top w:val="none" w:sz="0" w:space="0" w:color="auto"/>
            <w:left w:val="none" w:sz="0" w:space="0" w:color="auto"/>
            <w:bottom w:val="none" w:sz="0" w:space="0" w:color="auto"/>
            <w:right w:val="none" w:sz="0" w:space="0" w:color="auto"/>
          </w:divBdr>
        </w:div>
        <w:div w:id="2049525551">
          <w:marLeft w:val="0"/>
          <w:marRight w:val="0"/>
          <w:marTop w:val="0"/>
          <w:marBottom w:val="0"/>
          <w:divBdr>
            <w:top w:val="none" w:sz="0" w:space="0" w:color="auto"/>
            <w:left w:val="none" w:sz="0" w:space="0" w:color="auto"/>
            <w:bottom w:val="none" w:sz="0" w:space="0" w:color="auto"/>
            <w:right w:val="none" w:sz="0" w:space="0" w:color="auto"/>
          </w:divBdr>
        </w:div>
      </w:divsChild>
    </w:div>
    <w:div w:id="799108975">
      <w:bodyDiv w:val="1"/>
      <w:marLeft w:val="0"/>
      <w:marRight w:val="0"/>
      <w:marTop w:val="0"/>
      <w:marBottom w:val="0"/>
      <w:divBdr>
        <w:top w:val="none" w:sz="0" w:space="0" w:color="auto"/>
        <w:left w:val="none" w:sz="0" w:space="0" w:color="auto"/>
        <w:bottom w:val="none" w:sz="0" w:space="0" w:color="auto"/>
        <w:right w:val="none" w:sz="0" w:space="0" w:color="auto"/>
      </w:divBdr>
    </w:div>
    <w:div w:id="814371116">
      <w:bodyDiv w:val="1"/>
      <w:marLeft w:val="0"/>
      <w:marRight w:val="0"/>
      <w:marTop w:val="0"/>
      <w:marBottom w:val="0"/>
      <w:divBdr>
        <w:top w:val="none" w:sz="0" w:space="0" w:color="auto"/>
        <w:left w:val="none" w:sz="0" w:space="0" w:color="auto"/>
        <w:bottom w:val="none" w:sz="0" w:space="0" w:color="auto"/>
        <w:right w:val="none" w:sz="0" w:space="0" w:color="auto"/>
      </w:divBdr>
    </w:div>
    <w:div w:id="908879636">
      <w:bodyDiv w:val="1"/>
      <w:marLeft w:val="0"/>
      <w:marRight w:val="0"/>
      <w:marTop w:val="0"/>
      <w:marBottom w:val="0"/>
      <w:divBdr>
        <w:top w:val="none" w:sz="0" w:space="0" w:color="auto"/>
        <w:left w:val="none" w:sz="0" w:space="0" w:color="auto"/>
        <w:bottom w:val="none" w:sz="0" w:space="0" w:color="auto"/>
        <w:right w:val="none" w:sz="0" w:space="0" w:color="auto"/>
      </w:divBdr>
    </w:div>
    <w:div w:id="983661846">
      <w:bodyDiv w:val="1"/>
      <w:marLeft w:val="0"/>
      <w:marRight w:val="0"/>
      <w:marTop w:val="0"/>
      <w:marBottom w:val="0"/>
      <w:divBdr>
        <w:top w:val="none" w:sz="0" w:space="0" w:color="auto"/>
        <w:left w:val="none" w:sz="0" w:space="0" w:color="auto"/>
        <w:bottom w:val="none" w:sz="0" w:space="0" w:color="auto"/>
        <w:right w:val="none" w:sz="0" w:space="0" w:color="auto"/>
      </w:divBdr>
    </w:div>
    <w:div w:id="1003781293">
      <w:bodyDiv w:val="1"/>
      <w:marLeft w:val="0"/>
      <w:marRight w:val="0"/>
      <w:marTop w:val="0"/>
      <w:marBottom w:val="0"/>
      <w:divBdr>
        <w:top w:val="none" w:sz="0" w:space="0" w:color="auto"/>
        <w:left w:val="none" w:sz="0" w:space="0" w:color="auto"/>
        <w:bottom w:val="none" w:sz="0" w:space="0" w:color="auto"/>
        <w:right w:val="none" w:sz="0" w:space="0" w:color="auto"/>
      </w:divBdr>
    </w:div>
    <w:div w:id="1044794174">
      <w:bodyDiv w:val="1"/>
      <w:marLeft w:val="0"/>
      <w:marRight w:val="0"/>
      <w:marTop w:val="0"/>
      <w:marBottom w:val="0"/>
      <w:divBdr>
        <w:top w:val="none" w:sz="0" w:space="0" w:color="auto"/>
        <w:left w:val="none" w:sz="0" w:space="0" w:color="auto"/>
        <w:bottom w:val="none" w:sz="0" w:space="0" w:color="auto"/>
        <w:right w:val="none" w:sz="0" w:space="0" w:color="auto"/>
      </w:divBdr>
    </w:div>
    <w:div w:id="1049767931">
      <w:bodyDiv w:val="1"/>
      <w:marLeft w:val="0"/>
      <w:marRight w:val="0"/>
      <w:marTop w:val="0"/>
      <w:marBottom w:val="0"/>
      <w:divBdr>
        <w:top w:val="none" w:sz="0" w:space="0" w:color="auto"/>
        <w:left w:val="none" w:sz="0" w:space="0" w:color="auto"/>
        <w:bottom w:val="none" w:sz="0" w:space="0" w:color="auto"/>
        <w:right w:val="none" w:sz="0" w:space="0" w:color="auto"/>
      </w:divBdr>
    </w:div>
    <w:div w:id="1070351163">
      <w:bodyDiv w:val="1"/>
      <w:marLeft w:val="0"/>
      <w:marRight w:val="0"/>
      <w:marTop w:val="0"/>
      <w:marBottom w:val="0"/>
      <w:divBdr>
        <w:top w:val="none" w:sz="0" w:space="0" w:color="auto"/>
        <w:left w:val="none" w:sz="0" w:space="0" w:color="auto"/>
        <w:bottom w:val="none" w:sz="0" w:space="0" w:color="auto"/>
        <w:right w:val="none" w:sz="0" w:space="0" w:color="auto"/>
      </w:divBdr>
    </w:div>
    <w:div w:id="1116565232">
      <w:bodyDiv w:val="1"/>
      <w:marLeft w:val="0"/>
      <w:marRight w:val="0"/>
      <w:marTop w:val="0"/>
      <w:marBottom w:val="0"/>
      <w:divBdr>
        <w:top w:val="none" w:sz="0" w:space="0" w:color="auto"/>
        <w:left w:val="none" w:sz="0" w:space="0" w:color="auto"/>
        <w:bottom w:val="none" w:sz="0" w:space="0" w:color="auto"/>
        <w:right w:val="none" w:sz="0" w:space="0" w:color="auto"/>
      </w:divBdr>
    </w:div>
    <w:div w:id="1123691210">
      <w:bodyDiv w:val="1"/>
      <w:marLeft w:val="0"/>
      <w:marRight w:val="0"/>
      <w:marTop w:val="0"/>
      <w:marBottom w:val="0"/>
      <w:divBdr>
        <w:top w:val="none" w:sz="0" w:space="0" w:color="auto"/>
        <w:left w:val="none" w:sz="0" w:space="0" w:color="auto"/>
        <w:bottom w:val="none" w:sz="0" w:space="0" w:color="auto"/>
        <w:right w:val="none" w:sz="0" w:space="0" w:color="auto"/>
      </w:divBdr>
    </w:div>
    <w:div w:id="1131825722">
      <w:bodyDiv w:val="1"/>
      <w:marLeft w:val="0"/>
      <w:marRight w:val="0"/>
      <w:marTop w:val="0"/>
      <w:marBottom w:val="0"/>
      <w:divBdr>
        <w:top w:val="none" w:sz="0" w:space="0" w:color="auto"/>
        <w:left w:val="none" w:sz="0" w:space="0" w:color="auto"/>
        <w:bottom w:val="none" w:sz="0" w:space="0" w:color="auto"/>
        <w:right w:val="none" w:sz="0" w:space="0" w:color="auto"/>
      </w:divBdr>
    </w:div>
    <w:div w:id="1149788075">
      <w:bodyDiv w:val="1"/>
      <w:marLeft w:val="0"/>
      <w:marRight w:val="0"/>
      <w:marTop w:val="0"/>
      <w:marBottom w:val="0"/>
      <w:divBdr>
        <w:top w:val="none" w:sz="0" w:space="0" w:color="auto"/>
        <w:left w:val="none" w:sz="0" w:space="0" w:color="auto"/>
        <w:bottom w:val="none" w:sz="0" w:space="0" w:color="auto"/>
        <w:right w:val="none" w:sz="0" w:space="0" w:color="auto"/>
      </w:divBdr>
    </w:div>
    <w:div w:id="1153332451">
      <w:bodyDiv w:val="1"/>
      <w:marLeft w:val="0"/>
      <w:marRight w:val="0"/>
      <w:marTop w:val="0"/>
      <w:marBottom w:val="0"/>
      <w:divBdr>
        <w:top w:val="none" w:sz="0" w:space="0" w:color="auto"/>
        <w:left w:val="none" w:sz="0" w:space="0" w:color="auto"/>
        <w:bottom w:val="none" w:sz="0" w:space="0" w:color="auto"/>
        <w:right w:val="none" w:sz="0" w:space="0" w:color="auto"/>
      </w:divBdr>
    </w:div>
    <w:div w:id="1179546342">
      <w:bodyDiv w:val="1"/>
      <w:marLeft w:val="0"/>
      <w:marRight w:val="0"/>
      <w:marTop w:val="0"/>
      <w:marBottom w:val="0"/>
      <w:divBdr>
        <w:top w:val="none" w:sz="0" w:space="0" w:color="auto"/>
        <w:left w:val="none" w:sz="0" w:space="0" w:color="auto"/>
        <w:bottom w:val="none" w:sz="0" w:space="0" w:color="auto"/>
        <w:right w:val="none" w:sz="0" w:space="0" w:color="auto"/>
      </w:divBdr>
      <w:divsChild>
        <w:div w:id="1120297062">
          <w:marLeft w:val="0"/>
          <w:marRight w:val="0"/>
          <w:marTop w:val="0"/>
          <w:marBottom w:val="0"/>
          <w:divBdr>
            <w:top w:val="none" w:sz="0" w:space="0" w:color="auto"/>
            <w:left w:val="none" w:sz="0" w:space="0" w:color="auto"/>
            <w:bottom w:val="none" w:sz="0" w:space="0" w:color="auto"/>
            <w:right w:val="none" w:sz="0" w:space="0" w:color="auto"/>
          </w:divBdr>
        </w:div>
        <w:div w:id="1214543052">
          <w:marLeft w:val="0"/>
          <w:marRight w:val="0"/>
          <w:marTop w:val="0"/>
          <w:marBottom w:val="0"/>
          <w:divBdr>
            <w:top w:val="none" w:sz="0" w:space="0" w:color="auto"/>
            <w:left w:val="none" w:sz="0" w:space="0" w:color="auto"/>
            <w:bottom w:val="none" w:sz="0" w:space="0" w:color="auto"/>
            <w:right w:val="none" w:sz="0" w:space="0" w:color="auto"/>
          </w:divBdr>
        </w:div>
        <w:div w:id="1314026689">
          <w:marLeft w:val="0"/>
          <w:marRight w:val="0"/>
          <w:marTop w:val="0"/>
          <w:marBottom w:val="0"/>
          <w:divBdr>
            <w:top w:val="none" w:sz="0" w:space="0" w:color="auto"/>
            <w:left w:val="none" w:sz="0" w:space="0" w:color="auto"/>
            <w:bottom w:val="none" w:sz="0" w:space="0" w:color="auto"/>
            <w:right w:val="none" w:sz="0" w:space="0" w:color="auto"/>
          </w:divBdr>
        </w:div>
        <w:div w:id="1325283498">
          <w:marLeft w:val="0"/>
          <w:marRight w:val="0"/>
          <w:marTop w:val="0"/>
          <w:marBottom w:val="0"/>
          <w:divBdr>
            <w:top w:val="none" w:sz="0" w:space="0" w:color="auto"/>
            <w:left w:val="none" w:sz="0" w:space="0" w:color="auto"/>
            <w:bottom w:val="none" w:sz="0" w:space="0" w:color="auto"/>
            <w:right w:val="none" w:sz="0" w:space="0" w:color="auto"/>
          </w:divBdr>
        </w:div>
        <w:div w:id="1448233460">
          <w:marLeft w:val="0"/>
          <w:marRight w:val="0"/>
          <w:marTop w:val="0"/>
          <w:marBottom w:val="0"/>
          <w:divBdr>
            <w:top w:val="none" w:sz="0" w:space="0" w:color="auto"/>
            <w:left w:val="none" w:sz="0" w:space="0" w:color="auto"/>
            <w:bottom w:val="none" w:sz="0" w:space="0" w:color="auto"/>
            <w:right w:val="none" w:sz="0" w:space="0" w:color="auto"/>
          </w:divBdr>
        </w:div>
        <w:div w:id="1760590663">
          <w:marLeft w:val="0"/>
          <w:marRight w:val="0"/>
          <w:marTop w:val="0"/>
          <w:marBottom w:val="0"/>
          <w:divBdr>
            <w:top w:val="none" w:sz="0" w:space="0" w:color="auto"/>
            <w:left w:val="none" w:sz="0" w:space="0" w:color="auto"/>
            <w:bottom w:val="none" w:sz="0" w:space="0" w:color="auto"/>
            <w:right w:val="none" w:sz="0" w:space="0" w:color="auto"/>
          </w:divBdr>
        </w:div>
        <w:div w:id="2140607114">
          <w:marLeft w:val="0"/>
          <w:marRight w:val="0"/>
          <w:marTop w:val="0"/>
          <w:marBottom w:val="0"/>
          <w:divBdr>
            <w:top w:val="none" w:sz="0" w:space="0" w:color="auto"/>
            <w:left w:val="none" w:sz="0" w:space="0" w:color="auto"/>
            <w:bottom w:val="none" w:sz="0" w:space="0" w:color="auto"/>
            <w:right w:val="none" w:sz="0" w:space="0" w:color="auto"/>
          </w:divBdr>
        </w:div>
      </w:divsChild>
    </w:div>
    <w:div w:id="1200049730">
      <w:bodyDiv w:val="1"/>
      <w:marLeft w:val="0"/>
      <w:marRight w:val="0"/>
      <w:marTop w:val="0"/>
      <w:marBottom w:val="0"/>
      <w:divBdr>
        <w:top w:val="none" w:sz="0" w:space="0" w:color="auto"/>
        <w:left w:val="none" w:sz="0" w:space="0" w:color="auto"/>
        <w:bottom w:val="none" w:sz="0" w:space="0" w:color="auto"/>
        <w:right w:val="none" w:sz="0" w:space="0" w:color="auto"/>
      </w:divBdr>
    </w:div>
    <w:div w:id="1223827290">
      <w:bodyDiv w:val="1"/>
      <w:marLeft w:val="0"/>
      <w:marRight w:val="0"/>
      <w:marTop w:val="0"/>
      <w:marBottom w:val="0"/>
      <w:divBdr>
        <w:top w:val="none" w:sz="0" w:space="0" w:color="auto"/>
        <w:left w:val="none" w:sz="0" w:space="0" w:color="auto"/>
        <w:bottom w:val="none" w:sz="0" w:space="0" w:color="auto"/>
        <w:right w:val="none" w:sz="0" w:space="0" w:color="auto"/>
      </w:divBdr>
    </w:div>
    <w:div w:id="1234240477">
      <w:bodyDiv w:val="1"/>
      <w:marLeft w:val="0"/>
      <w:marRight w:val="0"/>
      <w:marTop w:val="0"/>
      <w:marBottom w:val="0"/>
      <w:divBdr>
        <w:top w:val="none" w:sz="0" w:space="0" w:color="auto"/>
        <w:left w:val="none" w:sz="0" w:space="0" w:color="auto"/>
        <w:bottom w:val="none" w:sz="0" w:space="0" w:color="auto"/>
        <w:right w:val="none" w:sz="0" w:space="0" w:color="auto"/>
      </w:divBdr>
      <w:divsChild>
        <w:div w:id="1290933665">
          <w:marLeft w:val="0"/>
          <w:marRight w:val="0"/>
          <w:marTop w:val="0"/>
          <w:marBottom w:val="0"/>
          <w:divBdr>
            <w:top w:val="none" w:sz="0" w:space="0" w:color="auto"/>
            <w:left w:val="none" w:sz="0" w:space="0" w:color="auto"/>
            <w:bottom w:val="none" w:sz="0" w:space="0" w:color="auto"/>
            <w:right w:val="none" w:sz="0" w:space="0" w:color="auto"/>
          </w:divBdr>
          <w:divsChild>
            <w:div w:id="1512797895">
              <w:marLeft w:val="0"/>
              <w:marRight w:val="0"/>
              <w:marTop w:val="0"/>
              <w:marBottom w:val="0"/>
              <w:divBdr>
                <w:top w:val="none" w:sz="0" w:space="0" w:color="auto"/>
                <w:left w:val="none" w:sz="0" w:space="0" w:color="auto"/>
                <w:bottom w:val="none" w:sz="0" w:space="0" w:color="auto"/>
                <w:right w:val="none" w:sz="0" w:space="0" w:color="auto"/>
              </w:divBdr>
              <w:divsChild>
                <w:div w:id="1934893417">
                  <w:marLeft w:val="0"/>
                  <w:marRight w:val="0"/>
                  <w:marTop w:val="0"/>
                  <w:marBottom w:val="0"/>
                  <w:divBdr>
                    <w:top w:val="none" w:sz="0" w:space="0" w:color="auto"/>
                    <w:left w:val="none" w:sz="0" w:space="0" w:color="auto"/>
                    <w:bottom w:val="none" w:sz="0" w:space="0" w:color="auto"/>
                    <w:right w:val="none" w:sz="0" w:space="0" w:color="auto"/>
                  </w:divBdr>
                  <w:divsChild>
                    <w:div w:id="1889604902">
                      <w:marLeft w:val="0"/>
                      <w:marRight w:val="0"/>
                      <w:marTop w:val="0"/>
                      <w:marBottom w:val="0"/>
                      <w:divBdr>
                        <w:top w:val="none" w:sz="0" w:space="0" w:color="auto"/>
                        <w:left w:val="none" w:sz="0" w:space="0" w:color="auto"/>
                        <w:bottom w:val="none" w:sz="0" w:space="0" w:color="auto"/>
                        <w:right w:val="none" w:sz="0" w:space="0" w:color="auto"/>
                      </w:divBdr>
                      <w:divsChild>
                        <w:div w:id="18488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1209">
      <w:bodyDiv w:val="1"/>
      <w:marLeft w:val="0"/>
      <w:marRight w:val="0"/>
      <w:marTop w:val="0"/>
      <w:marBottom w:val="0"/>
      <w:divBdr>
        <w:top w:val="none" w:sz="0" w:space="0" w:color="auto"/>
        <w:left w:val="none" w:sz="0" w:space="0" w:color="auto"/>
        <w:bottom w:val="none" w:sz="0" w:space="0" w:color="auto"/>
        <w:right w:val="none" w:sz="0" w:space="0" w:color="auto"/>
      </w:divBdr>
    </w:div>
    <w:div w:id="1423914046">
      <w:bodyDiv w:val="1"/>
      <w:marLeft w:val="0"/>
      <w:marRight w:val="0"/>
      <w:marTop w:val="0"/>
      <w:marBottom w:val="0"/>
      <w:divBdr>
        <w:top w:val="none" w:sz="0" w:space="0" w:color="auto"/>
        <w:left w:val="none" w:sz="0" w:space="0" w:color="auto"/>
        <w:bottom w:val="none" w:sz="0" w:space="0" w:color="auto"/>
        <w:right w:val="none" w:sz="0" w:space="0" w:color="auto"/>
      </w:divBdr>
    </w:div>
    <w:div w:id="1472359646">
      <w:bodyDiv w:val="1"/>
      <w:marLeft w:val="0"/>
      <w:marRight w:val="0"/>
      <w:marTop w:val="0"/>
      <w:marBottom w:val="0"/>
      <w:divBdr>
        <w:top w:val="none" w:sz="0" w:space="0" w:color="auto"/>
        <w:left w:val="none" w:sz="0" w:space="0" w:color="auto"/>
        <w:bottom w:val="none" w:sz="0" w:space="0" w:color="auto"/>
        <w:right w:val="none" w:sz="0" w:space="0" w:color="auto"/>
      </w:divBdr>
    </w:div>
    <w:div w:id="1474516691">
      <w:bodyDiv w:val="1"/>
      <w:marLeft w:val="0"/>
      <w:marRight w:val="0"/>
      <w:marTop w:val="0"/>
      <w:marBottom w:val="0"/>
      <w:divBdr>
        <w:top w:val="none" w:sz="0" w:space="0" w:color="auto"/>
        <w:left w:val="none" w:sz="0" w:space="0" w:color="auto"/>
        <w:bottom w:val="none" w:sz="0" w:space="0" w:color="auto"/>
        <w:right w:val="none" w:sz="0" w:space="0" w:color="auto"/>
      </w:divBdr>
    </w:div>
    <w:div w:id="1487362530">
      <w:bodyDiv w:val="1"/>
      <w:marLeft w:val="0"/>
      <w:marRight w:val="0"/>
      <w:marTop w:val="0"/>
      <w:marBottom w:val="0"/>
      <w:divBdr>
        <w:top w:val="none" w:sz="0" w:space="0" w:color="auto"/>
        <w:left w:val="none" w:sz="0" w:space="0" w:color="auto"/>
        <w:bottom w:val="none" w:sz="0" w:space="0" w:color="auto"/>
        <w:right w:val="none" w:sz="0" w:space="0" w:color="auto"/>
      </w:divBdr>
      <w:divsChild>
        <w:div w:id="1844471307">
          <w:marLeft w:val="0"/>
          <w:marRight w:val="0"/>
          <w:marTop w:val="0"/>
          <w:marBottom w:val="0"/>
          <w:divBdr>
            <w:top w:val="none" w:sz="0" w:space="0" w:color="auto"/>
            <w:left w:val="none" w:sz="0" w:space="0" w:color="auto"/>
            <w:bottom w:val="none" w:sz="0" w:space="0" w:color="auto"/>
            <w:right w:val="none" w:sz="0" w:space="0" w:color="auto"/>
          </w:divBdr>
          <w:divsChild>
            <w:div w:id="2038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0628">
      <w:bodyDiv w:val="1"/>
      <w:marLeft w:val="0"/>
      <w:marRight w:val="0"/>
      <w:marTop w:val="0"/>
      <w:marBottom w:val="0"/>
      <w:divBdr>
        <w:top w:val="none" w:sz="0" w:space="0" w:color="auto"/>
        <w:left w:val="none" w:sz="0" w:space="0" w:color="auto"/>
        <w:bottom w:val="none" w:sz="0" w:space="0" w:color="auto"/>
        <w:right w:val="none" w:sz="0" w:space="0" w:color="auto"/>
      </w:divBdr>
    </w:div>
    <w:div w:id="1621954944">
      <w:bodyDiv w:val="1"/>
      <w:marLeft w:val="0"/>
      <w:marRight w:val="0"/>
      <w:marTop w:val="0"/>
      <w:marBottom w:val="0"/>
      <w:divBdr>
        <w:top w:val="none" w:sz="0" w:space="0" w:color="auto"/>
        <w:left w:val="none" w:sz="0" w:space="0" w:color="auto"/>
        <w:bottom w:val="none" w:sz="0" w:space="0" w:color="auto"/>
        <w:right w:val="none" w:sz="0" w:space="0" w:color="auto"/>
      </w:divBdr>
    </w:div>
    <w:div w:id="1632705399">
      <w:bodyDiv w:val="1"/>
      <w:marLeft w:val="0"/>
      <w:marRight w:val="0"/>
      <w:marTop w:val="0"/>
      <w:marBottom w:val="0"/>
      <w:divBdr>
        <w:top w:val="none" w:sz="0" w:space="0" w:color="auto"/>
        <w:left w:val="none" w:sz="0" w:space="0" w:color="auto"/>
        <w:bottom w:val="none" w:sz="0" w:space="0" w:color="auto"/>
        <w:right w:val="none" w:sz="0" w:space="0" w:color="auto"/>
      </w:divBdr>
    </w:div>
    <w:div w:id="1720788322">
      <w:bodyDiv w:val="1"/>
      <w:marLeft w:val="0"/>
      <w:marRight w:val="0"/>
      <w:marTop w:val="0"/>
      <w:marBottom w:val="0"/>
      <w:divBdr>
        <w:top w:val="none" w:sz="0" w:space="0" w:color="auto"/>
        <w:left w:val="none" w:sz="0" w:space="0" w:color="auto"/>
        <w:bottom w:val="none" w:sz="0" w:space="0" w:color="auto"/>
        <w:right w:val="none" w:sz="0" w:space="0" w:color="auto"/>
      </w:divBdr>
    </w:div>
    <w:div w:id="1754005670">
      <w:bodyDiv w:val="1"/>
      <w:marLeft w:val="0"/>
      <w:marRight w:val="0"/>
      <w:marTop w:val="0"/>
      <w:marBottom w:val="0"/>
      <w:divBdr>
        <w:top w:val="none" w:sz="0" w:space="0" w:color="auto"/>
        <w:left w:val="none" w:sz="0" w:space="0" w:color="auto"/>
        <w:bottom w:val="none" w:sz="0" w:space="0" w:color="auto"/>
        <w:right w:val="none" w:sz="0" w:space="0" w:color="auto"/>
      </w:divBdr>
    </w:div>
    <w:div w:id="1756168869">
      <w:bodyDiv w:val="1"/>
      <w:marLeft w:val="0"/>
      <w:marRight w:val="0"/>
      <w:marTop w:val="0"/>
      <w:marBottom w:val="0"/>
      <w:divBdr>
        <w:top w:val="none" w:sz="0" w:space="0" w:color="auto"/>
        <w:left w:val="none" w:sz="0" w:space="0" w:color="auto"/>
        <w:bottom w:val="none" w:sz="0" w:space="0" w:color="auto"/>
        <w:right w:val="none" w:sz="0" w:space="0" w:color="auto"/>
      </w:divBdr>
      <w:divsChild>
        <w:div w:id="189035228">
          <w:marLeft w:val="1080"/>
          <w:marRight w:val="0"/>
          <w:marTop w:val="100"/>
          <w:marBottom w:val="0"/>
          <w:divBdr>
            <w:top w:val="none" w:sz="0" w:space="0" w:color="auto"/>
            <w:left w:val="none" w:sz="0" w:space="0" w:color="auto"/>
            <w:bottom w:val="none" w:sz="0" w:space="0" w:color="auto"/>
            <w:right w:val="none" w:sz="0" w:space="0" w:color="auto"/>
          </w:divBdr>
        </w:div>
        <w:div w:id="262302460">
          <w:marLeft w:val="1080"/>
          <w:marRight w:val="0"/>
          <w:marTop w:val="100"/>
          <w:marBottom w:val="0"/>
          <w:divBdr>
            <w:top w:val="none" w:sz="0" w:space="0" w:color="auto"/>
            <w:left w:val="none" w:sz="0" w:space="0" w:color="auto"/>
            <w:bottom w:val="none" w:sz="0" w:space="0" w:color="auto"/>
            <w:right w:val="none" w:sz="0" w:space="0" w:color="auto"/>
          </w:divBdr>
        </w:div>
        <w:div w:id="364450017">
          <w:marLeft w:val="1800"/>
          <w:marRight w:val="0"/>
          <w:marTop w:val="100"/>
          <w:marBottom w:val="0"/>
          <w:divBdr>
            <w:top w:val="none" w:sz="0" w:space="0" w:color="auto"/>
            <w:left w:val="none" w:sz="0" w:space="0" w:color="auto"/>
            <w:bottom w:val="none" w:sz="0" w:space="0" w:color="auto"/>
            <w:right w:val="none" w:sz="0" w:space="0" w:color="auto"/>
          </w:divBdr>
        </w:div>
        <w:div w:id="483200071">
          <w:marLeft w:val="1080"/>
          <w:marRight w:val="0"/>
          <w:marTop w:val="100"/>
          <w:marBottom w:val="0"/>
          <w:divBdr>
            <w:top w:val="none" w:sz="0" w:space="0" w:color="auto"/>
            <w:left w:val="none" w:sz="0" w:space="0" w:color="auto"/>
            <w:bottom w:val="none" w:sz="0" w:space="0" w:color="auto"/>
            <w:right w:val="none" w:sz="0" w:space="0" w:color="auto"/>
          </w:divBdr>
        </w:div>
        <w:div w:id="525753061">
          <w:marLeft w:val="1800"/>
          <w:marRight w:val="0"/>
          <w:marTop w:val="100"/>
          <w:marBottom w:val="0"/>
          <w:divBdr>
            <w:top w:val="none" w:sz="0" w:space="0" w:color="auto"/>
            <w:left w:val="none" w:sz="0" w:space="0" w:color="auto"/>
            <w:bottom w:val="none" w:sz="0" w:space="0" w:color="auto"/>
            <w:right w:val="none" w:sz="0" w:space="0" w:color="auto"/>
          </w:divBdr>
        </w:div>
        <w:div w:id="710153456">
          <w:marLeft w:val="806"/>
          <w:marRight w:val="0"/>
          <w:marTop w:val="200"/>
          <w:marBottom w:val="0"/>
          <w:divBdr>
            <w:top w:val="none" w:sz="0" w:space="0" w:color="auto"/>
            <w:left w:val="none" w:sz="0" w:space="0" w:color="auto"/>
            <w:bottom w:val="none" w:sz="0" w:space="0" w:color="auto"/>
            <w:right w:val="none" w:sz="0" w:space="0" w:color="auto"/>
          </w:divBdr>
        </w:div>
        <w:div w:id="1083523975">
          <w:marLeft w:val="1080"/>
          <w:marRight w:val="0"/>
          <w:marTop w:val="100"/>
          <w:marBottom w:val="0"/>
          <w:divBdr>
            <w:top w:val="none" w:sz="0" w:space="0" w:color="auto"/>
            <w:left w:val="none" w:sz="0" w:space="0" w:color="auto"/>
            <w:bottom w:val="none" w:sz="0" w:space="0" w:color="auto"/>
            <w:right w:val="none" w:sz="0" w:space="0" w:color="auto"/>
          </w:divBdr>
        </w:div>
        <w:div w:id="1269776148">
          <w:marLeft w:val="1080"/>
          <w:marRight w:val="0"/>
          <w:marTop w:val="100"/>
          <w:marBottom w:val="0"/>
          <w:divBdr>
            <w:top w:val="none" w:sz="0" w:space="0" w:color="auto"/>
            <w:left w:val="none" w:sz="0" w:space="0" w:color="auto"/>
            <w:bottom w:val="none" w:sz="0" w:space="0" w:color="auto"/>
            <w:right w:val="none" w:sz="0" w:space="0" w:color="auto"/>
          </w:divBdr>
        </w:div>
        <w:div w:id="1367483978">
          <w:marLeft w:val="806"/>
          <w:marRight w:val="0"/>
          <w:marTop w:val="200"/>
          <w:marBottom w:val="0"/>
          <w:divBdr>
            <w:top w:val="none" w:sz="0" w:space="0" w:color="auto"/>
            <w:left w:val="none" w:sz="0" w:space="0" w:color="auto"/>
            <w:bottom w:val="none" w:sz="0" w:space="0" w:color="auto"/>
            <w:right w:val="none" w:sz="0" w:space="0" w:color="auto"/>
          </w:divBdr>
        </w:div>
        <w:div w:id="1395932071">
          <w:marLeft w:val="806"/>
          <w:marRight w:val="0"/>
          <w:marTop w:val="200"/>
          <w:marBottom w:val="0"/>
          <w:divBdr>
            <w:top w:val="none" w:sz="0" w:space="0" w:color="auto"/>
            <w:left w:val="none" w:sz="0" w:space="0" w:color="auto"/>
            <w:bottom w:val="none" w:sz="0" w:space="0" w:color="auto"/>
            <w:right w:val="none" w:sz="0" w:space="0" w:color="auto"/>
          </w:divBdr>
        </w:div>
      </w:divsChild>
    </w:div>
    <w:div w:id="1813401921">
      <w:bodyDiv w:val="1"/>
      <w:marLeft w:val="0"/>
      <w:marRight w:val="0"/>
      <w:marTop w:val="0"/>
      <w:marBottom w:val="0"/>
      <w:divBdr>
        <w:top w:val="none" w:sz="0" w:space="0" w:color="auto"/>
        <w:left w:val="none" w:sz="0" w:space="0" w:color="auto"/>
        <w:bottom w:val="none" w:sz="0" w:space="0" w:color="auto"/>
        <w:right w:val="none" w:sz="0" w:space="0" w:color="auto"/>
      </w:divBdr>
      <w:divsChild>
        <w:div w:id="1710934">
          <w:marLeft w:val="0"/>
          <w:marRight w:val="0"/>
          <w:marTop w:val="0"/>
          <w:marBottom w:val="0"/>
          <w:divBdr>
            <w:top w:val="none" w:sz="0" w:space="0" w:color="auto"/>
            <w:left w:val="none" w:sz="0" w:space="0" w:color="auto"/>
            <w:bottom w:val="none" w:sz="0" w:space="0" w:color="auto"/>
            <w:right w:val="none" w:sz="0" w:space="0" w:color="auto"/>
          </w:divBdr>
          <w:divsChild>
            <w:div w:id="314796198">
              <w:marLeft w:val="0"/>
              <w:marRight w:val="0"/>
              <w:marTop w:val="0"/>
              <w:marBottom w:val="0"/>
              <w:divBdr>
                <w:top w:val="none" w:sz="0" w:space="0" w:color="auto"/>
                <w:left w:val="none" w:sz="0" w:space="0" w:color="auto"/>
                <w:bottom w:val="none" w:sz="0" w:space="0" w:color="auto"/>
                <w:right w:val="none" w:sz="0" w:space="0" w:color="auto"/>
              </w:divBdr>
            </w:div>
            <w:div w:id="545028714">
              <w:marLeft w:val="0"/>
              <w:marRight w:val="0"/>
              <w:marTop w:val="0"/>
              <w:marBottom w:val="0"/>
              <w:divBdr>
                <w:top w:val="none" w:sz="0" w:space="0" w:color="auto"/>
                <w:left w:val="none" w:sz="0" w:space="0" w:color="auto"/>
                <w:bottom w:val="none" w:sz="0" w:space="0" w:color="auto"/>
                <w:right w:val="none" w:sz="0" w:space="0" w:color="auto"/>
              </w:divBdr>
            </w:div>
            <w:div w:id="841042398">
              <w:marLeft w:val="0"/>
              <w:marRight w:val="0"/>
              <w:marTop w:val="0"/>
              <w:marBottom w:val="0"/>
              <w:divBdr>
                <w:top w:val="none" w:sz="0" w:space="0" w:color="auto"/>
                <w:left w:val="none" w:sz="0" w:space="0" w:color="auto"/>
                <w:bottom w:val="none" w:sz="0" w:space="0" w:color="auto"/>
                <w:right w:val="none" w:sz="0" w:space="0" w:color="auto"/>
              </w:divBdr>
            </w:div>
            <w:div w:id="863134370">
              <w:marLeft w:val="0"/>
              <w:marRight w:val="0"/>
              <w:marTop w:val="0"/>
              <w:marBottom w:val="0"/>
              <w:divBdr>
                <w:top w:val="none" w:sz="0" w:space="0" w:color="auto"/>
                <w:left w:val="none" w:sz="0" w:space="0" w:color="auto"/>
                <w:bottom w:val="none" w:sz="0" w:space="0" w:color="auto"/>
                <w:right w:val="none" w:sz="0" w:space="0" w:color="auto"/>
              </w:divBdr>
            </w:div>
            <w:div w:id="1422486039">
              <w:marLeft w:val="0"/>
              <w:marRight w:val="0"/>
              <w:marTop w:val="0"/>
              <w:marBottom w:val="0"/>
              <w:divBdr>
                <w:top w:val="none" w:sz="0" w:space="0" w:color="auto"/>
                <w:left w:val="none" w:sz="0" w:space="0" w:color="auto"/>
                <w:bottom w:val="none" w:sz="0" w:space="0" w:color="auto"/>
                <w:right w:val="none" w:sz="0" w:space="0" w:color="auto"/>
              </w:divBdr>
            </w:div>
            <w:div w:id="1564028752">
              <w:marLeft w:val="0"/>
              <w:marRight w:val="0"/>
              <w:marTop w:val="0"/>
              <w:marBottom w:val="0"/>
              <w:divBdr>
                <w:top w:val="none" w:sz="0" w:space="0" w:color="auto"/>
                <w:left w:val="none" w:sz="0" w:space="0" w:color="auto"/>
                <w:bottom w:val="none" w:sz="0" w:space="0" w:color="auto"/>
                <w:right w:val="none" w:sz="0" w:space="0" w:color="auto"/>
              </w:divBdr>
            </w:div>
            <w:div w:id="1609853178">
              <w:marLeft w:val="0"/>
              <w:marRight w:val="0"/>
              <w:marTop w:val="0"/>
              <w:marBottom w:val="0"/>
              <w:divBdr>
                <w:top w:val="none" w:sz="0" w:space="0" w:color="auto"/>
                <w:left w:val="none" w:sz="0" w:space="0" w:color="auto"/>
                <w:bottom w:val="none" w:sz="0" w:space="0" w:color="auto"/>
                <w:right w:val="none" w:sz="0" w:space="0" w:color="auto"/>
              </w:divBdr>
            </w:div>
            <w:div w:id="1627199751">
              <w:marLeft w:val="0"/>
              <w:marRight w:val="0"/>
              <w:marTop w:val="0"/>
              <w:marBottom w:val="0"/>
              <w:divBdr>
                <w:top w:val="none" w:sz="0" w:space="0" w:color="auto"/>
                <w:left w:val="none" w:sz="0" w:space="0" w:color="auto"/>
                <w:bottom w:val="none" w:sz="0" w:space="0" w:color="auto"/>
                <w:right w:val="none" w:sz="0" w:space="0" w:color="auto"/>
              </w:divBdr>
            </w:div>
          </w:divsChild>
        </w:div>
        <w:div w:id="73279136">
          <w:marLeft w:val="0"/>
          <w:marRight w:val="0"/>
          <w:marTop w:val="0"/>
          <w:marBottom w:val="0"/>
          <w:divBdr>
            <w:top w:val="none" w:sz="0" w:space="0" w:color="auto"/>
            <w:left w:val="none" w:sz="0" w:space="0" w:color="auto"/>
            <w:bottom w:val="none" w:sz="0" w:space="0" w:color="auto"/>
            <w:right w:val="none" w:sz="0" w:space="0" w:color="auto"/>
          </w:divBdr>
        </w:div>
        <w:div w:id="192767365">
          <w:marLeft w:val="0"/>
          <w:marRight w:val="0"/>
          <w:marTop w:val="0"/>
          <w:marBottom w:val="0"/>
          <w:divBdr>
            <w:top w:val="none" w:sz="0" w:space="0" w:color="auto"/>
            <w:left w:val="none" w:sz="0" w:space="0" w:color="auto"/>
            <w:bottom w:val="none" w:sz="0" w:space="0" w:color="auto"/>
            <w:right w:val="none" w:sz="0" w:space="0" w:color="auto"/>
          </w:divBdr>
          <w:divsChild>
            <w:div w:id="55277940">
              <w:marLeft w:val="0"/>
              <w:marRight w:val="0"/>
              <w:marTop w:val="0"/>
              <w:marBottom w:val="0"/>
              <w:divBdr>
                <w:top w:val="none" w:sz="0" w:space="0" w:color="auto"/>
                <w:left w:val="none" w:sz="0" w:space="0" w:color="auto"/>
                <w:bottom w:val="none" w:sz="0" w:space="0" w:color="auto"/>
                <w:right w:val="none" w:sz="0" w:space="0" w:color="auto"/>
              </w:divBdr>
            </w:div>
            <w:div w:id="382486015">
              <w:marLeft w:val="0"/>
              <w:marRight w:val="0"/>
              <w:marTop w:val="0"/>
              <w:marBottom w:val="0"/>
              <w:divBdr>
                <w:top w:val="none" w:sz="0" w:space="0" w:color="auto"/>
                <w:left w:val="none" w:sz="0" w:space="0" w:color="auto"/>
                <w:bottom w:val="none" w:sz="0" w:space="0" w:color="auto"/>
                <w:right w:val="none" w:sz="0" w:space="0" w:color="auto"/>
              </w:divBdr>
            </w:div>
            <w:div w:id="1783190254">
              <w:marLeft w:val="0"/>
              <w:marRight w:val="0"/>
              <w:marTop w:val="0"/>
              <w:marBottom w:val="0"/>
              <w:divBdr>
                <w:top w:val="none" w:sz="0" w:space="0" w:color="auto"/>
                <w:left w:val="none" w:sz="0" w:space="0" w:color="auto"/>
                <w:bottom w:val="none" w:sz="0" w:space="0" w:color="auto"/>
                <w:right w:val="none" w:sz="0" w:space="0" w:color="auto"/>
              </w:divBdr>
            </w:div>
            <w:div w:id="1960335420">
              <w:marLeft w:val="0"/>
              <w:marRight w:val="0"/>
              <w:marTop w:val="0"/>
              <w:marBottom w:val="0"/>
              <w:divBdr>
                <w:top w:val="none" w:sz="0" w:space="0" w:color="auto"/>
                <w:left w:val="none" w:sz="0" w:space="0" w:color="auto"/>
                <w:bottom w:val="none" w:sz="0" w:space="0" w:color="auto"/>
                <w:right w:val="none" w:sz="0" w:space="0" w:color="auto"/>
              </w:divBdr>
            </w:div>
          </w:divsChild>
        </w:div>
        <w:div w:id="315111275">
          <w:marLeft w:val="0"/>
          <w:marRight w:val="0"/>
          <w:marTop w:val="0"/>
          <w:marBottom w:val="0"/>
          <w:divBdr>
            <w:top w:val="none" w:sz="0" w:space="0" w:color="auto"/>
            <w:left w:val="none" w:sz="0" w:space="0" w:color="auto"/>
            <w:bottom w:val="none" w:sz="0" w:space="0" w:color="auto"/>
            <w:right w:val="none" w:sz="0" w:space="0" w:color="auto"/>
          </w:divBdr>
        </w:div>
        <w:div w:id="490756583">
          <w:marLeft w:val="0"/>
          <w:marRight w:val="0"/>
          <w:marTop w:val="0"/>
          <w:marBottom w:val="0"/>
          <w:divBdr>
            <w:top w:val="none" w:sz="0" w:space="0" w:color="auto"/>
            <w:left w:val="none" w:sz="0" w:space="0" w:color="auto"/>
            <w:bottom w:val="none" w:sz="0" w:space="0" w:color="auto"/>
            <w:right w:val="none" w:sz="0" w:space="0" w:color="auto"/>
          </w:divBdr>
        </w:div>
        <w:div w:id="647977091">
          <w:marLeft w:val="0"/>
          <w:marRight w:val="0"/>
          <w:marTop w:val="0"/>
          <w:marBottom w:val="0"/>
          <w:divBdr>
            <w:top w:val="none" w:sz="0" w:space="0" w:color="auto"/>
            <w:left w:val="none" w:sz="0" w:space="0" w:color="auto"/>
            <w:bottom w:val="none" w:sz="0" w:space="0" w:color="auto"/>
            <w:right w:val="none" w:sz="0" w:space="0" w:color="auto"/>
          </w:divBdr>
        </w:div>
        <w:div w:id="663584718">
          <w:marLeft w:val="0"/>
          <w:marRight w:val="0"/>
          <w:marTop w:val="0"/>
          <w:marBottom w:val="0"/>
          <w:divBdr>
            <w:top w:val="none" w:sz="0" w:space="0" w:color="auto"/>
            <w:left w:val="none" w:sz="0" w:space="0" w:color="auto"/>
            <w:bottom w:val="none" w:sz="0" w:space="0" w:color="auto"/>
            <w:right w:val="none" w:sz="0" w:space="0" w:color="auto"/>
          </w:divBdr>
        </w:div>
        <w:div w:id="683820439">
          <w:marLeft w:val="0"/>
          <w:marRight w:val="0"/>
          <w:marTop w:val="0"/>
          <w:marBottom w:val="0"/>
          <w:divBdr>
            <w:top w:val="none" w:sz="0" w:space="0" w:color="auto"/>
            <w:left w:val="none" w:sz="0" w:space="0" w:color="auto"/>
            <w:bottom w:val="none" w:sz="0" w:space="0" w:color="auto"/>
            <w:right w:val="none" w:sz="0" w:space="0" w:color="auto"/>
          </w:divBdr>
        </w:div>
        <w:div w:id="772476740">
          <w:marLeft w:val="0"/>
          <w:marRight w:val="0"/>
          <w:marTop w:val="0"/>
          <w:marBottom w:val="0"/>
          <w:divBdr>
            <w:top w:val="none" w:sz="0" w:space="0" w:color="auto"/>
            <w:left w:val="none" w:sz="0" w:space="0" w:color="auto"/>
            <w:bottom w:val="none" w:sz="0" w:space="0" w:color="auto"/>
            <w:right w:val="none" w:sz="0" w:space="0" w:color="auto"/>
          </w:divBdr>
        </w:div>
        <w:div w:id="876048047">
          <w:marLeft w:val="0"/>
          <w:marRight w:val="0"/>
          <w:marTop w:val="0"/>
          <w:marBottom w:val="0"/>
          <w:divBdr>
            <w:top w:val="none" w:sz="0" w:space="0" w:color="auto"/>
            <w:left w:val="none" w:sz="0" w:space="0" w:color="auto"/>
            <w:bottom w:val="none" w:sz="0" w:space="0" w:color="auto"/>
            <w:right w:val="none" w:sz="0" w:space="0" w:color="auto"/>
          </w:divBdr>
        </w:div>
        <w:div w:id="945305158">
          <w:marLeft w:val="0"/>
          <w:marRight w:val="0"/>
          <w:marTop w:val="0"/>
          <w:marBottom w:val="0"/>
          <w:divBdr>
            <w:top w:val="none" w:sz="0" w:space="0" w:color="auto"/>
            <w:left w:val="none" w:sz="0" w:space="0" w:color="auto"/>
            <w:bottom w:val="none" w:sz="0" w:space="0" w:color="auto"/>
            <w:right w:val="none" w:sz="0" w:space="0" w:color="auto"/>
          </w:divBdr>
        </w:div>
        <w:div w:id="987976950">
          <w:marLeft w:val="0"/>
          <w:marRight w:val="0"/>
          <w:marTop w:val="0"/>
          <w:marBottom w:val="0"/>
          <w:divBdr>
            <w:top w:val="none" w:sz="0" w:space="0" w:color="auto"/>
            <w:left w:val="none" w:sz="0" w:space="0" w:color="auto"/>
            <w:bottom w:val="none" w:sz="0" w:space="0" w:color="auto"/>
            <w:right w:val="none" w:sz="0" w:space="0" w:color="auto"/>
          </w:divBdr>
        </w:div>
        <w:div w:id="991450830">
          <w:marLeft w:val="0"/>
          <w:marRight w:val="0"/>
          <w:marTop w:val="0"/>
          <w:marBottom w:val="0"/>
          <w:divBdr>
            <w:top w:val="none" w:sz="0" w:space="0" w:color="auto"/>
            <w:left w:val="none" w:sz="0" w:space="0" w:color="auto"/>
            <w:bottom w:val="none" w:sz="0" w:space="0" w:color="auto"/>
            <w:right w:val="none" w:sz="0" w:space="0" w:color="auto"/>
          </w:divBdr>
        </w:div>
        <w:div w:id="1059324294">
          <w:marLeft w:val="0"/>
          <w:marRight w:val="0"/>
          <w:marTop w:val="0"/>
          <w:marBottom w:val="0"/>
          <w:divBdr>
            <w:top w:val="none" w:sz="0" w:space="0" w:color="auto"/>
            <w:left w:val="none" w:sz="0" w:space="0" w:color="auto"/>
            <w:bottom w:val="none" w:sz="0" w:space="0" w:color="auto"/>
            <w:right w:val="none" w:sz="0" w:space="0" w:color="auto"/>
          </w:divBdr>
        </w:div>
        <w:div w:id="1159272179">
          <w:marLeft w:val="0"/>
          <w:marRight w:val="0"/>
          <w:marTop w:val="0"/>
          <w:marBottom w:val="0"/>
          <w:divBdr>
            <w:top w:val="none" w:sz="0" w:space="0" w:color="auto"/>
            <w:left w:val="none" w:sz="0" w:space="0" w:color="auto"/>
            <w:bottom w:val="none" w:sz="0" w:space="0" w:color="auto"/>
            <w:right w:val="none" w:sz="0" w:space="0" w:color="auto"/>
          </w:divBdr>
        </w:div>
        <w:div w:id="1190794815">
          <w:marLeft w:val="0"/>
          <w:marRight w:val="0"/>
          <w:marTop w:val="0"/>
          <w:marBottom w:val="0"/>
          <w:divBdr>
            <w:top w:val="none" w:sz="0" w:space="0" w:color="auto"/>
            <w:left w:val="none" w:sz="0" w:space="0" w:color="auto"/>
            <w:bottom w:val="none" w:sz="0" w:space="0" w:color="auto"/>
            <w:right w:val="none" w:sz="0" w:space="0" w:color="auto"/>
          </w:divBdr>
        </w:div>
        <w:div w:id="1212618107">
          <w:marLeft w:val="0"/>
          <w:marRight w:val="0"/>
          <w:marTop w:val="0"/>
          <w:marBottom w:val="0"/>
          <w:divBdr>
            <w:top w:val="none" w:sz="0" w:space="0" w:color="auto"/>
            <w:left w:val="none" w:sz="0" w:space="0" w:color="auto"/>
            <w:bottom w:val="none" w:sz="0" w:space="0" w:color="auto"/>
            <w:right w:val="none" w:sz="0" w:space="0" w:color="auto"/>
          </w:divBdr>
        </w:div>
        <w:div w:id="1213076388">
          <w:marLeft w:val="0"/>
          <w:marRight w:val="0"/>
          <w:marTop w:val="0"/>
          <w:marBottom w:val="0"/>
          <w:divBdr>
            <w:top w:val="none" w:sz="0" w:space="0" w:color="auto"/>
            <w:left w:val="none" w:sz="0" w:space="0" w:color="auto"/>
            <w:bottom w:val="none" w:sz="0" w:space="0" w:color="auto"/>
            <w:right w:val="none" w:sz="0" w:space="0" w:color="auto"/>
          </w:divBdr>
        </w:div>
        <w:div w:id="1264151632">
          <w:marLeft w:val="0"/>
          <w:marRight w:val="0"/>
          <w:marTop w:val="0"/>
          <w:marBottom w:val="0"/>
          <w:divBdr>
            <w:top w:val="none" w:sz="0" w:space="0" w:color="auto"/>
            <w:left w:val="none" w:sz="0" w:space="0" w:color="auto"/>
            <w:bottom w:val="none" w:sz="0" w:space="0" w:color="auto"/>
            <w:right w:val="none" w:sz="0" w:space="0" w:color="auto"/>
          </w:divBdr>
          <w:divsChild>
            <w:div w:id="158084535">
              <w:marLeft w:val="-75"/>
              <w:marRight w:val="0"/>
              <w:marTop w:val="30"/>
              <w:marBottom w:val="30"/>
              <w:divBdr>
                <w:top w:val="none" w:sz="0" w:space="0" w:color="auto"/>
                <w:left w:val="none" w:sz="0" w:space="0" w:color="auto"/>
                <w:bottom w:val="none" w:sz="0" w:space="0" w:color="auto"/>
                <w:right w:val="none" w:sz="0" w:space="0" w:color="auto"/>
              </w:divBdr>
              <w:divsChild>
                <w:div w:id="383600792">
                  <w:marLeft w:val="0"/>
                  <w:marRight w:val="0"/>
                  <w:marTop w:val="0"/>
                  <w:marBottom w:val="0"/>
                  <w:divBdr>
                    <w:top w:val="none" w:sz="0" w:space="0" w:color="auto"/>
                    <w:left w:val="none" w:sz="0" w:space="0" w:color="auto"/>
                    <w:bottom w:val="none" w:sz="0" w:space="0" w:color="auto"/>
                    <w:right w:val="none" w:sz="0" w:space="0" w:color="auto"/>
                  </w:divBdr>
                  <w:divsChild>
                    <w:div w:id="477112010">
                      <w:marLeft w:val="0"/>
                      <w:marRight w:val="0"/>
                      <w:marTop w:val="0"/>
                      <w:marBottom w:val="0"/>
                      <w:divBdr>
                        <w:top w:val="none" w:sz="0" w:space="0" w:color="auto"/>
                        <w:left w:val="none" w:sz="0" w:space="0" w:color="auto"/>
                        <w:bottom w:val="none" w:sz="0" w:space="0" w:color="auto"/>
                        <w:right w:val="none" w:sz="0" w:space="0" w:color="auto"/>
                      </w:divBdr>
                    </w:div>
                  </w:divsChild>
                </w:div>
                <w:div w:id="502934276">
                  <w:marLeft w:val="0"/>
                  <w:marRight w:val="0"/>
                  <w:marTop w:val="0"/>
                  <w:marBottom w:val="0"/>
                  <w:divBdr>
                    <w:top w:val="none" w:sz="0" w:space="0" w:color="auto"/>
                    <w:left w:val="none" w:sz="0" w:space="0" w:color="auto"/>
                    <w:bottom w:val="none" w:sz="0" w:space="0" w:color="auto"/>
                    <w:right w:val="none" w:sz="0" w:space="0" w:color="auto"/>
                  </w:divBdr>
                  <w:divsChild>
                    <w:div w:id="387997260">
                      <w:marLeft w:val="0"/>
                      <w:marRight w:val="0"/>
                      <w:marTop w:val="0"/>
                      <w:marBottom w:val="0"/>
                      <w:divBdr>
                        <w:top w:val="none" w:sz="0" w:space="0" w:color="auto"/>
                        <w:left w:val="none" w:sz="0" w:space="0" w:color="auto"/>
                        <w:bottom w:val="none" w:sz="0" w:space="0" w:color="auto"/>
                        <w:right w:val="none" w:sz="0" w:space="0" w:color="auto"/>
                      </w:divBdr>
                    </w:div>
                  </w:divsChild>
                </w:div>
                <w:div w:id="1268274496">
                  <w:marLeft w:val="0"/>
                  <w:marRight w:val="0"/>
                  <w:marTop w:val="0"/>
                  <w:marBottom w:val="0"/>
                  <w:divBdr>
                    <w:top w:val="none" w:sz="0" w:space="0" w:color="auto"/>
                    <w:left w:val="none" w:sz="0" w:space="0" w:color="auto"/>
                    <w:bottom w:val="none" w:sz="0" w:space="0" w:color="auto"/>
                    <w:right w:val="none" w:sz="0" w:space="0" w:color="auto"/>
                  </w:divBdr>
                  <w:divsChild>
                    <w:div w:id="4889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92986">
          <w:marLeft w:val="0"/>
          <w:marRight w:val="0"/>
          <w:marTop w:val="0"/>
          <w:marBottom w:val="0"/>
          <w:divBdr>
            <w:top w:val="none" w:sz="0" w:space="0" w:color="auto"/>
            <w:left w:val="none" w:sz="0" w:space="0" w:color="auto"/>
            <w:bottom w:val="none" w:sz="0" w:space="0" w:color="auto"/>
            <w:right w:val="none" w:sz="0" w:space="0" w:color="auto"/>
          </w:divBdr>
        </w:div>
        <w:div w:id="1432505993">
          <w:marLeft w:val="0"/>
          <w:marRight w:val="0"/>
          <w:marTop w:val="0"/>
          <w:marBottom w:val="0"/>
          <w:divBdr>
            <w:top w:val="none" w:sz="0" w:space="0" w:color="auto"/>
            <w:left w:val="none" w:sz="0" w:space="0" w:color="auto"/>
            <w:bottom w:val="none" w:sz="0" w:space="0" w:color="auto"/>
            <w:right w:val="none" w:sz="0" w:space="0" w:color="auto"/>
          </w:divBdr>
          <w:divsChild>
            <w:div w:id="1194539164">
              <w:marLeft w:val="-75"/>
              <w:marRight w:val="0"/>
              <w:marTop w:val="30"/>
              <w:marBottom w:val="30"/>
              <w:divBdr>
                <w:top w:val="none" w:sz="0" w:space="0" w:color="auto"/>
                <w:left w:val="none" w:sz="0" w:space="0" w:color="auto"/>
                <w:bottom w:val="none" w:sz="0" w:space="0" w:color="auto"/>
                <w:right w:val="none" w:sz="0" w:space="0" w:color="auto"/>
              </w:divBdr>
              <w:divsChild>
                <w:div w:id="59717139">
                  <w:marLeft w:val="0"/>
                  <w:marRight w:val="0"/>
                  <w:marTop w:val="0"/>
                  <w:marBottom w:val="0"/>
                  <w:divBdr>
                    <w:top w:val="none" w:sz="0" w:space="0" w:color="auto"/>
                    <w:left w:val="none" w:sz="0" w:space="0" w:color="auto"/>
                    <w:bottom w:val="none" w:sz="0" w:space="0" w:color="auto"/>
                    <w:right w:val="none" w:sz="0" w:space="0" w:color="auto"/>
                  </w:divBdr>
                  <w:divsChild>
                    <w:div w:id="1791626301">
                      <w:marLeft w:val="0"/>
                      <w:marRight w:val="0"/>
                      <w:marTop w:val="0"/>
                      <w:marBottom w:val="0"/>
                      <w:divBdr>
                        <w:top w:val="none" w:sz="0" w:space="0" w:color="auto"/>
                        <w:left w:val="none" w:sz="0" w:space="0" w:color="auto"/>
                        <w:bottom w:val="none" w:sz="0" w:space="0" w:color="auto"/>
                        <w:right w:val="none" w:sz="0" w:space="0" w:color="auto"/>
                      </w:divBdr>
                    </w:div>
                  </w:divsChild>
                </w:div>
                <w:div w:id="86469349">
                  <w:marLeft w:val="0"/>
                  <w:marRight w:val="0"/>
                  <w:marTop w:val="0"/>
                  <w:marBottom w:val="0"/>
                  <w:divBdr>
                    <w:top w:val="none" w:sz="0" w:space="0" w:color="auto"/>
                    <w:left w:val="none" w:sz="0" w:space="0" w:color="auto"/>
                    <w:bottom w:val="none" w:sz="0" w:space="0" w:color="auto"/>
                    <w:right w:val="none" w:sz="0" w:space="0" w:color="auto"/>
                  </w:divBdr>
                  <w:divsChild>
                    <w:div w:id="2087023621">
                      <w:marLeft w:val="0"/>
                      <w:marRight w:val="0"/>
                      <w:marTop w:val="0"/>
                      <w:marBottom w:val="0"/>
                      <w:divBdr>
                        <w:top w:val="none" w:sz="0" w:space="0" w:color="auto"/>
                        <w:left w:val="none" w:sz="0" w:space="0" w:color="auto"/>
                        <w:bottom w:val="none" w:sz="0" w:space="0" w:color="auto"/>
                        <w:right w:val="none" w:sz="0" w:space="0" w:color="auto"/>
                      </w:divBdr>
                    </w:div>
                  </w:divsChild>
                </w:div>
                <w:div w:id="91560040">
                  <w:marLeft w:val="0"/>
                  <w:marRight w:val="0"/>
                  <w:marTop w:val="0"/>
                  <w:marBottom w:val="0"/>
                  <w:divBdr>
                    <w:top w:val="none" w:sz="0" w:space="0" w:color="auto"/>
                    <w:left w:val="none" w:sz="0" w:space="0" w:color="auto"/>
                    <w:bottom w:val="none" w:sz="0" w:space="0" w:color="auto"/>
                    <w:right w:val="none" w:sz="0" w:space="0" w:color="auto"/>
                  </w:divBdr>
                  <w:divsChild>
                    <w:div w:id="640380359">
                      <w:marLeft w:val="0"/>
                      <w:marRight w:val="0"/>
                      <w:marTop w:val="0"/>
                      <w:marBottom w:val="0"/>
                      <w:divBdr>
                        <w:top w:val="none" w:sz="0" w:space="0" w:color="auto"/>
                        <w:left w:val="none" w:sz="0" w:space="0" w:color="auto"/>
                        <w:bottom w:val="none" w:sz="0" w:space="0" w:color="auto"/>
                        <w:right w:val="none" w:sz="0" w:space="0" w:color="auto"/>
                      </w:divBdr>
                    </w:div>
                  </w:divsChild>
                </w:div>
                <w:div w:id="271011019">
                  <w:marLeft w:val="0"/>
                  <w:marRight w:val="0"/>
                  <w:marTop w:val="0"/>
                  <w:marBottom w:val="0"/>
                  <w:divBdr>
                    <w:top w:val="none" w:sz="0" w:space="0" w:color="auto"/>
                    <w:left w:val="none" w:sz="0" w:space="0" w:color="auto"/>
                    <w:bottom w:val="none" w:sz="0" w:space="0" w:color="auto"/>
                    <w:right w:val="none" w:sz="0" w:space="0" w:color="auto"/>
                  </w:divBdr>
                  <w:divsChild>
                    <w:div w:id="551038279">
                      <w:marLeft w:val="0"/>
                      <w:marRight w:val="0"/>
                      <w:marTop w:val="0"/>
                      <w:marBottom w:val="0"/>
                      <w:divBdr>
                        <w:top w:val="none" w:sz="0" w:space="0" w:color="auto"/>
                        <w:left w:val="none" w:sz="0" w:space="0" w:color="auto"/>
                        <w:bottom w:val="none" w:sz="0" w:space="0" w:color="auto"/>
                        <w:right w:val="none" w:sz="0" w:space="0" w:color="auto"/>
                      </w:divBdr>
                    </w:div>
                  </w:divsChild>
                </w:div>
                <w:div w:id="296690716">
                  <w:marLeft w:val="0"/>
                  <w:marRight w:val="0"/>
                  <w:marTop w:val="0"/>
                  <w:marBottom w:val="0"/>
                  <w:divBdr>
                    <w:top w:val="none" w:sz="0" w:space="0" w:color="auto"/>
                    <w:left w:val="none" w:sz="0" w:space="0" w:color="auto"/>
                    <w:bottom w:val="none" w:sz="0" w:space="0" w:color="auto"/>
                    <w:right w:val="none" w:sz="0" w:space="0" w:color="auto"/>
                  </w:divBdr>
                  <w:divsChild>
                    <w:div w:id="2140608277">
                      <w:marLeft w:val="0"/>
                      <w:marRight w:val="0"/>
                      <w:marTop w:val="0"/>
                      <w:marBottom w:val="0"/>
                      <w:divBdr>
                        <w:top w:val="none" w:sz="0" w:space="0" w:color="auto"/>
                        <w:left w:val="none" w:sz="0" w:space="0" w:color="auto"/>
                        <w:bottom w:val="none" w:sz="0" w:space="0" w:color="auto"/>
                        <w:right w:val="none" w:sz="0" w:space="0" w:color="auto"/>
                      </w:divBdr>
                    </w:div>
                  </w:divsChild>
                </w:div>
                <w:div w:id="376272289">
                  <w:marLeft w:val="0"/>
                  <w:marRight w:val="0"/>
                  <w:marTop w:val="0"/>
                  <w:marBottom w:val="0"/>
                  <w:divBdr>
                    <w:top w:val="none" w:sz="0" w:space="0" w:color="auto"/>
                    <w:left w:val="none" w:sz="0" w:space="0" w:color="auto"/>
                    <w:bottom w:val="none" w:sz="0" w:space="0" w:color="auto"/>
                    <w:right w:val="none" w:sz="0" w:space="0" w:color="auto"/>
                  </w:divBdr>
                  <w:divsChild>
                    <w:div w:id="1234312328">
                      <w:marLeft w:val="0"/>
                      <w:marRight w:val="0"/>
                      <w:marTop w:val="0"/>
                      <w:marBottom w:val="0"/>
                      <w:divBdr>
                        <w:top w:val="none" w:sz="0" w:space="0" w:color="auto"/>
                        <w:left w:val="none" w:sz="0" w:space="0" w:color="auto"/>
                        <w:bottom w:val="none" w:sz="0" w:space="0" w:color="auto"/>
                        <w:right w:val="none" w:sz="0" w:space="0" w:color="auto"/>
                      </w:divBdr>
                    </w:div>
                  </w:divsChild>
                </w:div>
                <w:div w:id="409886005">
                  <w:marLeft w:val="0"/>
                  <w:marRight w:val="0"/>
                  <w:marTop w:val="0"/>
                  <w:marBottom w:val="0"/>
                  <w:divBdr>
                    <w:top w:val="none" w:sz="0" w:space="0" w:color="auto"/>
                    <w:left w:val="none" w:sz="0" w:space="0" w:color="auto"/>
                    <w:bottom w:val="none" w:sz="0" w:space="0" w:color="auto"/>
                    <w:right w:val="none" w:sz="0" w:space="0" w:color="auto"/>
                  </w:divBdr>
                  <w:divsChild>
                    <w:div w:id="182522205">
                      <w:marLeft w:val="0"/>
                      <w:marRight w:val="0"/>
                      <w:marTop w:val="0"/>
                      <w:marBottom w:val="0"/>
                      <w:divBdr>
                        <w:top w:val="none" w:sz="0" w:space="0" w:color="auto"/>
                        <w:left w:val="none" w:sz="0" w:space="0" w:color="auto"/>
                        <w:bottom w:val="none" w:sz="0" w:space="0" w:color="auto"/>
                        <w:right w:val="none" w:sz="0" w:space="0" w:color="auto"/>
                      </w:divBdr>
                    </w:div>
                  </w:divsChild>
                </w:div>
                <w:div w:id="445542515">
                  <w:marLeft w:val="0"/>
                  <w:marRight w:val="0"/>
                  <w:marTop w:val="0"/>
                  <w:marBottom w:val="0"/>
                  <w:divBdr>
                    <w:top w:val="none" w:sz="0" w:space="0" w:color="auto"/>
                    <w:left w:val="none" w:sz="0" w:space="0" w:color="auto"/>
                    <w:bottom w:val="none" w:sz="0" w:space="0" w:color="auto"/>
                    <w:right w:val="none" w:sz="0" w:space="0" w:color="auto"/>
                  </w:divBdr>
                  <w:divsChild>
                    <w:div w:id="1818256001">
                      <w:marLeft w:val="0"/>
                      <w:marRight w:val="0"/>
                      <w:marTop w:val="0"/>
                      <w:marBottom w:val="0"/>
                      <w:divBdr>
                        <w:top w:val="none" w:sz="0" w:space="0" w:color="auto"/>
                        <w:left w:val="none" w:sz="0" w:space="0" w:color="auto"/>
                        <w:bottom w:val="none" w:sz="0" w:space="0" w:color="auto"/>
                        <w:right w:val="none" w:sz="0" w:space="0" w:color="auto"/>
                      </w:divBdr>
                    </w:div>
                  </w:divsChild>
                </w:div>
                <w:div w:id="521669760">
                  <w:marLeft w:val="0"/>
                  <w:marRight w:val="0"/>
                  <w:marTop w:val="0"/>
                  <w:marBottom w:val="0"/>
                  <w:divBdr>
                    <w:top w:val="none" w:sz="0" w:space="0" w:color="auto"/>
                    <w:left w:val="none" w:sz="0" w:space="0" w:color="auto"/>
                    <w:bottom w:val="none" w:sz="0" w:space="0" w:color="auto"/>
                    <w:right w:val="none" w:sz="0" w:space="0" w:color="auto"/>
                  </w:divBdr>
                  <w:divsChild>
                    <w:div w:id="1870484180">
                      <w:marLeft w:val="0"/>
                      <w:marRight w:val="0"/>
                      <w:marTop w:val="0"/>
                      <w:marBottom w:val="0"/>
                      <w:divBdr>
                        <w:top w:val="none" w:sz="0" w:space="0" w:color="auto"/>
                        <w:left w:val="none" w:sz="0" w:space="0" w:color="auto"/>
                        <w:bottom w:val="none" w:sz="0" w:space="0" w:color="auto"/>
                        <w:right w:val="none" w:sz="0" w:space="0" w:color="auto"/>
                      </w:divBdr>
                    </w:div>
                  </w:divsChild>
                </w:div>
                <w:div w:id="529146517">
                  <w:marLeft w:val="0"/>
                  <w:marRight w:val="0"/>
                  <w:marTop w:val="0"/>
                  <w:marBottom w:val="0"/>
                  <w:divBdr>
                    <w:top w:val="none" w:sz="0" w:space="0" w:color="auto"/>
                    <w:left w:val="none" w:sz="0" w:space="0" w:color="auto"/>
                    <w:bottom w:val="none" w:sz="0" w:space="0" w:color="auto"/>
                    <w:right w:val="none" w:sz="0" w:space="0" w:color="auto"/>
                  </w:divBdr>
                </w:div>
                <w:div w:id="761069935">
                  <w:marLeft w:val="0"/>
                  <w:marRight w:val="0"/>
                  <w:marTop w:val="0"/>
                  <w:marBottom w:val="0"/>
                  <w:divBdr>
                    <w:top w:val="none" w:sz="0" w:space="0" w:color="auto"/>
                    <w:left w:val="none" w:sz="0" w:space="0" w:color="auto"/>
                    <w:bottom w:val="none" w:sz="0" w:space="0" w:color="auto"/>
                    <w:right w:val="none" w:sz="0" w:space="0" w:color="auto"/>
                  </w:divBdr>
                  <w:divsChild>
                    <w:div w:id="1029457155">
                      <w:marLeft w:val="0"/>
                      <w:marRight w:val="0"/>
                      <w:marTop w:val="0"/>
                      <w:marBottom w:val="0"/>
                      <w:divBdr>
                        <w:top w:val="none" w:sz="0" w:space="0" w:color="auto"/>
                        <w:left w:val="none" w:sz="0" w:space="0" w:color="auto"/>
                        <w:bottom w:val="none" w:sz="0" w:space="0" w:color="auto"/>
                        <w:right w:val="none" w:sz="0" w:space="0" w:color="auto"/>
                      </w:divBdr>
                    </w:div>
                  </w:divsChild>
                </w:div>
                <w:div w:id="922295031">
                  <w:marLeft w:val="0"/>
                  <w:marRight w:val="0"/>
                  <w:marTop w:val="0"/>
                  <w:marBottom w:val="0"/>
                  <w:divBdr>
                    <w:top w:val="none" w:sz="0" w:space="0" w:color="auto"/>
                    <w:left w:val="none" w:sz="0" w:space="0" w:color="auto"/>
                    <w:bottom w:val="none" w:sz="0" w:space="0" w:color="auto"/>
                    <w:right w:val="none" w:sz="0" w:space="0" w:color="auto"/>
                  </w:divBdr>
                  <w:divsChild>
                    <w:div w:id="1551961574">
                      <w:marLeft w:val="0"/>
                      <w:marRight w:val="0"/>
                      <w:marTop w:val="0"/>
                      <w:marBottom w:val="0"/>
                      <w:divBdr>
                        <w:top w:val="none" w:sz="0" w:space="0" w:color="auto"/>
                        <w:left w:val="none" w:sz="0" w:space="0" w:color="auto"/>
                        <w:bottom w:val="none" w:sz="0" w:space="0" w:color="auto"/>
                        <w:right w:val="none" w:sz="0" w:space="0" w:color="auto"/>
                      </w:divBdr>
                    </w:div>
                  </w:divsChild>
                </w:div>
                <w:div w:id="1102456234">
                  <w:marLeft w:val="0"/>
                  <w:marRight w:val="0"/>
                  <w:marTop w:val="0"/>
                  <w:marBottom w:val="0"/>
                  <w:divBdr>
                    <w:top w:val="none" w:sz="0" w:space="0" w:color="auto"/>
                    <w:left w:val="none" w:sz="0" w:space="0" w:color="auto"/>
                    <w:bottom w:val="none" w:sz="0" w:space="0" w:color="auto"/>
                    <w:right w:val="none" w:sz="0" w:space="0" w:color="auto"/>
                  </w:divBdr>
                  <w:divsChild>
                    <w:div w:id="805052203">
                      <w:marLeft w:val="0"/>
                      <w:marRight w:val="0"/>
                      <w:marTop w:val="0"/>
                      <w:marBottom w:val="0"/>
                      <w:divBdr>
                        <w:top w:val="none" w:sz="0" w:space="0" w:color="auto"/>
                        <w:left w:val="none" w:sz="0" w:space="0" w:color="auto"/>
                        <w:bottom w:val="none" w:sz="0" w:space="0" w:color="auto"/>
                        <w:right w:val="none" w:sz="0" w:space="0" w:color="auto"/>
                      </w:divBdr>
                    </w:div>
                  </w:divsChild>
                </w:div>
                <w:div w:id="1164707987">
                  <w:marLeft w:val="0"/>
                  <w:marRight w:val="0"/>
                  <w:marTop w:val="0"/>
                  <w:marBottom w:val="0"/>
                  <w:divBdr>
                    <w:top w:val="none" w:sz="0" w:space="0" w:color="auto"/>
                    <w:left w:val="none" w:sz="0" w:space="0" w:color="auto"/>
                    <w:bottom w:val="none" w:sz="0" w:space="0" w:color="auto"/>
                    <w:right w:val="none" w:sz="0" w:space="0" w:color="auto"/>
                  </w:divBdr>
                  <w:divsChild>
                    <w:div w:id="202450091">
                      <w:marLeft w:val="0"/>
                      <w:marRight w:val="0"/>
                      <w:marTop w:val="0"/>
                      <w:marBottom w:val="0"/>
                      <w:divBdr>
                        <w:top w:val="none" w:sz="0" w:space="0" w:color="auto"/>
                        <w:left w:val="none" w:sz="0" w:space="0" w:color="auto"/>
                        <w:bottom w:val="none" w:sz="0" w:space="0" w:color="auto"/>
                        <w:right w:val="none" w:sz="0" w:space="0" w:color="auto"/>
                      </w:divBdr>
                    </w:div>
                    <w:div w:id="1120032747">
                      <w:marLeft w:val="0"/>
                      <w:marRight w:val="0"/>
                      <w:marTop w:val="0"/>
                      <w:marBottom w:val="0"/>
                      <w:divBdr>
                        <w:top w:val="none" w:sz="0" w:space="0" w:color="auto"/>
                        <w:left w:val="none" w:sz="0" w:space="0" w:color="auto"/>
                        <w:bottom w:val="none" w:sz="0" w:space="0" w:color="auto"/>
                        <w:right w:val="none" w:sz="0" w:space="0" w:color="auto"/>
                      </w:divBdr>
                    </w:div>
                    <w:div w:id="1452628383">
                      <w:marLeft w:val="0"/>
                      <w:marRight w:val="0"/>
                      <w:marTop w:val="0"/>
                      <w:marBottom w:val="0"/>
                      <w:divBdr>
                        <w:top w:val="none" w:sz="0" w:space="0" w:color="auto"/>
                        <w:left w:val="none" w:sz="0" w:space="0" w:color="auto"/>
                        <w:bottom w:val="none" w:sz="0" w:space="0" w:color="auto"/>
                        <w:right w:val="none" w:sz="0" w:space="0" w:color="auto"/>
                      </w:divBdr>
                    </w:div>
                  </w:divsChild>
                </w:div>
                <w:div w:id="1230535451">
                  <w:marLeft w:val="0"/>
                  <w:marRight w:val="0"/>
                  <w:marTop w:val="0"/>
                  <w:marBottom w:val="0"/>
                  <w:divBdr>
                    <w:top w:val="none" w:sz="0" w:space="0" w:color="auto"/>
                    <w:left w:val="none" w:sz="0" w:space="0" w:color="auto"/>
                    <w:bottom w:val="none" w:sz="0" w:space="0" w:color="auto"/>
                    <w:right w:val="none" w:sz="0" w:space="0" w:color="auto"/>
                  </w:divBdr>
                  <w:divsChild>
                    <w:div w:id="419760037">
                      <w:marLeft w:val="0"/>
                      <w:marRight w:val="0"/>
                      <w:marTop w:val="0"/>
                      <w:marBottom w:val="0"/>
                      <w:divBdr>
                        <w:top w:val="none" w:sz="0" w:space="0" w:color="auto"/>
                        <w:left w:val="none" w:sz="0" w:space="0" w:color="auto"/>
                        <w:bottom w:val="none" w:sz="0" w:space="0" w:color="auto"/>
                        <w:right w:val="none" w:sz="0" w:space="0" w:color="auto"/>
                      </w:divBdr>
                    </w:div>
                  </w:divsChild>
                </w:div>
                <w:div w:id="1242446644">
                  <w:marLeft w:val="0"/>
                  <w:marRight w:val="0"/>
                  <w:marTop w:val="0"/>
                  <w:marBottom w:val="0"/>
                  <w:divBdr>
                    <w:top w:val="none" w:sz="0" w:space="0" w:color="auto"/>
                    <w:left w:val="none" w:sz="0" w:space="0" w:color="auto"/>
                    <w:bottom w:val="none" w:sz="0" w:space="0" w:color="auto"/>
                    <w:right w:val="none" w:sz="0" w:space="0" w:color="auto"/>
                  </w:divBdr>
                </w:div>
                <w:div w:id="1305888870">
                  <w:marLeft w:val="0"/>
                  <w:marRight w:val="0"/>
                  <w:marTop w:val="0"/>
                  <w:marBottom w:val="0"/>
                  <w:divBdr>
                    <w:top w:val="none" w:sz="0" w:space="0" w:color="auto"/>
                    <w:left w:val="none" w:sz="0" w:space="0" w:color="auto"/>
                    <w:bottom w:val="none" w:sz="0" w:space="0" w:color="auto"/>
                    <w:right w:val="none" w:sz="0" w:space="0" w:color="auto"/>
                  </w:divBdr>
                  <w:divsChild>
                    <w:div w:id="686180753">
                      <w:marLeft w:val="0"/>
                      <w:marRight w:val="0"/>
                      <w:marTop w:val="0"/>
                      <w:marBottom w:val="0"/>
                      <w:divBdr>
                        <w:top w:val="none" w:sz="0" w:space="0" w:color="auto"/>
                        <w:left w:val="none" w:sz="0" w:space="0" w:color="auto"/>
                        <w:bottom w:val="none" w:sz="0" w:space="0" w:color="auto"/>
                        <w:right w:val="none" w:sz="0" w:space="0" w:color="auto"/>
                      </w:divBdr>
                    </w:div>
                  </w:divsChild>
                </w:div>
                <w:div w:id="1372338201">
                  <w:marLeft w:val="0"/>
                  <w:marRight w:val="0"/>
                  <w:marTop w:val="0"/>
                  <w:marBottom w:val="0"/>
                  <w:divBdr>
                    <w:top w:val="none" w:sz="0" w:space="0" w:color="auto"/>
                    <w:left w:val="none" w:sz="0" w:space="0" w:color="auto"/>
                    <w:bottom w:val="none" w:sz="0" w:space="0" w:color="auto"/>
                    <w:right w:val="none" w:sz="0" w:space="0" w:color="auto"/>
                  </w:divBdr>
                  <w:divsChild>
                    <w:div w:id="119106236">
                      <w:marLeft w:val="0"/>
                      <w:marRight w:val="0"/>
                      <w:marTop w:val="0"/>
                      <w:marBottom w:val="0"/>
                      <w:divBdr>
                        <w:top w:val="none" w:sz="0" w:space="0" w:color="auto"/>
                        <w:left w:val="none" w:sz="0" w:space="0" w:color="auto"/>
                        <w:bottom w:val="none" w:sz="0" w:space="0" w:color="auto"/>
                        <w:right w:val="none" w:sz="0" w:space="0" w:color="auto"/>
                      </w:divBdr>
                    </w:div>
                  </w:divsChild>
                </w:div>
                <w:div w:id="1374698031">
                  <w:marLeft w:val="0"/>
                  <w:marRight w:val="0"/>
                  <w:marTop w:val="0"/>
                  <w:marBottom w:val="0"/>
                  <w:divBdr>
                    <w:top w:val="none" w:sz="0" w:space="0" w:color="auto"/>
                    <w:left w:val="none" w:sz="0" w:space="0" w:color="auto"/>
                    <w:bottom w:val="none" w:sz="0" w:space="0" w:color="auto"/>
                    <w:right w:val="none" w:sz="0" w:space="0" w:color="auto"/>
                  </w:divBdr>
                  <w:divsChild>
                    <w:div w:id="1920014707">
                      <w:marLeft w:val="0"/>
                      <w:marRight w:val="0"/>
                      <w:marTop w:val="0"/>
                      <w:marBottom w:val="0"/>
                      <w:divBdr>
                        <w:top w:val="none" w:sz="0" w:space="0" w:color="auto"/>
                        <w:left w:val="none" w:sz="0" w:space="0" w:color="auto"/>
                        <w:bottom w:val="none" w:sz="0" w:space="0" w:color="auto"/>
                        <w:right w:val="none" w:sz="0" w:space="0" w:color="auto"/>
                      </w:divBdr>
                    </w:div>
                  </w:divsChild>
                </w:div>
                <w:div w:id="1389299555">
                  <w:marLeft w:val="0"/>
                  <w:marRight w:val="0"/>
                  <w:marTop w:val="0"/>
                  <w:marBottom w:val="0"/>
                  <w:divBdr>
                    <w:top w:val="none" w:sz="0" w:space="0" w:color="auto"/>
                    <w:left w:val="none" w:sz="0" w:space="0" w:color="auto"/>
                    <w:bottom w:val="none" w:sz="0" w:space="0" w:color="auto"/>
                    <w:right w:val="none" w:sz="0" w:space="0" w:color="auto"/>
                  </w:divBdr>
                  <w:divsChild>
                    <w:div w:id="1781989718">
                      <w:marLeft w:val="0"/>
                      <w:marRight w:val="0"/>
                      <w:marTop w:val="0"/>
                      <w:marBottom w:val="0"/>
                      <w:divBdr>
                        <w:top w:val="none" w:sz="0" w:space="0" w:color="auto"/>
                        <w:left w:val="none" w:sz="0" w:space="0" w:color="auto"/>
                        <w:bottom w:val="none" w:sz="0" w:space="0" w:color="auto"/>
                        <w:right w:val="none" w:sz="0" w:space="0" w:color="auto"/>
                      </w:divBdr>
                    </w:div>
                  </w:divsChild>
                </w:div>
                <w:div w:id="1490973794">
                  <w:marLeft w:val="0"/>
                  <w:marRight w:val="0"/>
                  <w:marTop w:val="0"/>
                  <w:marBottom w:val="0"/>
                  <w:divBdr>
                    <w:top w:val="none" w:sz="0" w:space="0" w:color="auto"/>
                    <w:left w:val="none" w:sz="0" w:space="0" w:color="auto"/>
                    <w:bottom w:val="none" w:sz="0" w:space="0" w:color="auto"/>
                    <w:right w:val="none" w:sz="0" w:space="0" w:color="auto"/>
                  </w:divBdr>
                  <w:divsChild>
                    <w:div w:id="691152367">
                      <w:marLeft w:val="0"/>
                      <w:marRight w:val="0"/>
                      <w:marTop w:val="0"/>
                      <w:marBottom w:val="0"/>
                      <w:divBdr>
                        <w:top w:val="none" w:sz="0" w:space="0" w:color="auto"/>
                        <w:left w:val="none" w:sz="0" w:space="0" w:color="auto"/>
                        <w:bottom w:val="none" w:sz="0" w:space="0" w:color="auto"/>
                        <w:right w:val="none" w:sz="0" w:space="0" w:color="auto"/>
                      </w:divBdr>
                    </w:div>
                  </w:divsChild>
                </w:div>
                <w:div w:id="1509253132">
                  <w:marLeft w:val="0"/>
                  <w:marRight w:val="0"/>
                  <w:marTop w:val="0"/>
                  <w:marBottom w:val="0"/>
                  <w:divBdr>
                    <w:top w:val="none" w:sz="0" w:space="0" w:color="auto"/>
                    <w:left w:val="none" w:sz="0" w:space="0" w:color="auto"/>
                    <w:bottom w:val="none" w:sz="0" w:space="0" w:color="auto"/>
                    <w:right w:val="none" w:sz="0" w:space="0" w:color="auto"/>
                  </w:divBdr>
                  <w:divsChild>
                    <w:div w:id="655452193">
                      <w:marLeft w:val="0"/>
                      <w:marRight w:val="0"/>
                      <w:marTop w:val="0"/>
                      <w:marBottom w:val="0"/>
                      <w:divBdr>
                        <w:top w:val="none" w:sz="0" w:space="0" w:color="auto"/>
                        <w:left w:val="none" w:sz="0" w:space="0" w:color="auto"/>
                        <w:bottom w:val="none" w:sz="0" w:space="0" w:color="auto"/>
                        <w:right w:val="none" w:sz="0" w:space="0" w:color="auto"/>
                      </w:divBdr>
                    </w:div>
                  </w:divsChild>
                </w:div>
                <w:div w:id="1620991314">
                  <w:marLeft w:val="0"/>
                  <w:marRight w:val="0"/>
                  <w:marTop w:val="0"/>
                  <w:marBottom w:val="0"/>
                  <w:divBdr>
                    <w:top w:val="none" w:sz="0" w:space="0" w:color="auto"/>
                    <w:left w:val="none" w:sz="0" w:space="0" w:color="auto"/>
                    <w:bottom w:val="none" w:sz="0" w:space="0" w:color="auto"/>
                    <w:right w:val="none" w:sz="0" w:space="0" w:color="auto"/>
                  </w:divBdr>
                  <w:divsChild>
                    <w:div w:id="1333024723">
                      <w:marLeft w:val="0"/>
                      <w:marRight w:val="0"/>
                      <w:marTop w:val="0"/>
                      <w:marBottom w:val="0"/>
                      <w:divBdr>
                        <w:top w:val="none" w:sz="0" w:space="0" w:color="auto"/>
                        <w:left w:val="none" w:sz="0" w:space="0" w:color="auto"/>
                        <w:bottom w:val="none" w:sz="0" w:space="0" w:color="auto"/>
                        <w:right w:val="none" w:sz="0" w:space="0" w:color="auto"/>
                      </w:divBdr>
                    </w:div>
                  </w:divsChild>
                </w:div>
                <w:div w:id="1736515124">
                  <w:marLeft w:val="0"/>
                  <w:marRight w:val="0"/>
                  <w:marTop w:val="0"/>
                  <w:marBottom w:val="0"/>
                  <w:divBdr>
                    <w:top w:val="none" w:sz="0" w:space="0" w:color="auto"/>
                    <w:left w:val="none" w:sz="0" w:space="0" w:color="auto"/>
                    <w:bottom w:val="none" w:sz="0" w:space="0" w:color="auto"/>
                    <w:right w:val="none" w:sz="0" w:space="0" w:color="auto"/>
                  </w:divBdr>
                  <w:divsChild>
                    <w:div w:id="157617339">
                      <w:marLeft w:val="0"/>
                      <w:marRight w:val="0"/>
                      <w:marTop w:val="0"/>
                      <w:marBottom w:val="0"/>
                      <w:divBdr>
                        <w:top w:val="none" w:sz="0" w:space="0" w:color="auto"/>
                        <w:left w:val="none" w:sz="0" w:space="0" w:color="auto"/>
                        <w:bottom w:val="none" w:sz="0" w:space="0" w:color="auto"/>
                        <w:right w:val="none" w:sz="0" w:space="0" w:color="auto"/>
                      </w:divBdr>
                    </w:div>
                  </w:divsChild>
                </w:div>
                <w:div w:id="1751271330">
                  <w:marLeft w:val="0"/>
                  <w:marRight w:val="0"/>
                  <w:marTop w:val="0"/>
                  <w:marBottom w:val="0"/>
                  <w:divBdr>
                    <w:top w:val="none" w:sz="0" w:space="0" w:color="auto"/>
                    <w:left w:val="none" w:sz="0" w:space="0" w:color="auto"/>
                    <w:bottom w:val="none" w:sz="0" w:space="0" w:color="auto"/>
                    <w:right w:val="none" w:sz="0" w:space="0" w:color="auto"/>
                  </w:divBdr>
                  <w:divsChild>
                    <w:div w:id="1980921153">
                      <w:marLeft w:val="0"/>
                      <w:marRight w:val="0"/>
                      <w:marTop w:val="0"/>
                      <w:marBottom w:val="0"/>
                      <w:divBdr>
                        <w:top w:val="none" w:sz="0" w:space="0" w:color="auto"/>
                        <w:left w:val="none" w:sz="0" w:space="0" w:color="auto"/>
                        <w:bottom w:val="none" w:sz="0" w:space="0" w:color="auto"/>
                        <w:right w:val="none" w:sz="0" w:space="0" w:color="auto"/>
                      </w:divBdr>
                    </w:div>
                  </w:divsChild>
                </w:div>
                <w:div w:id="1751467437">
                  <w:marLeft w:val="0"/>
                  <w:marRight w:val="0"/>
                  <w:marTop w:val="0"/>
                  <w:marBottom w:val="0"/>
                  <w:divBdr>
                    <w:top w:val="none" w:sz="0" w:space="0" w:color="auto"/>
                    <w:left w:val="none" w:sz="0" w:space="0" w:color="auto"/>
                    <w:bottom w:val="none" w:sz="0" w:space="0" w:color="auto"/>
                    <w:right w:val="none" w:sz="0" w:space="0" w:color="auto"/>
                  </w:divBdr>
                  <w:divsChild>
                    <w:div w:id="1171870088">
                      <w:marLeft w:val="0"/>
                      <w:marRight w:val="0"/>
                      <w:marTop w:val="0"/>
                      <w:marBottom w:val="0"/>
                      <w:divBdr>
                        <w:top w:val="none" w:sz="0" w:space="0" w:color="auto"/>
                        <w:left w:val="none" w:sz="0" w:space="0" w:color="auto"/>
                        <w:bottom w:val="none" w:sz="0" w:space="0" w:color="auto"/>
                        <w:right w:val="none" w:sz="0" w:space="0" w:color="auto"/>
                      </w:divBdr>
                    </w:div>
                  </w:divsChild>
                </w:div>
                <w:div w:id="1959603698">
                  <w:marLeft w:val="0"/>
                  <w:marRight w:val="0"/>
                  <w:marTop w:val="0"/>
                  <w:marBottom w:val="0"/>
                  <w:divBdr>
                    <w:top w:val="none" w:sz="0" w:space="0" w:color="auto"/>
                    <w:left w:val="none" w:sz="0" w:space="0" w:color="auto"/>
                    <w:bottom w:val="none" w:sz="0" w:space="0" w:color="auto"/>
                    <w:right w:val="none" w:sz="0" w:space="0" w:color="auto"/>
                  </w:divBdr>
                  <w:divsChild>
                    <w:div w:id="1542478797">
                      <w:marLeft w:val="0"/>
                      <w:marRight w:val="0"/>
                      <w:marTop w:val="0"/>
                      <w:marBottom w:val="0"/>
                      <w:divBdr>
                        <w:top w:val="none" w:sz="0" w:space="0" w:color="auto"/>
                        <w:left w:val="none" w:sz="0" w:space="0" w:color="auto"/>
                        <w:bottom w:val="none" w:sz="0" w:space="0" w:color="auto"/>
                        <w:right w:val="none" w:sz="0" w:space="0" w:color="auto"/>
                      </w:divBdr>
                    </w:div>
                  </w:divsChild>
                </w:div>
                <w:div w:id="2089763034">
                  <w:marLeft w:val="0"/>
                  <w:marRight w:val="0"/>
                  <w:marTop w:val="0"/>
                  <w:marBottom w:val="0"/>
                  <w:divBdr>
                    <w:top w:val="none" w:sz="0" w:space="0" w:color="auto"/>
                    <w:left w:val="none" w:sz="0" w:space="0" w:color="auto"/>
                    <w:bottom w:val="none" w:sz="0" w:space="0" w:color="auto"/>
                    <w:right w:val="none" w:sz="0" w:space="0" w:color="auto"/>
                  </w:divBdr>
                  <w:divsChild>
                    <w:div w:id="190728767">
                      <w:marLeft w:val="0"/>
                      <w:marRight w:val="0"/>
                      <w:marTop w:val="0"/>
                      <w:marBottom w:val="0"/>
                      <w:divBdr>
                        <w:top w:val="none" w:sz="0" w:space="0" w:color="auto"/>
                        <w:left w:val="none" w:sz="0" w:space="0" w:color="auto"/>
                        <w:bottom w:val="none" w:sz="0" w:space="0" w:color="auto"/>
                        <w:right w:val="none" w:sz="0" w:space="0" w:color="auto"/>
                      </w:divBdr>
                    </w:div>
                  </w:divsChild>
                </w:div>
                <w:div w:id="2131699682">
                  <w:marLeft w:val="0"/>
                  <w:marRight w:val="0"/>
                  <w:marTop w:val="0"/>
                  <w:marBottom w:val="0"/>
                  <w:divBdr>
                    <w:top w:val="none" w:sz="0" w:space="0" w:color="auto"/>
                    <w:left w:val="none" w:sz="0" w:space="0" w:color="auto"/>
                    <w:bottom w:val="none" w:sz="0" w:space="0" w:color="auto"/>
                    <w:right w:val="none" w:sz="0" w:space="0" w:color="auto"/>
                  </w:divBdr>
                  <w:divsChild>
                    <w:div w:id="223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88524">
          <w:marLeft w:val="0"/>
          <w:marRight w:val="0"/>
          <w:marTop w:val="0"/>
          <w:marBottom w:val="0"/>
          <w:divBdr>
            <w:top w:val="none" w:sz="0" w:space="0" w:color="auto"/>
            <w:left w:val="none" w:sz="0" w:space="0" w:color="auto"/>
            <w:bottom w:val="none" w:sz="0" w:space="0" w:color="auto"/>
            <w:right w:val="none" w:sz="0" w:space="0" w:color="auto"/>
          </w:divBdr>
        </w:div>
        <w:div w:id="1782724085">
          <w:marLeft w:val="0"/>
          <w:marRight w:val="0"/>
          <w:marTop w:val="0"/>
          <w:marBottom w:val="0"/>
          <w:divBdr>
            <w:top w:val="none" w:sz="0" w:space="0" w:color="auto"/>
            <w:left w:val="none" w:sz="0" w:space="0" w:color="auto"/>
            <w:bottom w:val="none" w:sz="0" w:space="0" w:color="auto"/>
            <w:right w:val="none" w:sz="0" w:space="0" w:color="auto"/>
          </w:divBdr>
        </w:div>
        <w:div w:id="1823934209">
          <w:marLeft w:val="0"/>
          <w:marRight w:val="0"/>
          <w:marTop w:val="0"/>
          <w:marBottom w:val="0"/>
          <w:divBdr>
            <w:top w:val="none" w:sz="0" w:space="0" w:color="auto"/>
            <w:left w:val="none" w:sz="0" w:space="0" w:color="auto"/>
            <w:bottom w:val="none" w:sz="0" w:space="0" w:color="auto"/>
            <w:right w:val="none" w:sz="0" w:space="0" w:color="auto"/>
          </w:divBdr>
          <w:divsChild>
            <w:div w:id="309410346">
              <w:marLeft w:val="0"/>
              <w:marRight w:val="0"/>
              <w:marTop w:val="0"/>
              <w:marBottom w:val="0"/>
              <w:divBdr>
                <w:top w:val="none" w:sz="0" w:space="0" w:color="auto"/>
                <w:left w:val="none" w:sz="0" w:space="0" w:color="auto"/>
                <w:bottom w:val="none" w:sz="0" w:space="0" w:color="auto"/>
                <w:right w:val="none" w:sz="0" w:space="0" w:color="auto"/>
              </w:divBdr>
            </w:div>
            <w:div w:id="706570230">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
            <w:div w:id="1429887306">
              <w:marLeft w:val="0"/>
              <w:marRight w:val="0"/>
              <w:marTop w:val="0"/>
              <w:marBottom w:val="0"/>
              <w:divBdr>
                <w:top w:val="none" w:sz="0" w:space="0" w:color="auto"/>
                <w:left w:val="none" w:sz="0" w:space="0" w:color="auto"/>
                <w:bottom w:val="none" w:sz="0" w:space="0" w:color="auto"/>
                <w:right w:val="none" w:sz="0" w:space="0" w:color="auto"/>
              </w:divBdr>
            </w:div>
            <w:div w:id="2128963525">
              <w:marLeft w:val="0"/>
              <w:marRight w:val="0"/>
              <w:marTop w:val="0"/>
              <w:marBottom w:val="0"/>
              <w:divBdr>
                <w:top w:val="none" w:sz="0" w:space="0" w:color="auto"/>
                <w:left w:val="none" w:sz="0" w:space="0" w:color="auto"/>
                <w:bottom w:val="none" w:sz="0" w:space="0" w:color="auto"/>
                <w:right w:val="none" w:sz="0" w:space="0" w:color="auto"/>
              </w:divBdr>
            </w:div>
          </w:divsChild>
        </w:div>
        <w:div w:id="1856311344">
          <w:marLeft w:val="0"/>
          <w:marRight w:val="0"/>
          <w:marTop w:val="0"/>
          <w:marBottom w:val="0"/>
          <w:divBdr>
            <w:top w:val="none" w:sz="0" w:space="0" w:color="auto"/>
            <w:left w:val="none" w:sz="0" w:space="0" w:color="auto"/>
            <w:bottom w:val="none" w:sz="0" w:space="0" w:color="auto"/>
            <w:right w:val="none" w:sz="0" w:space="0" w:color="auto"/>
          </w:divBdr>
        </w:div>
        <w:div w:id="1935477939">
          <w:marLeft w:val="0"/>
          <w:marRight w:val="0"/>
          <w:marTop w:val="0"/>
          <w:marBottom w:val="0"/>
          <w:divBdr>
            <w:top w:val="none" w:sz="0" w:space="0" w:color="auto"/>
            <w:left w:val="none" w:sz="0" w:space="0" w:color="auto"/>
            <w:bottom w:val="none" w:sz="0" w:space="0" w:color="auto"/>
            <w:right w:val="none" w:sz="0" w:space="0" w:color="auto"/>
          </w:divBdr>
        </w:div>
        <w:div w:id="1950044203">
          <w:marLeft w:val="0"/>
          <w:marRight w:val="0"/>
          <w:marTop w:val="0"/>
          <w:marBottom w:val="0"/>
          <w:divBdr>
            <w:top w:val="none" w:sz="0" w:space="0" w:color="auto"/>
            <w:left w:val="none" w:sz="0" w:space="0" w:color="auto"/>
            <w:bottom w:val="none" w:sz="0" w:space="0" w:color="auto"/>
            <w:right w:val="none" w:sz="0" w:space="0" w:color="auto"/>
          </w:divBdr>
        </w:div>
        <w:div w:id="2024046401">
          <w:marLeft w:val="0"/>
          <w:marRight w:val="0"/>
          <w:marTop w:val="0"/>
          <w:marBottom w:val="0"/>
          <w:divBdr>
            <w:top w:val="none" w:sz="0" w:space="0" w:color="auto"/>
            <w:left w:val="none" w:sz="0" w:space="0" w:color="auto"/>
            <w:bottom w:val="none" w:sz="0" w:space="0" w:color="auto"/>
            <w:right w:val="none" w:sz="0" w:space="0" w:color="auto"/>
          </w:divBdr>
        </w:div>
        <w:div w:id="2045668603">
          <w:marLeft w:val="0"/>
          <w:marRight w:val="0"/>
          <w:marTop w:val="0"/>
          <w:marBottom w:val="0"/>
          <w:divBdr>
            <w:top w:val="none" w:sz="0" w:space="0" w:color="auto"/>
            <w:left w:val="none" w:sz="0" w:space="0" w:color="auto"/>
            <w:bottom w:val="none" w:sz="0" w:space="0" w:color="auto"/>
            <w:right w:val="none" w:sz="0" w:space="0" w:color="auto"/>
          </w:divBdr>
        </w:div>
        <w:div w:id="2073385938">
          <w:marLeft w:val="0"/>
          <w:marRight w:val="0"/>
          <w:marTop w:val="0"/>
          <w:marBottom w:val="0"/>
          <w:divBdr>
            <w:top w:val="none" w:sz="0" w:space="0" w:color="auto"/>
            <w:left w:val="none" w:sz="0" w:space="0" w:color="auto"/>
            <w:bottom w:val="none" w:sz="0" w:space="0" w:color="auto"/>
            <w:right w:val="none" w:sz="0" w:space="0" w:color="auto"/>
          </w:divBdr>
          <w:divsChild>
            <w:div w:id="739258348">
              <w:marLeft w:val="0"/>
              <w:marRight w:val="0"/>
              <w:marTop w:val="0"/>
              <w:marBottom w:val="0"/>
              <w:divBdr>
                <w:top w:val="none" w:sz="0" w:space="0" w:color="auto"/>
                <w:left w:val="none" w:sz="0" w:space="0" w:color="auto"/>
                <w:bottom w:val="none" w:sz="0" w:space="0" w:color="auto"/>
                <w:right w:val="none" w:sz="0" w:space="0" w:color="auto"/>
              </w:divBdr>
            </w:div>
            <w:div w:id="1125389146">
              <w:marLeft w:val="0"/>
              <w:marRight w:val="0"/>
              <w:marTop w:val="0"/>
              <w:marBottom w:val="0"/>
              <w:divBdr>
                <w:top w:val="none" w:sz="0" w:space="0" w:color="auto"/>
                <w:left w:val="none" w:sz="0" w:space="0" w:color="auto"/>
                <w:bottom w:val="none" w:sz="0" w:space="0" w:color="auto"/>
                <w:right w:val="none" w:sz="0" w:space="0" w:color="auto"/>
              </w:divBdr>
            </w:div>
            <w:div w:id="13713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5402">
      <w:bodyDiv w:val="1"/>
      <w:marLeft w:val="0"/>
      <w:marRight w:val="0"/>
      <w:marTop w:val="0"/>
      <w:marBottom w:val="0"/>
      <w:divBdr>
        <w:top w:val="none" w:sz="0" w:space="0" w:color="auto"/>
        <w:left w:val="none" w:sz="0" w:space="0" w:color="auto"/>
        <w:bottom w:val="none" w:sz="0" w:space="0" w:color="auto"/>
        <w:right w:val="none" w:sz="0" w:space="0" w:color="auto"/>
      </w:divBdr>
    </w:div>
    <w:div w:id="1914268449">
      <w:bodyDiv w:val="1"/>
      <w:marLeft w:val="0"/>
      <w:marRight w:val="0"/>
      <w:marTop w:val="0"/>
      <w:marBottom w:val="0"/>
      <w:divBdr>
        <w:top w:val="none" w:sz="0" w:space="0" w:color="auto"/>
        <w:left w:val="none" w:sz="0" w:space="0" w:color="auto"/>
        <w:bottom w:val="none" w:sz="0" w:space="0" w:color="auto"/>
        <w:right w:val="none" w:sz="0" w:space="0" w:color="auto"/>
      </w:divBdr>
    </w:div>
    <w:div w:id="1956596658">
      <w:bodyDiv w:val="1"/>
      <w:marLeft w:val="0"/>
      <w:marRight w:val="0"/>
      <w:marTop w:val="0"/>
      <w:marBottom w:val="0"/>
      <w:divBdr>
        <w:top w:val="none" w:sz="0" w:space="0" w:color="auto"/>
        <w:left w:val="none" w:sz="0" w:space="0" w:color="auto"/>
        <w:bottom w:val="none" w:sz="0" w:space="0" w:color="auto"/>
        <w:right w:val="none" w:sz="0" w:space="0" w:color="auto"/>
      </w:divBdr>
    </w:div>
    <w:div w:id="1956860607">
      <w:bodyDiv w:val="1"/>
      <w:marLeft w:val="0"/>
      <w:marRight w:val="0"/>
      <w:marTop w:val="0"/>
      <w:marBottom w:val="0"/>
      <w:divBdr>
        <w:top w:val="none" w:sz="0" w:space="0" w:color="auto"/>
        <w:left w:val="none" w:sz="0" w:space="0" w:color="auto"/>
        <w:bottom w:val="none" w:sz="0" w:space="0" w:color="auto"/>
        <w:right w:val="none" w:sz="0" w:space="0" w:color="auto"/>
      </w:divBdr>
    </w:div>
    <w:div w:id="1966227115">
      <w:bodyDiv w:val="1"/>
      <w:marLeft w:val="0"/>
      <w:marRight w:val="0"/>
      <w:marTop w:val="0"/>
      <w:marBottom w:val="0"/>
      <w:divBdr>
        <w:top w:val="none" w:sz="0" w:space="0" w:color="auto"/>
        <w:left w:val="none" w:sz="0" w:space="0" w:color="auto"/>
        <w:bottom w:val="none" w:sz="0" w:space="0" w:color="auto"/>
        <w:right w:val="none" w:sz="0" w:space="0" w:color="auto"/>
      </w:divBdr>
    </w:div>
    <w:div w:id="1977251176">
      <w:bodyDiv w:val="1"/>
      <w:marLeft w:val="0"/>
      <w:marRight w:val="0"/>
      <w:marTop w:val="0"/>
      <w:marBottom w:val="0"/>
      <w:divBdr>
        <w:top w:val="none" w:sz="0" w:space="0" w:color="auto"/>
        <w:left w:val="none" w:sz="0" w:space="0" w:color="auto"/>
        <w:bottom w:val="none" w:sz="0" w:space="0" w:color="auto"/>
        <w:right w:val="none" w:sz="0" w:space="0" w:color="auto"/>
      </w:divBdr>
    </w:div>
    <w:div w:id="2016878079">
      <w:bodyDiv w:val="1"/>
      <w:marLeft w:val="0"/>
      <w:marRight w:val="0"/>
      <w:marTop w:val="0"/>
      <w:marBottom w:val="0"/>
      <w:divBdr>
        <w:top w:val="none" w:sz="0" w:space="0" w:color="auto"/>
        <w:left w:val="none" w:sz="0" w:space="0" w:color="auto"/>
        <w:bottom w:val="none" w:sz="0" w:space="0" w:color="auto"/>
        <w:right w:val="none" w:sz="0" w:space="0" w:color="auto"/>
      </w:divBdr>
    </w:div>
    <w:div w:id="2025351903">
      <w:bodyDiv w:val="1"/>
      <w:marLeft w:val="0"/>
      <w:marRight w:val="0"/>
      <w:marTop w:val="0"/>
      <w:marBottom w:val="0"/>
      <w:divBdr>
        <w:top w:val="none" w:sz="0" w:space="0" w:color="auto"/>
        <w:left w:val="none" w:sz="0" w:space="0" w:color="auto"/>
        <w:bottom w:val="none" w:sz="0" w:space="0" w:color="auto"/>
        <w:right w:val="none" w:sz="0" w:space="0" w:color="auto"/>
      </w:divBdr>
    </w:div>
    <w:div w:id="20636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ter.janoska@trinomics.eu" TargetMode="External"/><Relationship Id="rId18" Type="http://schemas.openxmlformats.org/officeDocument/2006/relationships/image" Target="media/image3.png"/><Relationship Id="rId26" Type="http://schemas.openxmlformats.org/officeDocument/2006/relationships/hyperlink" Target="https://www.lamoncloa.gob.es/temas/fondos-recuperacion/Documents/16062021-Componente6.pdf"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vents.teams.microsoft.com/event/4878ff37-941e-4195-ba47-6a8afdb0ecc3@37f28d1f-1362-4eeb-8453-629b5f57f1ae"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jeroen.vanderlaan@trinomics.eu" TargetMode="External"/><Relationship Id="rId23" Type="http://schemas.openxmlformats.org/officeDocument/2006/relationships/hyperlink" Target="https://teams.microsoft.com/registration/H43yN2IT606EU2KbX1fxrg,FvojlU4N9kK19_NAaSVv6Q,gJkdIXB3_UWWA38xSLCRTQ,Cv7mzWPtGE67GM9uLvZOZA,ClizDtnhNkCyQPxvn6MQFQ,nbY96jXgwkuKf7BBaSFRzA?mode=read&amp;tenantId=37f28d1f-1362-4eeb-8453-629b5f57f1ae" TargetMode="External"/><Relationship Id="rId28" Type="http://schemas.openxmlformats.org/officeDocument/2006/relationships/hyperlink" Target="https://escenarios.adaptecca.es/"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www.trinomics.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la.cihlarova@trinomics.eu" TargetMode="External"/><Relationship Id="rId22" Type="http://schemas.openxmlformats.org/officeDocument/2006/relationships/hyperlink" Target="https://teams.microsoft.com/registration/H43yN2IT606EU2KbX1fxrg,FvojlU4N9kK19_NAaSVv6Q,gJkdIXB3_UWWA38xSLCRTQ,u7tnOwcd9ECZ2Z0bQcLNQQ,5UVJI-SP8kaXyzl3tR2E6A,yCFru2NAX0W7qhw998ltdA?mode=read&amp;tenantId=37f28d1f-1362-4eeb-8453-629b5f57f1ae" TargetMode="External"/><Relationship Id="rId27" Type="http://schemas.openxmlformats.org/officeDocument/2006/relationships/hyperlink" Target="https://www.adaptecca.es" TargetMode="External"/><Relationship Id="rId30" Type="http://schemas.openxmlformats.org/officeDocument/2006/relationships/hyperlink" Target="http://www.trinomics.eu"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memberstates/czechrepublic" TargetMode="External"/><Relationship Id="rId1" Type="http://schemas.openxmlformats.org/officeDocument/2006/relationships/hyperlink" Target="https://ec.europa.eu/info/sites/default/files/c2021_1054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2C54"/>
      </a:dk2>
      <a:lt2>
        <a:srgbClr val="EEECE1"/>
      </a:lt2>
      <a:accent1>
        <a:srgbClr val="005962"/>
      </a:accent1>
      <a:accent2>
        <a:srgbClr val="F04E30"/>
      </a:accent2>
      <a:accent3>
        <a:srgbClr val="B2CFCD"/>
      </a:accent3>
      <a:accent4>
        <a:srgbClr val="FFE3A5"/>
      </a:accent4>
      <a:accent5>
        <a:srgbClr val="002C54"/>
      </a:accent5>
      <a:accent6>
        <a:srgbClr val="ECEBE1"/>
      </a:accent6>
      <a:hlink>
        <a:srgbClr val="005962"/>
      </a:hlink>
      <a:folHlink>
        <a:srgbClr val="F04E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838B464AC91499AA09F4C55BE8D43" ma:contentTypeVersion="8" ma:contentTypeDescription="Create a new document." ma:contentTypeScope="" ma:versionID="b396deec30164d5614a29665b12c0074">
  <xsd:schema xmlns:xsd="http://www.w3.org/2001/XMLSchema" xmlns:xs="http://www.w3.org/2001/XMLSchema" xmlns:p="http://schemas.microsoft.com/office/2006/metadata/properties" xmlns:ns2="78d703fb-01d8-4643-8d91-943788335c7e" xmlns:ns3="abefe56a-03ab-4bc7-ab52-4c54346a4e05" targetNamespace="http://schemas.microsoft.com/office/2006/metadata/properties" ma:root="true" ma:fieldsID="028926108f1821e4ec7fb24d1c38faa2" ns2:_="" ns3:_="">
    <xsd:import namespace="78d703fb-01d8-4643-8d91-943788335c7e"/>
    <xsd:import namespace="abefe56a-03ab-4bc7-ab52-4c54346a4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703fb-01d8-4643-8d91-9437883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fe56a-03ab-4bc7-ab52-4c54346a4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befe56a-03ab-4bc7-ab52-4c54346a4e05">
      <UserInfo>
        <DisplayName/>
        <AccountId xsi:nil="true"/>
        <AccountType/>
      </UserInfo>
    </SharedWithUsers>
    <MediaLengthInSeconds xmlns="78d703fb-01d8-4643-8d91-943788335c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CB49-A2D3-4F31-898D-B7F36398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703fb-01d8-4643-8d91-943788335c7e"/>
    <ds:schemaRef ds:uri="abefe56a-03ab-4bc7-ab52-4c54346a4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E5FB1-C31F-417D-A155-86E7B903DF01}">
  <ds:schemaRefs>
    <ds:schemaRef ds:uri="http://purl.org/dc/dcmitype/"/>
    <ds:schemaRef ds:uri="http://schemas.microsoft.com/office/2006/documentManagement/types"/>
    <ds:schemaRef ds:uri="abefe56a-03ab-4bc7-ab52-4c54346a4e05"/>
    <ds:schemaRef ds:uri="http://schemas.microsoft.com/office/2006/metadata/properties"/>
    <ds:schemaRef ds:uri="http://www.w3.org/XML/1998/namespace"/>
    <ds:schemaRef ds:uri="78d703fb-01d8-4643-8d91-943788335c7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0CE2325A-ADCF-4944-8A6A-0E277955C4F6}">
  <ds:schemaRefs>
    <ds:schemaRef ds:uri="http://schemas.microsoft.com/sharepoint/v3/contenttype/forms"/>
  </ds:schemaRefs>
</ds:datastoreItem>
</file>

<file path=customXml/itemProps4.xml><?xml version="1.0" encoding="utf-8"?>
<ds:datastoreItem xmlns:ds="http://schemas.openxmlformats.org/officeDocument/2006/customXml" ds:itemID="{740DA3CC-FF15-46BC-9D9E-88727E5F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26937</Words>
  <Characters>158930</Characters>
  <Application>Microsoft Office Word</Application>
  <DocSecurity>0</DocSecurity>
  <Lines>1324</Lines>
  <Paragraphs>370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Microsoft</Company>
  <LinksUpToDate>false</LinksUpToDate>
  <CharactersWithSpaces>185497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Maděra Milan</cp:lastModifiedBy>
  <cp:revision>4</cp:revision>
  <cp:lastPrinted>2024-08-09T16:43:00Z</cp:lastPrinted>
  <dcterms:created xsi:type="dcterms:W3CDTF">2023-06-27T15:50:00Z</dcterms:created>
  <dcterms:modified xsi:type="dcterms:W3CDTF">2024-08-09T16:43:00Z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0x010100B44838B464AC91499AA09F4C55BE8D43</vt:lpwstr>
  </property>
  <property fmtid="{D5CDD505-2E9C-101B-9397-08002B2CF9AE}" pid="3" name="AuthorIds_UIVersion_25600">
    <vt:lpwstr>18</vt:lpwstr>
  </property>
  <property fmtid="{D5CDD505-2E9C-101B-9397-08002B2CF9AE}" pid="4" name="Order">
    <vt:r8>417500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